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28" w:rsidRPr="00D017C4" w:rsidRDefault="008123F1" w:rsidP="008E7E28">
      <w:pPr>
        <w:jc w:val="center"/>
        <w:rPr>
          <w:rFonts w:eastAsia="Calibri" w:cs="Times New Roman"/>
          <w:b/>
          <w:sz w:val="24"/>
          <w:szCs w:val="24"/>
          <w:vertAlign w:val="superscript"/>
        </w:rPr>
      </w:pPr>
      <w:r>
        <w:rPr>
          <w:rFonts w:eastAsia="Calibri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718C36" wp14:editId="4D1CA24C">
            <wp:simplePos x="0" y="0"/>
            <wp:positionH relativeFrom="margin">
              <wp:posOffset>241300</wp:posOffset>
            </wp:positionH>
            <wp:positionV relativeFrom="margin">
              <wp:posOffset>-699770</wp:posOffset>
            </wp:positionV>
            <wp:extent cx="596265" cy="384175"/>
            <wp:effectExtent l="0" t="0" r="0" b="0"/>
            <wp:wrapSquare wrapText="bothSides"/>
            <wp:docPr id="4" name="Imagem 4" descr="C:\Users\pc-2016\Documents\UFRPE\PET\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016\Documents\UFRPE\PET\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8B1DAA" wp14:editId="19FDFDB8">
            <wp:simplePos x="0" y="0"/>
            <wp:positionH relativeFrom="margin">
              <wp:posOffset>4967605</wp:posOffset>
            </wp:positionH>
            <wp:positionV relativeFrom="margin">
              <wp:posOffset>-749300</wp:posOffset>
            </wp:positionV>
            <wp:extent cx="365125" cy="468630"/>
            <wp:effectExtent l="0" t="0" r="0" b="7620"/>
            <wp:wrapSquare wrapText="bothSides"/>
            <wp:docPr id="3" name="Imagem 3" descr="C:\Users\Débora\Desktop\UFRPE 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ébora\Desktop\UFRPE simb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B3218" wp14:editId="22BD89AE">
                <wp:simplePos x="0" y="0"/>
                <wp:positionH relativeFrom="column">
                  <wp:posOffset>438564</wp:posOffset>
                </wp:positionH>
                <wp:positionV relativeFrom="paragraph">
                  <wp:posOffset>-141881</wp:posOffset>
                </wp:positionV>
                <wp:extent cx="4898004" cy="0"/>
                <wp:effectExtent l="38100" t="38100" r="55245" b="952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800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-11.15pt" to="420.2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CB622B">
        <w:rPr>
          <w:rFonts w:eastAsia="Calibri" w:cs="Times New Roman"/>
          <w:b/>
          <w:sz w:val="24"/>
          <w:szCs w:val="24"/>
        </w:rPr>
        <w:t>ESTIMATIVAS DAS</w:t>
      </w:r>
      <w:r w:rsidR="002F165D">
        <w:rPr>
          <w:rFonts w:eastAsia="Calibri" w:cs="Times New Roman"/>
          <w:b/>
          <w:sz w:val="24"/>
          <w:szCs w:val="24"/>
        </w:rPr>
        <w:t xml:space="preserve"> PERDAS FINANCEIRAS E PRODUTIVAS EM DECORÊNCIA DA MASTITE EM PROPRIEDADES LE</w:t>
      </w:r>
      <w:r w:rsidR="00CB622B">
        <w:rPr>
          <w:rFonts w:eastAsia="Calibri" w:cs="Times New Roman"/>
          <w:b/>
          <w:sz w:val="24"/>
          <w:szCs w:val="24"/>
        </w:rPr>
        <w:t>ITEIRAS DOS MUNICÍPIOS DE LAJEDO E SÃO BENTO DO UNA</w:t>
      </w:r>
      <w:r w:rsidR="00D017C4">
        <w:rPr>
          <w:rFonts w:eastAsia="Calibri" w:cs="Times New Roman"/>
          <w:b/>
          <w:sz w:val="24"/>
          <w:szCs w:val="24"/>
          <w:vertAlign w:val="superscript"/>
        </w:rPr>
        <w:t>1</w:t>
      </w:r>
    </w:p>
    <w:p w:rsidR="008E7E28" w:rsidRPr="00085F1C" w:rsidRDefault="008E7E28" w:rsidP="008E7E28">
      <w:pPr>
        <w:spacing w:line="360" w:lineRule="auto"/>
        <w:jc w:val="center"/>
        <w:rPr>
          <w:rFonts w:ascii="Arial" w:eastAsia="Calibri" w:hAnsi="Arial" w:cs="Arial"/>
          <w:b/>
        </w:rPr>
      </w:pPr>
    </w:p>
    <w:p w:rsidR="008E7E28" w:rsidRPr="00D017C4" w:rsidRDefault="008E7E28" w:rsidP="008E7E28">
      <w:pPr>
        <w:pStyle w:val="Default"/>
      </w:pPr>
      <w:r>
        <w:rPr>
          <w:sz w:val="18"/>
          <w:szCs w:val="18"/>
        </w:rPr>
        <w:t>Luiz Henrique Torres Figueira</w:t>
      </w:r>
      <w:r w:rsidR="00D017C4">
        <w:rPr>
          <w:rFonts w:eastAsia="Calibri"/>
          <w:sz w:val="18"/>
          <w:vertAlign w:val="superscript"/>
        </w:rPr>
        <w:t>2</w:t>
      </w:r>
      <w:r>
        <w:rPr>
          <w:rFonts w:eastAsia="Calibri"/>
          <w:sz w:val="18"/>
        </w:rPr>
        <w:t xml:space="preserve">, </w:t>
      </w:r>
      <w:r>
        <w:rPr>
          <w:sz w:val="18"/>
          <w:szCs w:val="18"/>
        </w:rPr>
        <w:t>Paulo Fernando Andrade Godoi</w:t>
      </w:r>
      <w:r w:rsidR="00D017C4">
        <w:rPr>
          <w:rFonts w:eastAsia="Calibri"/>
          <w:sz w:val="18"/>
          <w:vertAlign w:val="superscript"/>
        </w:rPr>
        <w:t>2</w:t>
      </w:r>
      <w:r w:rsidR="00D017C4">
        <w:rPr>
          <w:rFonts w:eastAsia="Calibri"/>
          <w:sz w:val="18"/>
        </w:rPr>
        <w:t xml:space="preserve">, </w:t>
      </w:r>
      <w:r w:rsidR="00D017C4" w:rsidRPr="00D017C4">
        <w:rPr>
          <w:rFonts w:eastAsia="Calibri"/>
          <w:sz w:val="18"/>
        </w:rPr>
        <w:t xml:space="preserve">Carla </w:t>
      </w:r>
      <w:proofErr w:type="spellStart"/>
      <w:r w:rsidR="00D017C4" w:rsidRPr="00D017C4">
        <w:rPr>
          <w:rFonts w:eastAsia="Calibri"/>
          <w:sz w:val="18"/>
        </w:rPr>
        <w:t>Geovanna</w:t>
      </w:r>
      <w:proofErr w:type="spellEnd"/>
      <w:r w:rsidR="00D017C4" w:rsidRPr="00D017C4">
        <w:rPr>
          <w:rFonts w:eastAsia="Calibri"/>
          <w:sz w:val="18"/>
        </w:rPr>
        <w:t xml:space="preserve"> da Silva Mendonça</w:t>
      </w:r>
      <w:r w:rsidR="00D017C4">
        <w:rPr>
          <w:rFonts w:eastAsia="Calibri"/>
          <w:sz w:val="18"/>
          <w:vertAlign w:val="superscript"/>
        </w:rPr>
        <w:t>3</w:t>
      </w:r>
      <w:r w:rsidR="00D017C4">
        <w:rPr>
          <w:rFonts w:eastAsia="Calibri"/>
          <w:sz w:val="18"/>
        </w:rPr>
        <w:t xml:space="preserve">, </w:t>
      </w:r>
      <w:r w:rsidR="00D017C4" w:rsidRPr="00D017C4">
        <w:rPr>
          <w:rFonts w:eastAsia="Calibri"/>
          <w:sz w:val="18"/>
        </w:rPr>
        <w:t>Daniela Moreira de Carvalho</w:t>
      </w:r>
      <w:r w:rsidR="00D017C4">
        <w:rPr>
          <w:rFonts w:eastAsia="Calibri"/>
          <w:sz w:val="18"/>
          <w:vertAlign w:val="superscript"/>
        </w:rPr>
        <w:t>4</w:t>
      </w:r>
      <w:r w:rsidR="00D017C4" w:rsidRPr="00D017C4">
        <w:rPr>
          <w:rFonts w:eastAsia="Calibri"/>
          <w:sz w:val="18"/>
        </w:rPr>
        <w:t>, André Luiz Rodrigues Magalhães</w:t>
      </w:r>
      <w:r w:rsidR="00D017C4">
        <w:rPr>
          <w:rFonts w:eastAsia="Calibri"/>
          <w:sz w:val="18"/>
          <w:vertAlign w:val="superscript"/>
        </w:rPr>
        <w:t>5</w:t>
      </w:r>
      <w:r w:rsidR="00D017C4">
        <w:rPr>
          <w:rFonts w:eastAsia="Calibri"/>
          <w:sz w:val="18"/>
        </w:rPr>
        <w:t>.</w:t>
      </w:r>
    </w:p>
    <w:p w:rsidR="008E7E28" w:rsidRPr="00A517F3" w:rsidRDefault="008E7E28" w:rsidP="008E7E28">
      <w:pPr>
        <w:pStyle w:val="Default"/>
        <w:rPr>
          <w:sz w:val="18"/>
          <w:szCs w:val="18"/>
        </w:rPr>
      </w:pPr>
    </w:p>
    <w:p w:rsidR="00D017C4" w:rsidRPr="00D017C4" w:rsidRDefault="00D017C4" w:rsidP="008E7E28">
      <w:pPr>
        <w:pStyle w:val="Default"/>
        <w:rPr>
          <w:sz w:val="16"/>
          <w:szCs w:val="16"/>
        </w:rPr>
      </w:pPr>
      <w:proofErr w:type="gramStart"/>
      <w:r w:rsidRPr="00D017C4">
        <w:rPr>
          <w:sz w:val="16"/>
          <w:szCs w:val="16"/>
          <w:vertAlign w:val="superscript"/>
        </w:rPr>
        <w:t>1</w:t>
      </w:r>
      <w:r w:rsidRPr="00D017C4">
        <w:rPr>
          <w:sz w:val="16"/>
          <w:szCs w:val="16"/>
        </w:rPr>
        <w:t>Parte</w:t>
      </w:r>
      <w:proofErr w:type="gramEnd"/>
      <w:r w:rsidRPr="00D017C4">
        <w:rPr>
          <w:sz w:val="16"/>
          <w:szCs w:val="16"/>
        </w:rPr>
        <w:t xml:space="preserve"> de Projeto de pesquisa financiado pelo CNPq - Ciências Sociais – 2014. </w:t>
      </w:r>
    </w:p>
    <w:p w:rsidR="00955AF0" w:rsidRDefault="008E7E28" w:rsidP="008E7E28">
      <w:pPr>
        <w:pStyle w:val="Default"/>
        <w:rPr>
          <w:sz w:val="16"/>
          <w:szCs w:val="16"/>
        </w:rPr>
      </w:pPr>
      <w:proofErr w:type="gramStart"/>
      <w:r w:rsidRPr="00A517F3">
        <w:rPr>
          <w:sz w:val="16"/>
          <w:szCs w:val="16"/>
          <w:vertAlign w:val="superscript"/>
        </w:rPr>
        <w:t>1</w:t>
      </w:r>
      <w:r w:rsidRPr="00A517F3">
        <w:rPr>
          <w:sz w:val="16"/>
          <w:szCs w:val="16"/>
        </w:rPr>
        <w:t>Mestrando</w:t>
      </w:r>
      <w:proofErr w:type="gramEnd"/>
      <w:r w:rsidRPr="00A517F3">
        <w:rPr>
          <w:sz w:val="16"/>
          <w:szCs w:val="16"/>
        </w:rPr>
        <w:t xml:space="preserve"> no PPGCAP – UFRPE, e-mail: </w:t>
      </w:r>
      <w:hyperlink r:id="rId9" w:history="1">
        <w:r w:rsidRPr="0071461D">
          <w:rPr>
            <w:rStyle w:val="Hyperlink"/>
            <w:sz w:val="16"/>
            <w:szCs w:val="16"/>
          </w:rPr>
          <w:t>luiztorresfigueira@gmail.com</w:t>
        </w:r>
      </w:hyperlink>
    </w:p>
    <w:p w:rsidR="00D017C4" w:rsidRPr="00D017C4" w:rsidRDefault="00D017C4" w:rsidP="00D017C4">
      <w:pPr>
        <w:pStyle w:val="Default"/>
        <w:rPr>
          <w:sz w:val="16"/>
          <w:szCs w:val="16"/>
        </w:rPr>
      </w:pPr>
      <w:proofErr w:type="gramStart"/>
      <w:r>
        <w:rPr>
          <w:sz w:val="16"/>
          <w:szCs w:val="16"/>
          <w:vertAlign w:val="superscript"/>
        </w:rPr>
        <w:t>3</w:t>
      </w:r>
      <w:r w:rsidRPr="00D017C4">
        <w:rPr>
          <w:sz w:val="16"/>
          <w:szCs w:val="16"/>
        </w:rPr>
        <w:t>Graduando</w:t>
      </w:r>
      <w:proofErr w:type="gramEnd"/>
      <w:r w:rsidRPr="00D017C4">
        <w:rPr>
          <w:sz w:val="16"/>
          <w:szCs w:val="16"/>
        </w:rPr>
        <w:t xml:space="preserve">(a) em Zootecnia, </w:t>
      </w:r>
      <w:r>
        <w:rPr>
          <w:sz w:val="16"/>
          <w:szCs w:val="16"/>
        </w:rPr>
        <w:t>UFRPE-UAG, Garanhuns, PE.</w:t>
      </w:r>
    </w:p>
    <w:p w:rsidR="00D017C4" w:rsidRPr="00D017C4" w:rsidRDefault="00D017C4" w:rsidP="00D017C4">
      <w:pPr>
        <w:pStyle w:val="Default"/>
        <w:rPr>
          <w:sz w:val="16"/>
          <w:szCs w:val="16"/>
        </w:rPr>
      </w:pPr>
      <w:proofErr w:type="gramStart"/>
      <w:r w:rsidRPr="00D017C4">
        <w:rPr>
          <w:sz w:val="16"/>
          <w:szCs w:val="16"/>
          <w:vertAlign w:val="superscript"/>
        </w:rPr>
        <w:t>4</w:t>
      </w:r>
      <w:r w:rsidRPr="00D017C4">
        <w:rPr>
          <w:sz w:val="16"/>
          <w:szCs w:val="16"/>
        </w:rPr>
        <w:t>Professor</w:t>
      </w:r>
      <w:proofErr w:type="gramEnd"/>
      <w:r w:rsidRPr="00D017C4">
        <w:rPr>
          <w:sz w:val="16"/>
          <w:szCs w:val="16"/>
        </w:rPr>
        <w:t xml:space="preserve"> Adjunto, coordenadora do projeto, UFRPE-UAG, Garanhuns, PE.</w:t>
      </w:r>
    </w:p>
    <w:p w:rsidR="00D017C4" w:rsidRPr="00D017C4" w:rsidRDefault="00D017C4" w:rsidP="00D017C4">
      <w:pPr>
        <w:pStyle w:val="Default"/>
        <w:rPr>
          <w:sz w:val="16"/>
          <w:szCs w:val="16"/>
        </w:rPr>
      </w:pPr>
      <w:proofErr w:type="gramStart"/>
      <w:r w:rsidRPr="00D017C4">
        <w:rPr>
          <w:sz w:val="16"/>
          <w:szCs w:val="16"/>
          <w:vertAlign w:val="superscript"/>
        </w:rPr>
        <w:t>5</w:t>
      </w:r>
      <w:r w:rsidRPr="00D017C4">
        <w:rPr>
          <w:sz w:val="16"/>
          <w:szCs w:val="16"/>
        </w:rPr>
        <w:t>Professor</w:t>
      </w:r>
      <w:proofErr w:type="gramEnd"/>
      <w:r w:rsidRPr="00D017C4">
        <w:rPr>
          <w:sz w:val="16"/>
          <w:szCs w:val="16"/>
        </w:rPr>
        <w:t xml:space="preserve"> Associado II UFRPE-UAG, Garanhuns, PE.</w:t>
      </w:r>
    </w:p>
    <w:p w:rsidR="008E7E28" w:rsidRPr="008E7E28" w:rsidRDefault="008E7E28" w:rsidP="008E7E28">
      <w:pPr>
        <w:pStyle w:val="Default"/>
        <w:rPr>
          <w:sz w:val="16"/>
          <w:szCs w:val="16"/>
        </w:rPr>
      </w:pPr>
    </w:p>
    <w:p w:rsidR="00590456" w:rsidRPr="00D017C4" w:rsidRDefault="00955AF0" w:rsidP="00590456">
      <w:pPr>
        <w:jc w:val="both"/>
        <w:rPr>
          <w:rFonts w:cs="Times New Roman"/>
        </w:rPr>
      </w:pPr>
      <w:r w:rsidRPr="00D017C4">
        <w:rPr>
          <w:rFonts w:eastAsia="Calibri" w:cs="Times New Roman"/>
          <w:b/>
        </w:rPr>
        <w:t>RESUMO</w:t>
      </w:r>
      <w:r w:rsidR="00470C4D" w:rsidRPr="00D017C4">
        <w:rPr>
          <w:rFonts w:cs="Times New Roman"/>
          <w:b/>
        </w:rPr>
        <w:t>:</w:t>
      </w:r>
      <w:r w:rsidR="00470C4D" w:rsidRPr="00D017C4">
        <w:rPr>
          <w:rFonts w:cs="Times New Roman"/>
        </w:rPr>
        <w:t xml:space="preserve"> </w:t>
      </w:r>
      <w:r w:rsidR="00590456" w:rsidRPr="00D017C4">
        <w:rPr>
          <w:rFonts w:cs="Times New Roman"/>
        </w:rPr>
        <w:t>O</w:t>
      </w:r>
      <w:r w:rsidR="00590456" w:rsidRPr="00D017C4">
        <w:rPr>
          <w:rFonts w:cs="Times New Roman"/>
        </w:rPr>
        <w:t>bjetivou-se quantificar as perdas financeiras em decorrência da mastite em propriedades localizadas nos municípios de Lajedo e São Bento do Una, estado de Pernambuco.</w:t>
      </w:r>
      <w:r w:rsidR="00590456" w:rsidRPr="00D017C4">
        <w:rPr>
          <w:rFonts w:cs="Times New Roman"/>
        </w:rPr>
        <w:t xml:space="preserve"> </w:t>
      </w:r>
      <w:r w:rsidR="00590456" w:rsidRPr="00D017C4">
        <w:rPr>
          <w:rFonts w:cs="Times New Roman"/>
        </w:rPr>
        <w:t xml:space="preserve">Realizou-se o estudo em seis propriedades assistidas pelo Grupo de Pesquisa em Gestão Rural- Leite (GPGR-Leite). As informações foram coletadas pelos estagiários do (GPGR-Leite), no qual se realizou o teste </w:t>
      </w:r>
      <w:proofErr w:type="spellStart"/>
      <w:r w:rsidR="00590456" w:rsidRPr="00D017C4">
        <w:rPr>
          <w:rFonts w:cs="Times New Roman"/>
        </w:rPr>
        <w:t>California</w:t>
      </w:r>
      <w:proofErr w:type="spellEnd"/>
      <w:r w:rsidR="00590456" w:rsidRPr="00D017C4">
        <w:rPr>
          <w:rFonts w:cs="Times New Roman"/>
        </w:rPr>
        <w:t xml:space="preserve"> </w:t>
      </w:r>
      <w:proofErr w:type="spellStart"/>
      <w:r w:rsidR="00590456" w:rsidRPr="00D017C4">
        <w:rPr>
          <w:rFonts w:cs="Times New Roman"/>
        </w:rPr>
        <w:t>Mastitis</w:t>
      </w:r>
      <w:proofErr w:type="spellEnd"/>
      <w:r w:rsidR="00590456" w:rsidRPr="00D017C4">
        <w:rPr>
          <w:rFonts w:cs="Times New Roman"/>
        </w:rPr>
        <w:t xml:space="preserve"> Test (CMT) nas referidas propriedades, para posteriormente quantificar os prejuízos causados pela mastite.</w:t>
      </w:r>
      <w:r w:rsidR="00590456" w:rsidRPr="00D017C4">
        <w:rPr>
          <w:rFonts w:cs="Times New Roman"/>
        </w:rPr>
        <w:t xml:space="preserve"> O</w:t>
      </w:r>
      <w:r w:rsidR="00590456" w:rsidRPr="00D017C4">
        <w:rPr>
          <w:rFonts w:cs="Times New Roman"/>
        </w:rPr>
        <w:t xml:space="preserve"> </w:t>
      </w:r>
      <w:r w:rsidR="00590456" w:rsidRPr="00D017C4">
        <w:rPr>
          <w:rFonts w:eastAsia="Times New Roman" w:cs="Times New Roman"/>
          <w:color w:val="000000"/>
        </w:rPr>
        <w:t>número real de tetos</w:t>
      </w:r>
      <w:r w:rsidR="00590456" w:rsidRPr="00D017C4">
        <w:rPr>
          <w:rFonts w:eastAsia="Times New Roman" w:cs="Times New Roman"/>
          <w:color w:val="000000"/>
        </w:rPr>
        <w:t xml:space="preserve"> apresentou </w:t>
      </w:r>
      <w:r w:rsidR="00590456" w:rsidRPr="00D017C4">
        <w:rPr>
          <w:rFonts w:eastAsia="Times New Roman" w:cs="Times New Roman"/>
          <w:color w:val="000000"/>
        </w:rPr>
        <w:t>valor mé</w:t>
      </w:r>
      <w:r w:rsidR="00590456" w:rsidRPr="00D017C4">
        <w:rPr>
          <w:rFonts w:eastAsia="Times New Roman" w:cs="Times New Roman"/>
          <w:color w:val="000000"/>
        </w:rPr>
        <w:t>dio</w:t>
      </w:r>
      <w:r w:rsidR="00590456" w:rsidRPr="00D017C4">
        <w:rPr>
          <w:rFonts w:eastAsia="Times New Roman" w:cs="Times New Roman"/>
          <w:color w:val="000000"/>
        </w:rPr>
        <w:t xml:space="preserve"> de 51,04. O valor médio para produção estimada das propriedades analisadas foi de 202,49 litros/ dia. Houve uma perda diária média de 8,51 lit</w:t>
      </w:r>
      <w:r w:rsidR="00CE34FE" w:rsidRPr="00D017C4">
        <w:rPr>
          <w:rFonts w:eastAsia="Times New Roman" w:cs="Times New Roman"/>
          <w:color w:val="000000"/>
        </w:rPr>
        <w:t>ros/ dia, com uma</w:t>
      </w:r>
      <w:r w:rsidR="00590456" w:rsidRPr="00D017C4">
        <w:rPr>
          <w:rFonts w:eastAsia="Times New Roman" w:cs="Times New Roman"/>
          <w:color w:val="000000"/>
        </w:rPr>
        <w:t xml:space="preserve"> perda mensal</w:t>
      </w:r>
      <w:r w:rsidR="00CE34FE" w:rsidRPr="00D017C4">
        <w:rPr>
          <w:rFonts w:eastAsia="Times New Roman" w:cs="Times New Roman"/>
          <w:color w:val="000000"/>
        </w:rPr>
        <w:t xml:space="preserve"> média</w:t>
      </w:r>
      <w:r w:rsidR="00590456" w:rsidRPr="00D017C4">
        <w:rPr>
          <w:rFonts w:eastAsia="Times New Roman" w:cs="Times New Roman"/>
          <w:color w:val="000000"/>
        </w:rPr>
        <w:t xml:space="preserve"> de 258,64litros/ mês</w:t>
      </w:r>
      <w:r w:rsidR="00590456" w:rsidRPr="00D017C4">
        <w:rPr>
          <w:rFonts w:eastAsia="Times New Roman" w:cs="Times New Roman"/>
          <w:color w:val="000000"/>
        </w:rPr>
        <w:t xml:space="preserve">. </w:t>
      </w:r>
      <w:r w:rsidR="00CE34FE" w:rsidRPr="00D017C4">
        <w:rPr>
          <w:rFonts w:cs="Times New Roman"/>
        </w:rPr>
        <w:t xml:space="preserve">Em relação às perdas financeiras, as propriedades apresentaram valores médios de 306,05 </w:t>
      </w:r>
      <w:r w:rsidR="00CE34FE" w:rsidRPr="00D017C4">
        <w:rPr>
          <w:rFonts w:eastAsia="Times New Roman" w:cs="Times New Roman"/>
          <w:color w:val="000000"/>
        </w:rPr>
        <w:t>R$/mês</w:t>
      </w:r>
      <w:r w:rsidR="00CE34FE" w:rsidRPr="00D017C4">
        <w:rPr>
          <w:rFonts w:eastAsia="Times New Roman" w:cs="Times New Roman"/>
          <w:color w:val="000000"/>
        </w:rPr>
        <w:t xml:space="preserve">. </w:t>
      </w:r>
      <w:r w:rsidR="00CE34FE" w:rsidRPr="00D017C4">
        <w:rPr>
          <w:rFonts w:cs="Times New Roman"/>
        </w:rPr>
        <w:t>Diante disso, conclui-se que a mastite causa s</w:t>
      </w:r>
      <w:r w:rsidR="00CE34FE" w:rsidRPr="00D017C4">
        <w:rPr>
          <w:rFonts w:cs="Times New Roman"/>
        </w:rPr>
        <w:t>ignificativas perdas econômicas.</w:t>
      </w:r>
    </w:p>
    <w:p w:rsidR="00590456" w:rsidRPr="00D017C4" w:rsidRDefault="00590456" w:rsidP="00955AF0">
      <w:pPr>
        <w:jc w:val="both"/>
        <w:rPr>
          <w:rFonts w:eastAsia="Calibri" w:cs="Times New Roman"/>
          <w:b/>
        </w:rPr>
      </w:pPr>
    </w:p>
    <w:p w:rsidR="00470C4D" w:rsidRPr="00D017C4" w:rsidRDefault="008722B2" w:rsidP="00955AF0">
      <w:pPr>
        <w:jc w:val="both"/>
        <w:rPr>
          <w:rFonts w:cs="Times New Roman"/>
        </w:rPr>
      </w:pPr>
      <w:r w:rsidRPr="00D017C4">
        <w:rPr>
          <w:rFonts w:eastAsia="Calibri" w:cs="Times New Roman"/>
          <w:b/>
        </w:rPr>
        <w:t>P</w:t>
      </w:r>
      <w:r w:rsidRPr="00D017C4">
        <w:rPr>
          <w:rFonts w:cs="Times New Roman"/>
          <w:b/>
        </w:rPr>
        <w:t>ALAVRAS-CHAVE</w:t>
      </w:r>
      <w:r w:rsidRPr="00D017C4">
        <w:rPr>
          <w:rFonts w:cs="Times New Roman"/>
          <w:b/>
        </w:rPr>
        <w:t>:</w:t>
      </w:r>
      <w:r w:rsidRPr="00D017C4">
        <w:rPr>
          <w:rFonts w:cs="Times New Roman"/>
        </w:rPr>
        <w:t xml:space="preserve"> </w:t>
      </w:r>
      <w:r w:rsidR="00D017C4">
        <w:rPr>
          <w:rFonts w:cs="Times New Roman"/>
        </w:rPr>
        <w:t xml:space="preserve">tetos, leite, </w:t>
      </w:r>
      <w:proofErr w:type="gramStart"/>
      <w:r w:rsidR="00D017C4">
        <w:rPr>
          <w:rFonts w:cs="Times New Roman"/>
        </w:rPr>
        <w:t>enfermidades</w:t>
      </w:r>
      <w:proofErr w:type="gramEnd"/>
    </w:p>
    <w:p w:rsidR="008722B2" w:rsidRPr="00D017C4" w:rsidRDefault="008722B2" w:rsidP="00955AF0">
      <w:pPr>
        <w:jc w:val="both"/>
        <w:rPr>
          <w:rFonts w:cs="Times New Roman"/>
          <w:color w:val="000000"/>
        </w:rPr>
      </w:pPr>
    </w:p>
    <w:p w:rsidR="00955AF0" w:rsidRPr="00D017C4" w:rsidRDefault="00470C4D" w:rsidP="00955AF0">
      <w:pPr>
        <w:jc w:val="both"/>
        <w:rPr>
          <w:rFonts w:cs="Times New Roman"/>
        </w:rPr>
      </w:pPr>
      <w:r w:rsidRPr="00D017C4">
        <w:rPr>
          <w:rFonts w:cs="Times New Roman"/>
          <w:b/>
        </w:rPr>
        <w:t>ABSTRACT</w:t>
      </w:r>
      <w:r w:rsidR="008722B2" w:rsidRPr="00D017C4">
        <w:rPr>
          <w:rFonts w:cs="Times New Roman"/>
          <w:b/>
        </w:rPr>
        <w:t>:</w:t>
      </w:r>
      <w:r w:rsidR="008722B2" w:rsidRPr="00D017C4">
        <w:rPr>
          <w:rFonts w:cs="Times New Roman"/>
        </w:rPr>
        <w:t xml:space="preserve"> </w:t>
      </w:r>
      <w:r w:rsidR="00AA2664" w:rsidRPr="00D017C4">
        <w:rPr>
          <w:rFonts w:cs="Times New Roman"/>
        </w:rPr>
        <w:t xml:space="preserve">The </w:t>
      </w:r>
      <w:proofErr w:type="spellStart"/>
      <w:r w:rsidR="00AA2664" w:rsidRPr="00D017C4">
        <w:rPr>
          <w:rFonts w:cs="Times New Roman"/>
        </w:rPr>
        <w:t>objective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of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this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study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was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to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quantify</w:t>
      </w:r>
      <w:proofErr w:type="spellEnd"/>
      <w:r w:rsidR="00AA2664" w:rsidRPr="00D017C4">
        <w:rPr>
          <w:rFonts w:cs="Times New Roman"/>
        </w:rPr>
        <w:t xml:space="preserve"> financial </w:t>
      </w:r>
      <w:proofErr w:type="spellStart"/>
      <w:r w:rsidR="00AA2664" w:rsidRPr="00D017C4">
        <w:rPr>
          <w:rFonts w:cs="Times New Roman"/>
        </w:rPr>
        <w:t>losses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due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to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mastitis</w:t>
      </w:r>
      <w:proofErr w:type="spellEnd"/>
      <w:r w:rsidR="00AA2664" w:rsidRPr="00D017C4">
        <w:rPr>
          <w:rFonts w:cs="Times New Roman"/>
        </w:rPr>
        <w:t xml:space="preserve"> in </w:t>
      </w:r>
      <w:proofErr w:type="spellStart"/>
      <w:r w:rsidR="00AA2664" w:rsidRPr="00D017C4">
        <w:rPr>
          <w:rFonts w:cs="Times New Roman"/>
        </w:rPr>
        <w:t>properties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located</w:t>
      </w:r>
      <w:proofErr w:type="spellEnd"/>
      <w:r w:rsidR="00AA2664" w:rsidRPr="00D017C4">
        <w:rPr>
          <w:rFonts w:cs="Times New Roman"/>
        </w:rPr>
        <w:t xml:space="preserve"> in </w:t>
      </w:r>
      <w:proofErr w:type="spellStart"/>
      <w:r w:rsidR="00AA2664" w:rsidRPr="00D017C4">
        <w:rPr>
          <w:rFonts w:cs="Times New Roman"/>
        </w:rPr>
        <w:t>the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municipalities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of</w:t>
      </w:r>
      <w:proofErr w:type="spellEnd"/>
      <w:r w:rsidR="00AA2664" w:rsidRPr="00D017C4">
        <w:rPr>
          <w:rFonts w:cs="Times New Roman"/>
        </w:rPr>
        <w:t xml:space="preserve"> Lajedo </w:t>
      </w:r>
      <w:proofErr w:type="spellStart"/>
      <w:r w:rsidR="00AA2664" w:rsidRPr="00D017C4">
        <w:rPr>
          <w:rFonts w:cs="Times New Roman"/>
        </w:rPr>
        <w:t>and</w:t>
      </w:r>
      <w:proofErr w:type="spellEnd"/>
      <w:r w:rsidR="00AA2664" w:rsidRPr="00D017C4">
        <w:rPr>
          <w:rFonts w:cs="Times New Roman"/>
        </w:rPr>
        <w:t xml:space="preserve"> São Bento do Una, </w:t>
      </w:r>
      <w:proofErr w:type="spellStart"/>
      <w:r w:rsidR="00AA2664" w:rsidRPr="00D017C4">
        <w:rPr>
          <w:rFonts w:cs="Times New Roman"/>
        </w:rPr>
        <w:t>state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of</w:t>
      </w:r>
      <w:proofErr w:type="spellEnd"/>
      <w:r w:rsidR="00AA2664" w:rsidRPr="00D017C4">
        <w:rPr>
          <w:rFonts w:cs="Times New Roman"/>
        </w:rPr>
        <w:t xml:space="preserve"> Pernambuco. The </w:t>
      </w:r>
      <w:proofErr w:type="spellStart"/>
      <w:r w:rsidR="00AA2664" w:rsidRPr="00D017C4">
        <w:rPr>
          <w:rFonts w:cs="Times New Roman"/>
        </w:rPr>
        <w:t>study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was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carried</w:t>
      </w:r>
      <w:proofErr w:type="spellEnd"/>
      <w:r w:rsidR="00AA2664" w:rsidRPr="00D017C4">
        <w:rPr>
          <w:rFonts w:cs="Times New Roman"/>
        </w:rPr>
        <w:t xml:space="preserve"> out in </w:t>
      </w:r>
      <w:proofErr w:type="spellStart"/>
      <w:r w:rsidR="00AA2664" w:rsidRPr="00D017C4">
        <w:rPr>
          <w:rFonts w:cs="Times New Roman"/>
        </w:rPr>
        <w:t>six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properties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assisted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by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the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Research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Group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on</w:t>
      </w:r>
      <w:proofErr w:type="spellEnd"/>
      <w:r w:rsidR="00AA2664" w:rsidRPr="00D017C4">
        <w:rPr>
          <w:rFonts w:cs="Times New Roman"/>
        </w:rPr>
        <w:t xml:space="preserve"> Rural-</w:t>
      </w:r>
      <w:proofErr w:type="spellStart"/>
      <w:r w:rsidR="00AA2664" w:rsidRPr="00D017C4">
        <w:rPr>
          <w:rFonts w:cs="Times New Roman"/>
        </w:rPr>
        <w:t>Milk</w:t>
      </w:r>
      <w:proofErr w:type="spellEnd"/>
      <w:r w:rsidR="00AA2664" w:rsidRPr="00D017C4">
        <w:rPr>
          <w:rFonts w:cs="Times New Roman"/>
        </w:rPr>
        <w:t xml:space="preserve"> Management (GPGR-</w:t>
      </w:r>
      <w:proofErr w:type="spellStart"/>
      <w:r w:rsidR="00AA2664" w:rsidRPr="00D017C4">
        <w:rPr>
          <w:rFonts w:cs="Times New Roman"/>
        </w:rPr>
        <w:t>Milk</w:t>
      </w:r>
      <w:proofErr w:type="spellEnd"/>
      <w:r w:rsidR="00AA2664" w:rsidRPr="00D017C4">
        <w:rPr>
          <w:rFonts w:cs="Times New Roman"/>
        </w:rPr>
        <w:t xml:space="preserve">). The </w:t>
      </w:r>
      <w:proofErr w:type="spellStart"/>
      <w:r w:rsidR="00AA2664" w:rsidRPr="00D017C4">
        <w:rPr>
          <w:rFonts w:cs="Times New Roman"/>
        </w:rPr>
        <w:t>information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was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collected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by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the</w:t>
      </w:r>
      <w:proofErr w:type="spellEnd"/>
      <w:r w:rsidR="00AA2664" w:rsidRPr="00D017C4">
        <w:rPr>
          <w:rFonts w:cs="Times New Roman"/>
        </w:rPr>
        <w:t xml:space="preserve"> trainees </w:t>
      </w:r>
      <w:proofErr w:type="spellStart"/>
      <w:r w:rsidR="00AA2664" w:rsidRPr="00D017C4">
        <w:rPr>
          <w:rFonts w:cs="Times New Roman"/>
        </w:rPr>
        <w:t>of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the</w:t>
      </w:r>
      <w:proofErr w:type="spellEnd"/>
      <w:r w:rsidR="00AA2664" w:rsidRPr="00D017C4">
        <w:rPr>
          <w:rFonts w:cs="Times New Roman"/>
        </w:rPr>
        <w:t xml:space="preserve"> GPGR-Leite, in </w:t>
      </w:r>
      <w:proofErr w:type="spellStart"/>
      <w:r w:rsidR="00AA2664" w:rsidRPr="00D017C4">
        <w:rPr>
          <w:rFonts w:cs="Times New Roman"/>
        </w:rPr>
        <w:t>which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the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California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Mastitis</w:t>
      </w:r>
      <w:proofErr w:type="spellEnd"/>
      <w:r w:rsidR="00AA2664" w:rsidRPr="00D017C4">
        <w:rPr>
          <w:rFonts w:cs="Times New Roman"/>
        </w:rPr>
        <w:t xml:space="preserve"> Test (CMT) </w:t>
      </w:r>
      <w:proofErr w:type="spellStart"/>
      <w:r w:rsidR="00AA2664" w:rsidRPr="00D017C4">
        <w:rPr>
          <w:rFonts w:cs="Times New Roman"/>
        </w:rPr>
        <w:t>was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carried</w:t>
      </w:r>
      <w:proofErr w:type="spellEnd"/>
      <w:r w:rsidR="00AA2664" w:rsidRPr="00D017C4">
        <w:rPr>
          <w:rFonts w:cs="Times New Roman"/>
        </w:rPr>
        <w:t xml:space="preserve"> out </w:t>
      </w:r>
      <w:proofErr w:type="spellStart"/>
      <w:r w:rsidR="00AA2664" w:rsidRPr="00D017C4">
        <w:rPr>
          <w:rFonts w:cs="Times New Roman"/>
        </w:rPr>
        <w:t>on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these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properties</w:t>
      </w:r>
      <w:proofErr w:type="spellEnd"/>
      <w:r w:rsidR="00AA2664" w:rsidRPr="00D017C4">
        <w:rPr>
          <w:rFonts w:cs="Times New Roman"/>
        </w:rPr>
        <w:t xml:space="preserve">, </w:t>
      </w:r>
      <w:proofErr w:type="spellStart"/>
      <w:r w:rsidR="00AA2664" w:rsidRPr="00D017C4">
        <w:rPr>
          <w:rFonts w:cs="Times New Roman"/>
        </w:rPr>
        <w:t>and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then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quantified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the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damage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caused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by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mastitis</w:t>
      </w:r>
      <w:proofErr w:type="spellEnd"/>
      <w:r w:rsidR="00AA2664" w:rsidRPr="00D017C4">
        <w:rPr>
          <w:rFonts w:cs="Times New Roman"/>
        </w:rPr>
        <w:t xml:space="preserve">. The </w:t>
      </w:r>
      <w:proofErr w:type="spellStart"/>
      <w:r w:rsidR="00AA2664" w:rsidRPr="00D017C4">
        <w:rPr>
          <w:rFonts w:cs="Times New Roman"/>
        </w:rPr>
        <w:t>actual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number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of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ceilings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presented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an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average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value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of</w:t>
      </w:r>
      <w:proofErr w:type="spellEnd"/>
      <w:r w:rsidR="00AA2664" w:rsidRPr="00D017C4">
        <w:rPr>
          <w:rFonts w:cs="Times New Roman"/>
        </w:rPr>
        <w:t xml:space="preserve"> 51.04. The </w:t>
      </w:r>
      <w:proofErr w:type="spellStart"/>
      <w:r w:rsidR="00AA2664" w:rsidRPr="00D017C4">
        <w:rPr>
          <w:rFonts w:cs="Times New Roman"/>
        </w:rPr>
        <w:t>average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value</w:t>
      </w:r>
      <w:proofErr w:type="spellEnd"/>
      <w:r w:rsidR="00AA2664" w:rsidRPr="00D017C4">
        <w:rPr>
          <w:rFonts w:cs="Times New Roman"/>
        </w:rPr>
        <w:t xml:space="preserve"> for </w:t>
      </w:r>
      <w:proofErr w:type="spellStart"/>
      <w:r w:rsidR="00AA2664" w:rsidRPr="00D017C4">
        <w:rPr>
          <w:rFonts w:cs="Times New Roman"/>
        </w:rPr>
        <w:t>estimated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production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of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the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analyzed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properties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was</w:t>
      </w:r>
      <w:proofErr w:type="spellEnd"/>
      <w:r w:rsidR="00AA2664" w:rsidRPr="00D017C4">
        <w:rPr>
          <w:rFonts w:cs="Times New Roman"/>
        </w:rPr>
        <w:t xml:space="preserve"> 202.49 </w:t>
      </w:r>
      <w:proofErr w:type="spellStart"/>
      <w:r w:rsidR="00AA2664" w:rsidRPr="00D017C4">
        <w:rPr>
          <w:rFonts w:cs="Times New Roman"/>
        </w:rPr>
        <w:t>liters</w:t>
      </w:r>
      <w:proofErr w:type="spellEnd"/>
      <w:r w:rsidR="00AA2664" w:rsidRPr="00D017C4">
        <w:rPr>
          <w:rFonts w:cs="Times New Roman"/>
        </w:rPr>
        <w:t xml:space="preserve">/ </w:t>
      </w:r>
      <w:proofErr w:type="spellStart"/>
      <w:proofErr w:type="gramStart"/>
      <w:r w:rsidR="00AA2664" w:rsidRPr="00D017C4">
        <w:rPr>
          <w:rFonts w:cs="Times New Roman"/>
        </w:rPr>
        <w:t>day</w:t>
      </w:r>
      <w:proofErr w:type="spellEnd"/>
      <w:proofErr w:type="gramEnd"/>
      <w:r w:rsidR="00AA2664" w:rsidRPr="00D017C4">
        <w:rPr>
          <w:rFonts w:cs="Times New Roman"/>
        </w:rPr>
        <w:t xml:space="preserve">. </w:t>
      </w:r>
      <w:proofErr w:type="spellStart"/>
      <w:r w:rsidR="00AA2664" w:rsidRPr="00D017C4">
        <w:rPr>
          <w:rFonts w:cs="Times New Roman"/>
        </w:rPr>
        <w:t>There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was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an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average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daily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loss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of</w:t>
      </w:r>
      <w:proofErr w:type="spellEnd"/>
      <w:r w:rsidR="00AA2664" w:rsidRPr="00D017C4">
        <w:rPr>
          <w:rFonts w:cs="Times New Roman"/>
        </w:rPr>
        <w:t xml:space="preserve"> 8.51 </w:t>
      </w:r>
      <w:proofErr w:type="spellStart"/>
      <w:r w:rsidR="00AA2664" w:rsidRPr="00D017C4">
        <w:rPr>
          <w:rFonts w:cs="Times New Roman"/>
        </w:rPr>
        <w:t>liters</w:t>
      </w:r>
      <w:proofErr w:type="spellEnd"/>
      <w:r w:rsidR="00AA2664" w:rsidRPr="00D017C4">
        <w:rPr>
          <w:rFonts w:cs="Times New Roman"/>
        </w:rPr>
        <w:t xml:space="preserve">/ </w:t>
      </w:r>
      <w:proofErr w:type="spellStart"/>
      <w:proofErr w:type="gramStart"/>
      <w:r w:rsidR="00AA2664" w:rsidRPr="00D017C4">
        <w:rPr>
          <w:rFonts w:cs="Times New Roman"/>
        </w:rPr>
        <w:t>day</w:t>
      </w:r>
      <w:proofErr w:type="spellEnd"/>
      <w:proofErr w:type="gramEnd"/>
      <w:r w:rsidR="00AA2664" w:rsidRPr="00D017C4">
        <w:rPr>
          <w:rFonts w:cs="Times New Roman"/>
        </w:rPr>
        <w:t xml:space="preserve">, </w:t>
      </w:r>
      <w:proofErr w:type="spellStart"/>
      <w:r w:rsidR="00AA2664" w:rsidRPr="00D017C4">
        <w:rPr>
          <w:rFonts w:cs="Times New Roman"/>
        </w:rPr>
        <w:t>with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an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average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monthly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loss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of</w:t>
      </w:r>
      <w:proofErr w:type="spellEnd"/>
      <w:r w:rsidR="00AA2664" w:rsidRPr="00D017C4">
        <w:rPr>
          <w:rFonts w:cs="Times New Roman"/>
        </w:rPr>
        <w:t xml:space="preserve"> 258.64 </w:t>
      </w:r>
      <w:proofErr w:type="spellStart"/>
      <w:r w:rsidR="00AA2664" w:rsidRPr="00D017C4">
        <w:rPr>
          <w:rFonts w:cs="Times New Roman"/>
        </w:rPr>
        <w:t>liters</w:t>
      </w:r>
      <w:proofErr w:type="spellEnd"/>
      <w:r w:rsidR="00AA2664" w:rsidRPr="00D017C4">
        <w:rPr>
          <w:rFonts w:cs="Times New Roman"/>
        </w:rPr>
        <w:t xml:space="preserve">/ </w:t>
      </w:r>
      <w:proofErr w:type="spellStart"/>
      <w:r w:rsidR="00AA2664" w:rsidRPr="00D017C4">
        <w:rPr>
          <w:rFonts w:cs="Times New Roman"/>
        </w:rPr>
        <w:t>month</w:t>
      </w:r>
      <w:proofErr w:type="spellEnd"/>
      <w:r w:rsidR="00AA2664" w:rsidRPr="00D017C4">
        <w:rPr>
          <w:rFonts w:cs="Times New Roman"/>
        </w:rPr>
        <w:t xml:space="preserve">. </w:t>
      </w:r>
      <w:proofErr w:type="spellStart"/>
      <w:r w:rsidR="00AA2664" w:rsidRPr="00D017C4">
        <w:rPr>
          <w:rFonts w:cs="Times New Roman"/>
        </w:rPr>
        <w:t>Regarding</w:t>
      </w:r>
      <w:proofErr w:type="spellEnd"/>
      <w:r w:rsidR="00AA2664" w:rsidRPr="00D017C4">
        <w:rPr>
          <w:rFonts w:cs="Times New Roman"/>
        </w:rPr>
        <w:t xml:space="preserve"> financial </w:t>
      </w:r>
      <w:proofErr w:type="spellStart"/>
      <w:r w:rsidR="00AA2664" w:rsidRPr="00D017C4">
        <w:rPr>
          <w:rFonts w:cs="Times New Roman"/>
        </w:rPr>
        <w:t>losses</w:t>
      </w:r>
      <w:proofErr w:type="spellEnd"/>
      <w:r w:rsidR="00AA2664" w:rsidRPr="00D017C4">
        <w:rPr>
          <w:rFonts w:cs="Times New Roman"/>
        </w:rPr>
        <w:t xml:space="preserve">, </w:t>
      </w:r>
      <w:proofErr w:type="spellStart"/>
      <w:r w:rsidR="00AA2664" w:rsidRPr="00D017C4">
        <w:rPr>
          <w:rFonts w:cs="Times New Roman"/>
        </w:rPr>
        <w:t>the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properties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presented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average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values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of</w:t>
      </w:r>
      <w:proofErr w:type="spellEnd"/>
      <w:r w:rsidR="00AA2664" w:rsidRPr="00D017C4">
        <w:rPr>
          <w:rFonts w:cs="Times New Roman"/>
        </w:rPr>
        <w:t xml:space="preserve"> 306.05 R$/ </w:t>
      </w:r>
      <w:proofErr w:type="spellStart"/>
      <w:r w:rsidR="00AA2664" w:rsidRPr="00D017C4">
        <w:rPr>
          <w:rFonts w:cs="Times New Roman"/>
        </w:rPr>
        <w:t>month</w:t>
      </w:r>
      <w:proofErr w:type="spellEnd"/>
      <w:r w:rsidR="00AA2664" w:rsidRPr="00D017C4">
        <w:rPr>
          <w:rFonts w:cs="Times New Roman"/>
        </w:rPr>
        <w:t xml:space="preserve">. </w:t>
      </w:r>
      <w:proofErr w:type="spellStart"/>
      <w:r w:rsidR="00AA2664" w:rsidRPr="00D017C4">
        <w:rPr>
          <w:rFonts w:cs="Times New Roman"/>
        </w:rPr>
        <w:t>Therefore</w:t>
      </w:r>
      <w:proofErr w:type="spellEnd"/>
      <w:r w:rsidR="00AA2664" w:rsidRPr="00D017C4">
        <w:rPr>
          <w:rFonts w:cs="Times New Roman"/>
        </w:rPr>
        <w:t xml:space="preserve">, it </w:t>
      </w:r>
      <w:proofErr w:type="spellStart"/>
      <w:r w:rsidR="00AA2664" w:rsidRPr="00D017C4">
        <w:rPr>
          <w:rFonts w:cs="Times New Roman"/>
        </w:rPr>
        <w:t>is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concluded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that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mastitis</w:t>
      </w:r>
      <w:proofErr w:type="spellEnd"/>
      <w:r w:rsidR="00AA2664" w:rsidRPr="00D017C4">
        <w:rPr>
          <w:rFonts w:cs="Times New Roman"/>
        </w:rPr>
        <w:t xml:space="preserve"> causes </w:t>
      </w:r>
      <w:proofErr w:type="spellStart"/>
      <w:r w:rsidR="00AA2664" w:rsidRPr="00D017C4">
        <w:rPr>
          <w:rFonts w:cs="Times New Roman"/>
        </w:rPr>
        <w:t>significant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economic</w:t>
      </w:r>
      <w:proofErr w:type="spellEnd"/>
      <w:r w:rsidR="00AA2664" w:rsidRPr="00D017C4">
        <w:rPr>
          <w:rFonts w:cs="Times New Roman"/>
        </w:rPr>
        <w:t xml:space="preserve"> </w:t>
      </w:r>
      <w:proofErr w:type="spellStart"/>
      <w:r w:rsidR="00AA2664" w:rsidRPr="00D017C4">
        <w:rPr>
          <w:rFonts w:cs="Times New Roman"/>
        </w:rPr>
        <w:t>losses</w:t>
      </w:r>
      <w:proofErr w:type="spellEnd"/>
      <w:r w:rsidR="00AA2664" w:rsidRPr="00D017C4">
        <w:rPr>
          <w:rFonts w:cs="Times New Roman"/>
        </w:rPr>
        <w:t>.</w:t>
      </w:r>
    </w:p>
    <w:p w:rsidR="008722B2" w:rsidRPr="00D017C4" w:rsidRDefault="008722B2" w:rsidP="00955AF0">
      <w:pPr>
        <w:jc w:val="both"/>
        <w:rPr>
          <w:rFonts w:eastAsia="Calibri" w:cs="Times New Roman"/>
          <w:color w:val="000000"/>
        </w:rPr>
      </w:pPr>
    </w:p>
    <w:p w:rsidR="00955AF0" w:rsidRPr="00D017C4" w:rsidRDefault="00955AF0" w:rsidP="00955AF0">
      <w:pPr>
        <w:jc w:val="both"/>
        <w:rPr>
          <w:rFonts w:cs="Times New Roman"/>
        </w:rPr>
      </w:pPr>
      <w:r w:rsidRPr="00D017C4">
        <w:rPr>
          <w:rFonts w:cs="Times New Roman"/>
          <w:b/>
        </w:rPr>
        <w:t>KEYWORDS</w:t>
      </w:r>
      <w:r w:rsidR="008722B2" w:rsidRPr="00D017C4">
        <w:rPr>
          <w:rFonts w:eastAsia="Calibri" w:cs="Times New Roman"/>
          <w:b/>
        </w:rPr>
        <w:t>:</w:t>
      </w:r>
      <w:r w:rsidR="00D017C4">
        <w:rPr>
          <w:rFonts w:eastAsia="Calibri" w:cs="Times New Roman"/>
        </w:rPr>
        <w:t xml:space="preserve"> </w:t>
      </w:r>
      <w:proofErr w:type="spellStart"/>
      <w:r w:rsidR="00D017C4" w:rsidRPr="00D017C4">
        <w:rPr>
          <w:rFonts w:eastAsia="Calibri" w:cs="Times New Roman"/>
        </w:rPr>
        <w:t>ceilings</w:t>
      </w:r>
      <w:proofErr w:type="spellEnd"/>
      <w:r w:rsidR="00D017C4" w:rsidRPr="00D017C4">
        <w:rPr>
          <w:rFonts w:eastAsia="Calibri" w:cs="Times New Roman"/>
        </w:rPr>
        <w:t xml:space="preserve">, </w:t>
      </w:r>
      <w:proofErr w:type="spellStart"/>
      <w:proofErr w:type="gramStart"/>
      <w:r w:rsidR="00D017C4" w:rsidRPr="00D017C4">
        <w:rPr>
          <w:rFonts w:eastAsia="Calibri" w:cs="Times New Roman"/>
        </w:rPr>
        <w:t>milk</w:t>
      </w:r>
      <w:proofErr w:type="spellEnd"/>
      <w:proofErr w:type="gramEnd"/>
      <w:r w:rsidR="00D017C4" w:rsidRPr="00D017C4">
        <w:rPr>
          <w:rFonts w:eastAsia="Calibri" w:cs="Times New Roman"/>
        </w:rPr>
        <w:t xml:space="preserve">, </w:t>
      </w:r>
      <w:proofErr w:type="spellStart"/>
      <w:r w:rsidR="00D017C4" w:rsidRPr="00D017C4">
        <w:rPr>
          <w:rFonts w:eastAsia="Calibri" w:cs="Times New Roman"/>
        </w:rPr>
        <w:t>diseases</w:t>
      </w:r>
      <w:proofErr w:type="spellEnd"/>
    </w:p>
    <w:p w:rsidR="00955AF0" w:rsidRPr="008722B2" w:rsidRDefault="00955AF0" w:rsidP="00955AF0">
      <w:pPr>
        <w:jc w:val="both"/>
        <w:rPr>
          <w:rFonts w:cs="Times New Roman"/>
        </w:rPr>
      </w:pPr>
    </w:p>
    <w:p w:rsidR="0098170D" w:rsidRPr="007C37F1" w:rsidRDefault="007C37F1" w:rsidP="007C37F1">
      <w:pPr>
        <w:jc w:val="center"/>
        <w:rPr>
          <w:b/>
          <w:szCs w:val="16"/>
        </w:rPr>
      </w:pPr>
      <w:r>
        <w:rPr>
          <w:b/>
          <w:szCs w:val="16"/>
        </w:rPr>
        <w:t>INTRODUÇÃO</w:t>
      </w:r>
    </w:p>
    <w:p w:rsidR="00E76FAF" w:rsidRPr="005252DA" w:rsidRDefault="0098170D" w:rsidP="00E76FAF">
      <w:pPr>
        <w:autoSpaceDE w:val="0"/>
        <w:autoSpaceDN w:val="0"/>
        <w:adjustRightInd w:val="0"/>
        <w:jc w:val="both"/>
        <w:rPr>
          <w:rFonts w:cs="Times New Roman"/>
        </w:rPr>
      </w:pPr>
      <w:r w:rsidRPr="005252DA">
        <w:rPr>
          <w:rFonts w:cs="Times New Roman"/>
        </w:rPr>
        <w:t>A mastite é uma doença de origem multifatorial, que envolve o animal, ambiente</w:t>
      </w:r>
      <w:r w:rsidR="007C37F1" w:rsidRPr="005252DA">
        <w:rPr>
          <w:rFonts w:cs="Times New Roman"/>
        </w:rPr>
        <w:t>, o homem</w:t>
      </w:r>
      <w:r w:rsidRPr="005252DA">
        <w:rPr>
          <w:rFonts w:cs="Times New Roman"/>
        </w:rPr>
        <w:t xml:space="preserve"> e os agentes infecciosos,</w:t>
      </w:r>
      <w:r w:rsidR="000541E0" w:rsidRPr="005252DA">
        <w:rPr>
          <w:rFonts w:cs="Times New Roman"/>
        </w:rPr>
        <w:t xml:space="preserve"> que geralmente são as bactérias, mas pode ser causada por fungos, levedura</w:t>
      </w:r>
      <w:r w:rsidR="007C37F1" w:rsidRPr="005252DA">
        <w:rPr>
          <w:rFonts w:cs="Times New Roman"/>
        </w:rPr>
        <w:t>s</w:t>
      </w:r>
      <w:r w:rsidR="000541E0" w:rsidRPr="005252DA">
        <w:rPr>
          <w:rFonts w:cs="Times New Roman"/>
        </w:rPr>
        <w:t xml:space="preserve"> e vírus.</w:t>
      </w:r>
      <w:r w:rsidRPr="005252DA">
        <w:rPr>
          <w:rFonts w:cs="Times New Roman"/>
        </w:rPr>
        <w:t xml:space="preserve"> </w:t>
      </w:r>
      <w:r w:rsidR="000541E0" w:rsidRPr="005252DA">
        <w:rPr>
          <w:rFonts w:cs="Times New Roman"/>
        </w:rPr>
        <w:t>C</w:t>
      </w:r>
      <w:r w:rsidRPr="005252DA">
        <w:rPr>
          <w:rFonts w:cs="Times New Roman"/>
        </w:rPr>
        <w:t>aracteriza-se por acometer o parênquima da glândula mamária causando inflamação da mesma</w:t>
      </w:r>
      <w:r w:rsidR="008B4506">
        <w:rPr>
          <w:rFonts w:cs="Times New Roman"/>
        </w:rPr>
        <w:t xml:space="preserve"> (Costa, 2014)</w:t>
      </w:r>
      <w:r w:rsidR="00C24FEC" w:rsidRPr="005252DA">
        <w:rPr>
          <w:rFonts w:cs="Times New Roman"/>
        </w:rPr>
        <w:t>. D</w:t>
      </w:r>
      <w:r w:rsidRPr="005252DA">
        <w:rPr>
          <w:rFonts w:cs="Times New Roman"/>
        </w:rPr>
        <w:t>e</w:t>
      </w:r>
      <w:r w:rsidR="00E76FAF" w:rsidRPr="005252DA">
        <w:rPr>
          <w:rFonts w:cs="Times New Roman"/>
        </w:rPr>
        <w:t xml:space="preserve"> acordo com a manifestação clínica da doença</w:t>
      </w:r>
      <w:r w:rsidR="00C24FEC" w:rsidRPr="005252DA">
        <w:rPr>
          <w:rFonts w:cs="Times New Roman"/>
        </w:rPr>
        <w:t xml:space="preserve"> a mastite é dividida em</w:t>
      </w:r>
      <w:r w:rsidRPr="005252DA">
        <w:rPr>
          <w:rFonts w:cs="Times New Roman"/>
        </w:rPr>
        <w:t xml:space="preserve"> duas formas, </w:t>
      </w:r>
      <w:r w:rsidR="00C24FEC" w:rsidRPr="005252DA">
        <w:rPr>
          <w:rFonts w:cs="Times New Roman"/>
        </w:rPr>
        <w:t xml:space="preserve">mastite </w:t>
      </w:r>
      <w:r w:rsidRPr="005252DA">
        <w:rPr>
          <w:rFonts w:cs="Times New Roman"/>
        </w:rPr>
        <w:t>clínica e subclínica</w:t>
      </w:r>
      <w:r w:rsidR="00C24FEC" w:rsidRPr="005252DA">
        <w:rPr>
          <w:rFonts w:cs="Times New Roman"/>
        </w:rPr>
        <w:t xml:space="preserve"> (Simões &amp; Oliveira, 2012)</w:t>
      </w:r>
      <w:r w:rsidR="00650958" w:rsidRPr="005252DA">
        <w:rPr>
          <w:rFonts w:cs="Times New Roman"/>
        </w:rPr>
        <w:t>.</w:t>
      </w:r>
    </w:p>
    <w:p w:rsidR="008C40E1" w:rsidRPr="00590456" w:rsidRDefault="0098170D" w:rsidP="00E76FAF">
      <w:pPr>
        <w:autoSpaceDE w:val="0"/>
        <w:autoSpaceDN w:val="0"/>
        <w:adjustRightInd w:val="0"/>
        <w:jc w:val="both"/>
        <w:rPr>
          <w:rFonts w:cs="Times New Roman"/>
        </w:rPr>
      </w:pPr>
      <w:r w:rsidRPr="005252DA">
        <w:rPr>
          <w:rFonts w:cs="Times New Roman"/>
        </w:rPr>
        <w:t>A mastite clínica é detectada pelo surgimento de grumos, pus e sangue no leite, aumento da tempe</w:t>
      </w:r>
      <w:r w:rsidR="00C24FEC" w:rsidRPr="005252DA">
        <w:rPr>
          <w:rFonts w:cs="Times New Roman"/>
        </w:rPr>
        <w:t>ratura do úbere, inchaço local, endurecimento da glândula mamária e</w:t>
      </w:r>
      <w:r w:rsidRPr="005252DA">
        <w:rPr>
          <w:rFonts w:cs="Times New Roman"/>
        </w:rPr>
        <w:t xml:space="preserve"> dor.</w:t>
      </w:r>
      <w:r w:rsidR="00C24FEC" w:rsidRPr="005252DA">
        <w:rPr>
          <w:rFonts w:cs="Times New Roman"/>
        </w:rPr>
        <w:t xml:space="preserve"> Além disso, </w:t>
      </w:r>
      <w:r w:rsidR="008C40E1" w:rsidRPr="005252DA">
        <w:rPr>
          <w:rFonts w:cs="Times New Roman"/>
        </w:rPr>
        <w:t>podem</w:t>
      </w:r>
      <w:r w:rsidR="00C24FEC" w:rsidRPr="005252DA">
        <w:rPr>
          <w:rFonts w:cs="Times New Roman"/>
        </w:rPr>
        <w:t xml:space="preserve"> surgir outras manifestações como diminuição no consumo de alimentos, consequentemente afetando negativamente a produção </w:t>
      </w:r>
      <w:r w:rsidR="00DA34C1" w:rsidRPr="005252DA">
        <w:rPr>
          <w:rFonts w:cs="Times New Roman"/>
        </w:rPr>
        <w:t xml:space="preserve">de leite </w:t>
      </w:r>
      <w:r w:rsidR="00C24FEC" w:rsidRPr="005252DA">
        <w:rPr>
          <w:rFonts w:cs="Times New Roman"/>
        </w:rPr>
        <w:t>dos animais afetados.</w:t>
      </w:r>
      <w:r w:rsidR="00650958" w:rsidRPr="005252DA">
        <w:rPr>
          <w:rFonts w:cs="Times New Roman"/>
        </w:rPr>
        <w:t xml:space="preserve"> </w:t>
      </w:r>
      <w:r w:rsidRPr="005252DA">
        <w:rPr>
          <w:rFonts w:cs="Times New Roman"/>
        </w:rPr>
        <w:t>Já a mastite subclínica não apresenta alterações visíveis no leite e no animal,</w:t>
      </w:r>
      <w:r w:rsidR="008C40E1" w:rsidRPr="005252DA">
        <w:rPr>
          <w:rFonts w:cs="Times New Roman"/>
        </w:rPr>
        <w:t xml:space="preserve"> mas surgem </w:t>
      </w:r>
      <w:r w:rsidR="008C40E1" w:rsidRPr="00590456">
        <w:rPr>
          <w:rFonts w:cs="Times New Roman"/>
        </w:rPr>
        <w:t xml:space="preserve">mudanças </w:t>
      </w:r>
      <w:r w:rsidR="008C40E1" w:rsidRPr="00590456">
        <w:rPr>
          <w:rFonts w:cs="Times New Roman"/>
        </w:rPr>
        <w:t>consideráveis</w:t>
      </w:r>
      <w:r w:rsidR="008C40E1" w:rsidRPr="00590456">
        <w:rPr>
          <w:rFonts w:cs="Times New Roman"/>
        </w:rPr>
        <w:t xml:space="preserve"> na composição físico-química do leite. A mastite subclínica pode ser</w:t>
      </w:r>
      <w:r w:rsidRPr="00590456">
        <w:rPr>
          <w:rFonts w:cs="Times New Roman"/>
        </w:rPr>
        <w:t xml:space="preserve"> </w:t>
      </w:r>
      <w:r w:rsidR="008C40E1" w:rsidRPr="00590456">
        <w:rPr>
          <w:rFonts w:cs="Times New Roman"/>
        </w:rPr>
        <w:t>detectada pela junção de testes realizados no campo e em laboratórios, como exemplo o</w:t>
      </w:r>
      <w:r w:rsidRPr="00590456">
        <w:rPr>
          <w:rFonts w:cs="Times New Roman"/>
        </w:rPr>
        <w:t xml:space="preserve"> teste</w:t>
      </w:r>
      <w:r w:rsidR="00650958" w:rsidRPr="00590456">
        <w:rPr>
          <w:rFonts w:cs="Times New Roman"/>
        </w:rPr>
        <w:t xml:space="preserve"> </w:t>
      </w:r>
      <w:proofErr w:type="spellStart"/>
      <w:r w:rsidR="00650958" w:rsidRPr="00590456">
        <w:rPr>
          <w:rFonts w:cs="Times New Roman"/>
        </w:rPr>
        <w:t>California</w:t>
      </w:r>
      <w:proofErr w:type="spellEnd"/>
      <w:r w:rsidR="00650958" w:rsidRPr="00590456">
        <w:rPr>
          <w:rFonts w:cs="Times New Roman"/>
        </w:rPr>
        <w:t xml:space="preserve"> </w:t>
      </w:r>
      <w:proofErr w:type="spellStart"/>
      <w:r w:rsidR="00650958" w:rsidRPr="00590456">
        <w:rPr>
          <w:rFonts w:cs="Times New Roman"/>
        </w:rPr>
        <w:t>Mastitis</w:t>
      </w:r>
      <w:proofErr w:type="spellEnd"/>
      <w:r w:rsidR="00650958" w:rsidRPr="00590456">
        <w:rPr>
          <w:rFonts w:cs="Times New Roman"/>
        </w:rPr>
        <w:t xml:space="preserve"> Test (CMT),</w:t>
      </w:r>
      <w:r w:rsidR="008C40E1" w:rsidRPr="00590456">
        <w:rPr>
          <w:rFonts w:cs="Times New Roman"/>
        </w:rPr>
        <w:t xml:space="preserve"> </w:t>
      </w:r>
      <w:proofErr w:type="spellStart"/>
      <w:r w:rsidR="008C40E1" w:rsidRPr="00590456">
        <w:rPr>
          <w:rFonts w:cs="Times New Roman"/>
          <w:lang w:eastAsia="en-US"/>
        </w:rPr>
        <w:t>Wiscosin</w:t>
      </w:r>
      <w:proofErr w:type="spellEnd"/>
      <w:r w:rsidR="008C40E1" w:rsidRPr="00590456">
        <w:rPr>
          <w:rFonts w:cs="Times New Roman"/>
          <w:lang w:eastAsia="en-US"/>
        </w:rPr>
        <w:t xml:space="preserve"> Mastite Teste (WMT)</w:t>
      </w:r>
      <w:r w:rsidR="008C40E1" w:rsidRPr="00590456">
        <w:rPr>
          <w:rFonts w:cs="Times New Roman"/>
          <w:lang w:eastAsia="en-US"/>
        </w:rPr>
        <w:t xml:space="preserve"> </w:t>
      </w:r>
      <w:r w:rsidR="00650958" w:rsidRPr="00590456">
        <w:rPr>
          <w:rFonts w:cs="Times New Roman"/>
          <w:lang w:eastAsia="en-US"/>
        </w:rPr>
        <w:t>e contagem de células somáticas (CCS).</w:t>
      </w:r>
    </w:p>
    <w:p w:rsidR="0098170D" w:rsidRPr="00590456" w:rsidRDefault="007C37F1" w:rsidP="007C37F1">
      <w:pPr>
        <w:autoSpaceDE w:val="0"/>
        <w:autoSpaceDN w:val="0"/>
        <w:adjustRightInd w:val="0"/>
        <w:jc w:val="both"/>
        <w:rPr>
          <w:rFonts w:cs="Times New Roman"/>
        </w:rPr>
      </w:pPr>
      <w:r w:rsidRPr="00590456">
        <w:rPr>
          <w:rFonts w:cs="Times New Roman"/>
          <w:lang w:eastAsia="en-US"/>
        </w:rPr>
        <w:t xml:space="preserve">Em se tratando de bovinos leiteiros a mastite </w:t>
      </w:r>
      <w:r w:rsidR="00BC4ADE" w:rsidRPr="00590456">
        <w:rPr>
          <w:rFonts w:cs="Times New Roman"/>
          <w:lang w:eastAsia="en-US"/>
        </w:rPr>
        <w:t xml:space="preserve">pela sua prevalência </w:t>
      </w:r>
      <w:r w:rsidRPr="00590456">
        <w:rPr>
          <w:rFonts w:cs="Times New Roman"/>
          <w:lang w:eastAsia="en-US"/>
        </w:rPr>
        <w:t>é considerada uma das en</w:t>
      </w:r>
      <w:r w:rsidRPr="00590456">
        <w:rPr>
          <w:rFonts w:cs="Times New Roman"/>
          <w:lang w:eastAsia="en-US"/>
        </w:rPr>
        <w:t>fermidades mais complexas e que</w:t>
      </w:r>
      <w:r w:rsidR="0098170D" w:rsidRPr="00590456">
        <w:rPr>
          <w:rFonts w:cs="Times New Roman"/>
        </w:rPr>
        <w:t xml:space="preserve"> causa grandes impactos econômicos em sistemas de exploração leiteira, visto que os animais acometidos diminuem a produção de leite, são descartados precocemente do rebanho e morte em casos mais extremos</w:t>
      </w:r>
      <w:r w:rsidR="000541E0" w:rsidRPr="00590456">
        <w:rPr>
          <w:rFonts w:cs="Times New Roman"/>
        </w:rPr>
        <w:t xml:space="preserve">. </w:t>
      </w:r>
      <w:r w:rsidR="005252DA" w:rsidRPr="00590456">
        <w:rPr>
          <w:rFonts w:cs="Times New Roman"/>
        </w:rPr>
        <w:t xml:space="preserve">Além disso, </w:t>
      </w:r>
      <w:r w:rsidR="005252DA" w:rsidRPr="00590456">
        <w:rPr>
          <w:rFonts w:cs="Times New Roman"/>
        </w:rPr>
        <w:t xml:space="preserve">ocorrem </w:t>
      </w:r>
      <w:r w:rsidR="005252DA" w:rsidRPr="00590456">
        <w:rPr>
          <w:rFonts w:cs="Times New Roman"/>
        </w:rPr>
        <w:t xml:space="preserve">gastos com medicamentos e descarte do leite mastítico, </w:t>
      </w:r>
      <w:r w:rsidR="005252DA" w:rsidRPr="00590456">
        <w:rPr>
          <w:rFonts w:cs="Times New Roman"/>
        </w:rPr>
        <w:t>gerando assim, mais</w:t>
      </w:r>
      <w:r w:rsidR="005252DA" w:rsidRPr="00590456">
        <w:rPr>
          <w:rFonts w:cs="Times New Roman"/>
        </w:rPr>
        <w:t xml:space="preserve"> </w:t>
      </w:r>
      <w:r w:rsidR="005252DA" w:rsidRPr="00590456">
        <w:rPr>
          <w:rFonts w:cs="Times New Roman"/>
        </w:rPr>
        <w:t>prejuízos econômicos</w:t>
      </w:r>
      <w:r w:rsidR="00B10B63" w:rsidRPr="00590456">
        <w:rPr>
          <w:rFonts w:cs="Times New Roman"/>
        </w:rPr>
        <w:t xml:space="preserve"> ao produtor</w:t>
      </w:r>
      <w:r w:rsidR="005252DA" w:rsidRPr="00590456">
        <w:rPr>
          <w:rFonts w:cs="Times New Roman"/>
        </w:rPr>
        <w:t>.</w:t>
      </w:r>
    </w:p>
    <w:p w:rsidR="005252DA" w:rsidRPr="00590456" w:rsidRDefault="005252DA" w:rsidP="007C37F1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590456">
        <w:rPr>
          <w:rFonts w:cs="Times New Roman"/>
        </w:rPr>
        <w:t>Diante do exposto</w:t>
      </w:r>
      <w:r w:rsidR="009528F0" w:rsidRPr="00590456">
        <w:rPr>
          <w:rFonts w:cs="Times New Roman"/>
        </w:rPr>
        <w:t xml:space="preserve">, </w:t>
      </w:r>
      <w:r w:rsidR="00E453AE" w:rsidRPr="00590456">
        <w:rPr>
          <w:rFonts w:cs="Times New Roman"/>
        </w:rPr>
        <w:t xml:space="preserve">o presente trabalho </w:t>
      </w:r>
      <w:r w:rsidR="009528F0" w:rsidRPr="00590456">
        <w:rPr>
          <w:rFonts w:cs="Times New Roman"/>
        </w:rPr>
        <w:t>objetivou-se quantificar as perdas financeira</w:t>
      </w:r>
      <w:r w:rsidR="00E453AE" w:rsidRPr="00590456">
        <w:rPr>
          <w:rFonts w:cs="Times New Roman"/>
        </w:rPr>
        <w:t>s em decorrência</w:t>
      </w:r>
      <w:r w:rsidR="00B10B63" w:rsidRPr="00590456">
        <w:rPr>
          <w:rFonts w:cs="Times New Roman"/>
        </w:rPr>
        <w:t xml:space="preserve"> da mastite </w:t>
      </w:r>
      <w:r w:rsidR="009528F0" w:rsidRPr="00590456">
        <w:rPr>
          <w:rFonts w:cs="Times New Roman"/>
        </w:rPr>
        <w:t>em</w:t>
      </w:r>
      <w:r w:rsidR="009528F0" w:rsidRPr="00590456">
        <w:rPr>
          <w:rFonts w:cs="Times New Roman"/>
        </w:rPr>
        <w:t xml:space="preserve"> propriedade</w:t>
      </w:r>
      <w:r w:rsidR="009528F0" w:rsidRPr="00590456">
        <w:rPr>
          <w:rFonts w:cs="Times New Roman"/>
        </w:rPr>
        <w:t>s</w:t>
      </w:r>
      <w:r w:rsidR="009528F0" w:rsidRPr="00590456">
        <w:rPr>
          <w:rFonts w:cs="Times New Roman"/>
        </w:rPr>
        <w:t xml:space="preserve"> </w:t>
      </w:r>
      <w:r w:rsidR="009528F0" w:rsidRPr="00590456">
        <w:rPr>
          <w:rFonts w:cs="Times New Roman"/>
        </w:rPr>
        <w:t>localizadas nos municípios de Lajedo e São Bento do Una, estado de Pernambuco</w:t>
      </w:r>
      <w:r w:rsidR="009528F0" w:rsidRPr="00590456">
        <w:rPr>
          <w:rFonts w:cs="Times New Roman"/>
        </w:rPr>
        <w:t>.</w:t>
      </w:r>
    </w:p>
    <w:p w:rsidR="00BC4ADE" w:rsidRPr="002E6532" w:rsidRDefault="00BC4ADE" w:rsidP="00BC4ADE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955AF0" w:rsidRDefault="00955AF0" w:rsidP="00955AF0">
      <w:pPr>
        <w:jc w:val="center"/>
        <w:rPr>
          <w:b/>
        </w:rPr>
      </w:pPr>
      <w:r w:rsidRPr="001B28CF">
        <w:rPr>
          <w:b/>
        </w:rPr>
        <w:t>MATERIAL E MÉTODOS</w:t>
      </w:r>
    </w:p>
    <w:p w:rsidR="001913A7" w:rsidRPr="00FA1BA6" w:rsidRDefault="00B10B63" w:rsidP="003122DC">
      <w:pPr>
        <w:jc w:val="both"/>
        <w:rPr>
          <w:rFonts w:cs="Times New Roman"/>
        </w:rPr>
      </w:pPr>
      <w:r w:rsidRPr="00FA1BA6">
        <w:rPr>
          <w:rFonts w:cs="Times New Roman"/>
        </w:rPr>
        <w:t xml:space="preserve">Realizou-se o estudo </w:t>
      </w:r>
      <w:r w:rsidR="001913A7" w:rsidRPr="00FA1BA6">
        <w:rPr>
          <w:rFonts w:cs="Times New Roman"/>
        </w:rPr>
        <w:t>em seis propriedades assistidas pelo Grupo de Pesquisa em Gestão Rural- Leite (GPGR-Leite)</w:t>
      </w:r>
      <w:r w:rsidR="00451DE4" w:rsidRPr="00FA1BA6">
        <w:rPr>
          <w:rFonts w:cs="Times New Roman"/>
        </w:rPr>
        <w:t xml:space="preserve">. </w:t>
      </w:r>
      <w:r w:rsidRPr="00FA1BA6">
        <w:rPr>
          <w:rFonts w:cs="Times New Roman"/>
        </w:rPr>
        <w:t xml:space="preserve">As informações foram coletadas </w:t>
      </w:r>
      <w:r w:rsidRPr="00FA1BA6">
        <w:rPr>
          <w:rFonts w:cs="Times New Roman"/>
        </w:rPr>
        <w:t>pelos estagiários do (GPGR-Leite)</w:t>
      </w:r>
      <w:r w:rsidRPr="00FA1BA6">
        <w:rPr>
          <w:rFonts w:cs="Times New Roman"/>
        </w:rPr>
        <w:t xml:space="preserve">, no qual </w:t>
      </w:r>
      <w:r w:rsidR="001E7BBA" w:rsidRPr="00FA1BA6">
        <w:rPr>
          <w:rFonts w:cs="Times New Roman"/>
        </w:rPr>
        <w:t>se realizou</w:t>
      </w:r>
      <w:r w:rsidRPr="00FA1BA6">
        <w:rPr>
          <w:rFonts w:cs="Times New Roman"/>
        </w:rPr>
        <w:t xml:space="preserve"> </w:t>
      </w:r>
      <w:r w:rsidRPr="00FA1BA6">
        <w:rPr>
          <w:rFonts w:cs="Times New Roman"/>
        </w:rPr>
        <w:t xml:space="preserve">o teste </w:t>
      </w:r>
      <w:proofErr w:type="spellStart"/>
      <w:r w:rsidRPr="00FA1BA6">
        <w:rPr>
          <w:rFonts w:cs="Times New Roman"/>
        </w:rPr>
        <w:t>California</w:t>
      </w:r>
      <w:proofErr w:type="spellEnd"/>
      <w:r w:rsidRPr="00FA1BA6">
        <w:rPr>
          <w:rFonts w:cs="Times New Roman"/>
        </w:rPr>
        <w:t xml:space="preserve"> </w:t>
      </w:r>
      <w:proofErr w:type="spellStart"/>
      <w:r w:rsidRPr="00FA1BA6">
        <w:rPr>
          <w:rFonts w:cs="Times New Roman"/>
        </w:rPr>
        <w:lastRenderedPageBreak/>
        <w:t>Mastitis</w:t>
      </w:r>
      <w:proofErr w:type="spellEnd"/>
      <w:r w:rsidRPr="00FA1BA6">
        <w:rPr>
          <w:rFonts w:cs="Times New Roman"/>
        </w:rPr>
        <w:t xml:space="preserve"> Test (CMT)</w:t>
      </w:r>
      <w:r w:rsidR="001E7BBA" w:rsidRPr="00FA1BA6">
        <w:rPr>
          <w:rFonts w:cs="Times New Roman"/>
        </w:rPr>
        <w:t xml:space="preserve"> nas referidas propriedades, para posteriormente quantificar os prejuízos</w:t>
      </w:r>
      <w:r w:rsidR="00876B8C" w:rsidRPr="00FA1BA6">
        <w:rPr>
          <w:rFonts w:cs="Times New Roman"/>
        </w:rPr>
        <w:t xml:space="preserve"> causados pela mastite.</w:t>
      </w:r>
    </w:p>
    <w:p w:rsidR="003122DC" w:rsidRPr="001913A7" w:rsidRDefault="00876B8C" w:rsidP="003122DC">
      <w:pPr>
        <w:jc w:val="both"/>
        <w:rPr>
          <w:rFonts w:cs="Times New Roman"/>
        </w:rPr>
      </w:pPr>
      <w:r w:rsidRPr="00FA1BA6">
        <w:rPr>
          <w:rFonts w:cs="Times New Roman"/>
        </w:rPr>
        <w:t>O teste CMT é realizado após o teste da can</w:t>
      </w:r>
      <w:r w:rsidR="002C5F15" w:rsidRPr="00FA1BA6">
        <w:rPr>
          <w:rFonts w:cs="Times New Roman"/>
        </w:rPr>
        <w:t>eca d</w:t>
      </w:r>
      <w:r w:rsidR="00BA4407" w:rsidRPr="00FA1BA6">
        <w:rPr>
          <w:rFonts w:cs="Times New Roman"/>
        </w:rPr>
        <w:t>e fundo</w:t>
      </w:r>
      <w:r w:rsidRPr="00FA1BA6">
        <w:rPr>
          <w:rFonts w:cs="Times New Roman"/>
        </w:rPr>
        <w:t xml:space="preserve">, </w:t>
      </w:r>
      <w:r w:rsidR="004D5861" w:rsidRPr="00FA1BA6">
        <w:rPr>
          <w:rFonts w:cs="Times New Roman"/>
        </w:rPr>
        <w:t xml:space="preserve">na </w:t>
      </w:r>
      <w:r w:rsidR="00276423" w:rsidRPr="00FA1BA6">
        <w:rPr>
          <w:rFonts w:cs="Times New Roman"/>
        </w:rPr>
        <w:t>realização do</w:t>
      </w:r>
      <w:r w:rsidR="00D33399" w:rsidRPr="00FA1BA6">
        <w:rPr>
          <w:rFonts w:cs="Times New Roman"/>
        </w:rPr>
        <w:t xml:space="preserve"> teste utilizou-se </w:t>
      </w:r>
      <w:proofErr w:type="gramStart"/>
      <w:r w:rsidR="00B34CD7" w:rsidRPr="00FA1BA6">
        <w:rPr>
          <w:rFonts w:cs="Times New Roman"/>
        </w:rPr>
        <w:t>2</w:t>
      </w:r>
      <w:proofErr w:type="gramEnd"/>
      <w:r w:rsidR="00B34CD7" w:rsidRPr="00FA1BA6">
        <w:rPr>
          <w:rFonts w:cs="Times New Roman"/>
        </w:rPr>
        <w:t xml:space="preserve"> ml</w:t>
      </w:r>
      <w:r w:rsidR="00276423" w:rsidRPr="00FA1BA6">
        <w:rPr>
          <w:rFonts w:cs="Times New Roman"/>
        </w:rPr>
        <w:t xml:space="preserve"> do</w:t>
      </w:r>
      <w:r w:rsidR="00451DE4" w:rsidRPr="00FA1BA6">
        <w:rPr>
          <w:rFonts w:cs="Times New Roman"/>
        </w:rPr>
        <w:t xml:space="preserve"> reagente CMT, </w:t>
      </w:r>
      <w:r w:rsidR="00D33399" w:rsidRPr="00FA1BA6">
        <w:rPr>
          <w:rFonts w:cs="Times New Roman"/>
        </w:rPr>
        <w:t>com 2</w:t>
      </w:r>
      <w:r w:rsidR="00B34CD7" w:rsidRPr="00FA1BA6">
        <w:rPr>
          <w:rFonts w:cs="Times New Roman"/>
        </w:rPr>
        <w:t xml:space="preserve"> </w:t>
      </w:r>
      <w:r w:rsidR="00451DE4" w:rsidRPr="00FA1BA6">
        <w:rPr>
          <w:rFonts w:cs="Times New Roman"/>
        </w:rPr>
        <w:t xml:space="preserve">ml de leite colocados em uma placa graduada com quatro cavidades apropriada para o referido teste. Esta metodologia aplica-se no leite ordenhado de todos os tetos dos </w:t>
      </w:r>
      <w:r w:rsidRPr="00FA1BA6">
        <w:rPr>
          <w:rFonts w:cs="Times New Roman"/>
        </w:rPr>
        <w:t xml:space="preserve">animais participantes do teste. </w:t>
      </w:r>
      <w:r w:rsidR="00451DE4" w:rsidRPr="00FA1BA6">
        <w:rPr>
          <w:rFonts w:cs="Times New Roman"/>
        </w:rPr>
        <w:t>Posteriormente realizou-se o cálculo para contabilização das perdas econômicas no programa Microsoft Excel</w:t>
      </w:r>
      <w:r w:rsidR="00451DE4" w:rsidRPr="00FA1BA6">
        <w:rPr>
          <w:rFonts w:cs="Times New Roman"/>
          <w:vertAlign w:val="superscript"/>
        </w:rPr>
        <w:t>®</w:t>
      </w:r>
      <w:r w:rsidR="00451DE4" w:rsidRPr="00FA1BA6">
        <w:rPr>
          <w:rFonts w:cs="Times New Roman"/>
          <w:vertAlign w:val="subscript"/>
        </w:rPr>
        <w:t xml:space="preserve">, </w:t>
      </w:r>
      <w:r w:rsidR="00451DE4" w:rsidRPr="00FA1BA6">
        <w:rPr>
          <w:rFonts w:cs="Times New Roman"/>
        </w:rPr>
        <w:t>tomando como base a produção diária de leite, preço do leite e a quantidade de tetos sadios e acometidos por mastite.</w:t>
      </w:r>
      <w:r w:rsidR="00A846CB" w:rsidRPr="00FA1BA6">
        <w:rPr>
          <w:rFonts w:cs="Times New Roman"/>
        </w:rPr>
        <w:t xml:space="preserve"> E os resultados foram </w:t>
      </w:r>
      <w:r w:rsidR="002457BB">
        <w:rPr>
          <w:rFonts w:cs="Times New Roman"/>
        </w:rPr>
        <w:t>analisados</w:t>
      </w:r>
      <w:r w:rsidR="00D33399" w:rsidRPr="00FA1BA6">
        <w:rPr>
          <w:rFonts w:cs="Times New Roman"/>
        </w:rPr>
        <w:t xml:space="preserve"> </w:t>
      </w:r>
      <w:r w:rsidR="002457BB">
        <w:rPr>
          <w:rFonts w:cs="Times New Roman"/>
        </w:rPr>
        <w:t xml:space="preserve">seguidamente em </w:t>
      </w:r>
      <w:r w:rsidR="00D33399" w:rsidRPr="00FA1BA6">
        <w:rPr>
          <w:rFonts w:cs="Times New Roman"/>
        </w:rPr>
        <w:t>estatística descritiva</w:t>
      </w:r>
      <w:r w:rsidR="00D33399">
        <w:rPr>
          <w:rFonts w:cs="Times New Roman"/>
        </w:rPr>
        <w:t>.</w:t>
      </w:r>
    </w:p>
    <w:p w:rsidR="003122DC" w:rsidRDefault="003122DC" w:rsidP="003122DC">
      <w:pPr>
        <w:jc w:val="both"/>
      </w:pPr>
    </w:p>
    <w:p w:rsidR="001C4449" w:rsidRDefault="00955AF0" w:rsidP="00DA438E">
      <w:pPr>
        <w:ind w:firstLine="1"/>
        <w:jc w:val="center"/>
        <w:rPr>
          <w:b/>
        </w:rPr>
      </w:pPr>
      <w:r w:rsidRPr="0028783A">
        <w:rPr>
          <w:b/>
        </w:rPr>
        <w:t>RESULTADOS E DISCUSSÃO</w:t>
      </w:r>
    </w:p>
    <w:p w:rsidR="00955AF0" w:rsidRDefault="00A8142C" w:rsidP="004A50DC">
      <w:pPr>
        <w:ind w:firstLine="1"/>
        <w:jc w:val="both"/>
        <w:rPr>
          <w:rFonts w:cs="Times New Roman"/>
        </w:rPr>
      </w:pPr>
      <w:r w:rsidRPr="00CF0FBD">
        <w:rPr>
          <w:rFonts w:cs="Times New Roman"/>
        </w:rPr>
        <w:t>Analisando a tabela 1 observo</w:t>
      </w:r>
      <w:r>
        <w:rPr>
          <w:rFonts w:cs="Times New Roman"/>
        </w:rPr>
        <w:t>u-se que as propriedades analisa</w:t>
      </w:r>
      <w:r w:rsidRPr="00CF0FBD">
        <w:rPr>
          <w:rFonts w:cs="Times New Roman"/>
        </w:rPr>
        <w:t xml:space="preserve">das obtiveram </w:t>
      </w:r>
      <w:r w:rsidR="009A10FA">
        <w:rPr>
          <w:rFonts w:cs="Times New Roman"/>
        </w:rPr>
        <w:t>valores médios par</w:t>
      </w:r>
      <w:r w:rsidRPr="00CF0FBD">
        <w:rPr>
          <w:rFonts w:cs="Times New Roman"/>
        </w:rPr>
        <w:t xml:space="preserve">a </w:t>
      </w:r>
      <w:r w:rsidR="0004375C">
        <w:rPr>
          <w:rFonts w:cs="Times New Roman"/>
        </w:rPr>
        <w:t>quantidade de tetos analisados de 53,17. A quantidade média de tetos que obtiveram resultado negativo foi de 41,50,</w:t>
      </w:r>
      <w:r w:rsidR="00050CE6">
        <w:rPr>
          <w:rFonts w:cs="Times New Roman"/>
        </w:rPr>
        <w:t xml:space="preserve"> já</w:t>
      </w:r>
      <w:r w:rsidR="0004375C">
        <w:rPr>
          <w:rFonts w:cs="Times New Roman"/>
        </w:rPr>
        <w:t xml:space="preserve"> </w:t>
      </w:r>
      <w:r w:rsidR="00050CE6">
        <w:rPr>
          <w:rFonts w:cs="Times New Roman"/>
        </w:rPr>
        <w:t xml:space="preserve">os valores médios dos tetos analisados que apresentaram escore </w:t>
      </w:r>
      <w:proofErr w:type="gramStart"/>
      <w:r w:rsidR="00050CE6">
        <w:rPr>
          <w:rFonts w:cs="Times New Roman"/>
        </w:rPr>
        <w:t>1</w:t>
      </w:r>
      <w:proofErr w:type="gramEnd"/>
      <w:r w:rsidR="00050CE6">
        <w:rPr>
          <w:rFonts w:cs="Times New Roman"/>
        </w:rPr>
        <w:t xml:space="preserve"> (+), </w:t>
      </w:r>
      <w:r w:rsidR="00050CE6">
        <w:rPr>
          <w:rFonts w:cs="Times New Roman"/>
        </w:rPr>
        <w:t>es</w:t>
      </w:r>
      <w:r w:rsidR="00050CE6">
        <w:rPr>
          <w:rFonts w:cs="Times New Roman"/>
        </w:rPr>
        <w:t>core 2</w:t>
      </w:r>
      <w:r w:rsidR="00050CE6">
        <w:rPr>
          <w:rFonts w:cs="Times New Roman"/>
        </w:rPr>
        <w:t xml:space="preserve"> (+</w:t>
      </w:r>
      <w:r w:rsidR="00050CE6">
        <w:rPr>
          <w:rFonts w:cs="Times New Roman"/>
        </w:rPr>
        <w:t>+</w:t>
      </w:r>
      <w:r w:rsidR="00050CE6">
        <w:rPr>
          <w:rFonts w:cs="Times New Roman"/>
        </w:rPr>
        <w:t>)</w:t>
      </w:r>
      <w:r w:rsidR="00050CE6">
        <w:rPr>
          <w:rFonts w:cs="Times New Roman"/>
        </w:rPr>
        <w:t xml:space="preserve"> e </w:t>
      </w:r>
      <w:r w:rsidR="00050CE6">
        <w:rPr>
          <w:rFonts w:cs="Times New Roman"/>
        </w:rPr>
        <w:t>es</w:t>
      </w:r>
      <w:r w:rsidR="00050CE6">
        <w:rPr>
          <w:rFonts w:cs="Times New Roman"/>
        </w:rPr>
        <w:t>core 3</w:t>
      </w:r>
      <w:r w:rsidR="00050CE6">
        <w:rPr>
          <w:rFonts w:cs="Times New Roman"/>
        </w:rPr>
        <w:t xml:space="preserve"> (+</w:t>
      </w:r>
      <w:r w:rsidR="00050CE6">
        <w:rPr>
          <w:rFonts w:cs="Times New Roman"/>
        </w:rPr>
        <w:t>++</w:t>
      </w:r>
      <w:r w:rsidR="00050CE6">
        <w:rPr>
          <w:rFonts w:cs="Times New Roman"/>
        </w:rPr>
        <w:t xml:space="preserve">) </w:t>
      </w:r>
      <w:r w:rsidR="00050CE6">
        <w:rPr>
          <w:rFonts w:cs="Times New Roman"/>
        </w:rPr>
        <w:t>foi de 8,50, 2,50 e 0,67, respectivamente</w:t>
      </w:r>
    </w:p>
    <w:p w:rsidR="000904CB" w:rsidRPr="000904CB" w:rsidRDefault="000904CB" w:rsidP="000904CB">
      <w:pPr>
        <w:ind w:left="567" w:firstLine="1"/>
        <w:jc w:val="both"/>
        <w:rPr>
          <w:rFonts w:cs="Times New Roman"/>
        </w:rPr>
      </w:pPr>
    </w:p>
    <w:p w:rsidR="00452630" w:rsidRDefault="00F75E5C" w:rsidP="00863F27">
      <w:pPr>
        <w:ind w:left="567"/>
        <w:contextualSpacing/>
        <w:jc w:val="both"/>
        <w:rPr>
          <w:rFonts w:cs="Times New Roman"/>
        </w:rPr>
      </w:pPr>
      <w:r w:rsidRPr="00CF0FBD">
        <w:rPr>
          <w:rFonts w:cs="Times New Roman"/>
        </w:rPr>
        <w:t xml:space="preserve">Tabela 1. </w:t>
      </w:r>
      <w:r w:rsidR="004725BA">
        <w:rPr>
          <w:rFonts w:cs="Times New Roman"/>
        </w:rPr>
        <w:t>Resultado do t</w:t>
      </w:r>
      <w:r w:rsidR="00FD551B">
        <w:rPr>
          <w:rFonts w:cs="Times New Roman"/>
        </w:rPr>
        <w:t xml:space="preserve">este </w:t>
      </w:r>
      <w:r w:rsidR="00FD551B" w:rsidRPr="00FD551B">
        <w:rPr>
          <w:rFonts w:cs="Times New Roman"/>
        </w:rPr>
        <w:t>CMT (</w:t>
      </w:r>
      <w:proofErr w:type="spellStart"/>
      <w:r w:rsidR="00FD551B" w:rsidRPr="00FD551B">
        <w:rPr>
          <w:rFonts w:cs="Times New Roman"/>
          <w:i/>
          <w:iCs/>
        </w:rPr>
        <w:t>California</w:t>
      </w:r>
      <w:proofErr w:type="spellEnd"/>
      <w:r w:rsidR="00FD551B" w:rsidRPr="00FD551B">
        <w:rPr>
          <w:rFonts w:cs="Times New Roman"/>
          <w:i/>
          <w:iCs/>
        </w:rPr>
        <w:t xml:space="preserve"> </w:t>
      </w:r>
      <w:proofErr w:type="spellStart"/>
      <w:r w:rsidR="00FD551B" w:rsidRPr="00FD551B">
        <w:rPr>
          <w:rFonts w:cs="Times New Roman"/>
          <w:i/>
          <w:iCs/>
        </w:rPr>
        <w:t>Mastitis</w:t>
      </w:r>
      <w:proofErr w:type="spellEnd"/>
      <w:r w:rsidR="00FD551B" w:rsidRPr="00FD551B">
        <w:rPr>
          <w:rFonts w:cs="Times New Roman"/>
          <w:i/>
          <w:iCs/>
        </w:rPr>
        <w:t xml:space="preserve"> Test</w:t>
      </w:r>
      <w:r w:rsidR="00FD551B" w:rsidRPr="00FD551B">
        <w:rPr>
          <w:rFonts w:cs="Times New Roman"/>
        </w:rPr>
        <w:t>)</w:t>
      </w:r>
      <w:r w:rsidR="00FD551B">
        <w:rPr>
          <w:rFonts w:cs="Times New Roman"/>
        </w:rPr>
        <w:t xml:space="preserve"> </w:t>
      </w:r>
      <w:r w:rsidR="004725BA">
        <w:rPr>
          <w:rFonts w:cs="Times New Roman"/>
        </w:rPr>
        <w:t>realizado n</w:t>
      </w:r>
      <w:r w:rsidR="00FD551B">
        <w:rPr>
          <w:rFonts w:cs="Times New Roman"/>
        </w:rPr>
        <w:t>as propriedades analisadas</w:t>
      </w:r>
    </w:p>
    <w:tbl>
      <w:tblPr>
        <w:tblW w:w="7817" w:type="dxa"/>
        <w:jc w:val="center"/>
        <w:tblInd w:w="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562"/>
        <w:gridCol w:w="563"/>
        <w:gridCol w:w="563"/>
        <w:gridCol w:w="563"/>
        <w:gridCol w:w="563"/>
        <w:gridCol w:w="860"/>
        <w:gridCol w:w="932"/>
        <w:gridCol w:w="1294"/>
      </w:tblGrid>
      <w:tr w:rsidR="00FD551B" w:rsidRPr="00FD551B" w:rsidTr="00EF4B0B">
        <w:trPr>
          <w:trHeight w:val="311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Teste CMT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Propriedades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Média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Erro Padrão</w:t>
            </w:r>
          </w:p>
        </w:tc>
      </w:tr>
      <w:tr w:rsidR="00FD551B" w:rsidRPr="00FD551B" w:rsidTr="00EF4B0B">
        <w:trPr>
          <w:trHeight w:val="311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551B" w:rsidRPr="00FD551B" w:rsidRDefault="00FD551B" w:rsidP="00FD55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551B" w:rsidRPr="00FD551B" w:rsidRDefault="00FD551B" w:rsidP="00FD551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551B" w:rsidRPr="00FD551B" w:rsidRDefault="00FD551B" w:rsidP="00FD551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FD551B" w:rsidRPr="00FD551B" w:rsidTr="00EF4B0B">
        <w:trPr>
          <w:trHeight w:val="311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Quantidade de tetos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53,17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9,95</w:t>
            </w:r>
          </w:p>
        </w:tc>
      </w:tr>
      <w:tr w:rsidR="00FD551B" w:rsidRPr="00FD551B" w:rsidTr="00EF4B0B">
        <w:trPr>
          <w:trHeight w:val="311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EC0902" w:rsidP="00FD551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Negativo</w:t>
            </w:r>
            <w:r w:rsidR="00FD551B" w:rsidRPr="00FD551B">
              <w:rPr>
                <w:rFonts w:eastAsia="Times New Roman" w:cs="Times New Roman"/>
                <w:color w:val="000000"/>
              </w:rPr>
              <w:t xml:space="preserve"> (-)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67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9,69</w:t>
            </w:r>
          </w:p>
        </w:tc>
      </w:tr>
      <w:tr w:rsidR="008A6D26" w:rsidRPr="00FD551B" w:rsidTr="00EF4B0B">
        <w:trPr>
          <w:trHeight w:val="311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6D26" w:rsidRPr="00FD551B" w:rsidRDefault="008A6D26" w:rsidP="00FD551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Traço 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6D26" w:rsidRPr="00FD551B" w:rsidRDefault="008A6D26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6D26" w:rsidRPr="00FD551B" w:rsidRDefault="008A6D26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6D26" w:rsidRPr="00FD551B" w:rsidRDefault="008A6D26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6D26" w:rsidRPr="00FD551B" w:rsidRDefault="008A6D26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6D26" w:rsidRPr="00FD551B" w:rsidRDefault="008A6D26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6D26" w:rsidRPr="00FD551B" w:rsidRDefault="008A6D26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6D26" w:rsidRPr="00FD551B" w:rsidRDefault="008A6D26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6D26" w:rsidRPr="00FD551B" w:rsidRDefault="008A6D26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</w:tr>
      <w:tr w:rsidR="00FD551B" w:rsidRPr="00FD551B" w:rsidTr="00EF4B0B">
        <w:trPr>
          <w:trHeight w:val="311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974C0E" w:rsidP="00FD551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Escore</w:t>
            </w:r>
            <w:r w:rsidR="00FD551B" w:rsidRPr="00FD551B"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 w:rsidR="00FD551B" w:rsidRPr="00FD551B">
              <w:rPr>
                <w:rFonts w:eastAsia="Times New Roman" w:cs="Times New Roman"/>
                <w:color w:val="000000"/>
              </w:rPr>
              <w:t>1</w:t>
            </w:r>
            <w:proofErr w:type="gramEnd"/>
            <w:r w:rsidR="00FD551B" w:rsidRPr="00FD551B">
              <w:rPr>
                <w:rFonts w:eastAsia="Times New Roman" w:cs="Times New Roman"/>
                <w:color w:val="000000"/>
              </w:rPr>
              <w:t xml:space="preserve"> (+)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8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8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2,17</w:t>
            </w:r>
          </w:p>
        </w:tc>
      </w:tr>
      <w:tr w:rsidR="00FD551B" w:rsidRPr="00FD551B" w:rsidTr="00EF4B0B">
        <w:trPr>
          <w:trHeight w:val="311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974C0E" w:rsidP="00FD551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Escore</w:t>
            </w:r>
            <w:r w:rsidR="00FD551B" w:rsidRPr="00FD551B"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 w:rsidR="00FD551B" w:rsidRPr="00FD551B">
              <w:rPr>
                <w:rFonts w:eastAsia="Times New Roman" w:cs="Times New Roman"/>
                <w:color w:val="000000"/>
              </w:rPr>
              <w:t>2</w:t>
            </w:r>
            <w:proofErr w:type="gramEnd"/>
            <w:r w:rsidR="00FD551B" w:rsidRPr="00FD551B">
              <w:rPr>
                <w:rFonts w:eastAsia="Times New Roman" w:cs="Times New Roman"/>
                <w:color w:val="000000"/>
              </w:rPr>
              <w:t xml:space="preserve"> 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0,67</w:t>
            </w:r>
          </w:p>
        </w:tc>
      </w:tr>
      <w:tr w:rsidR="00FD551B" w:rsidRPr="00FD551B" w:rsidTr="00EF4B0B">
        <w:trPr>
          <w:trHeight w:val="311"/>
          <w:jc w:val="center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974C0E" w:rsidP="00FD551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Escore</w:t>
            </w:r>
            <w:r w:rsidR="00FD551B" w:rsidRPr="00FD551B">
              <w:rPr>
                <w:rFonts w:eastAsia="Times New Roman" w:cs="Times New Roman"/>
                <w:color w:val="000000"/>
              </w:rPr>
              <w:t xml:space="preserve"> 3 (+++)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FD551B">
              <w:rPr>
                <w:rFonts w:eastAsia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551B" w:rsidRPr="00FD551B" w:rsidRDefault="00FD551B" w:rsidP="00FD551B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551B">
              <w:rPr>
                <w:rFonts w:eastAsia="Times New Roman" w:cs="Times New Roman"/>
                <w:color w:val="000000"/>
              </w:rPr>
              <w:t>0,49</w:t>
            </w:r>
          </w:p>
        </w:tc>
      </w:tr>
    </w:tbl>
    <w:p w:rsidR="00FD551B" w:rsidRDefault="00FD551B" w:rsidP="003D720B">
      <w:pPr>
        <w:contextualSpacing/>
        <w:jc w:val="both"/>
        <w:rPr>
          <w:rFonts w:cs="Times New Roman"/>
        </w:rPr>
      </w:pPr>
    </w:p>
    <w:p w:rsidR="00615A39" w:rsidRPr="00B25C1F" w:rsidRDefault="002C218C" w:rsidP="004A50DC">
      <w:pPr>
        <w:contextualSpacing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>Analisando a tabela 2</w:t>
      </w:r>
      <w:r w:rsidRPr="00CF0FBD">
        <w:rPr>
          <w:rFonts w:cs="Times New Roman"/>
        </w:rPr>
        <w:t xml:space="preserve"> </w:t>
      </w:r>
      <w:r>
        <w:rPr>
          <w:rFonts w:cs="Times New Roman"/>
        </w:rPr>
        <w:t xml:space="preserve">observaram-se as </w:t>
      </w:r>
      <w:r w:rsidR="002F17D3">
        <w:t>perdas financeiras</w:t>
      </w:r>
      <w:r w:rsidR="001A4D13">
        <w:t xml:space="preserve"> e produtivas</w:t>
      </w:r>
      <w:r w:rsidR="002F17D3">
        <w:t xml:space="preserve"> que as propriedades </w:t>
      </w:r>
      <w:r>
        <w:t xml:space="preserve">analisadas </w:t>
      </w:r>
      <w:r w:rsidR="001A4D13">
        <w:t>obtiveram</w:t>
      </w:r>
      <w:r w:rsidR="002F17D3">
        <w:t xml:space="preserve"> em decorrência </w:t>
      </w:r>
      <w:r w:rsidR="001A4D13">
        <w:t>d</w:t>
      </w:r>
      <w:r w:rsidR="002F17D3">
        <w:t>a mastite</w:t>
      </w:r>
      <w:r w:rsidR="003D720B">
        <w:t>. As propriedades apresentam média de produção de 194,00 litros/ dia</w:t>
      </w:r>
      <w:r w:rsidR="00CE5554">
        <w:t>. Após o teste</w:t>
      </w:r>
      <w:r w:rsidR="00933AAC">
        <w:t xml:space="preserve"> </w:t>
      </w:r>
      <w:r w:rsidR="005E4B92">
        <w:t>CMT</w:t>
      </w:r>
      <w:r w:rsidR="00CE5554">
        <w:t xml:space="preserve"> </w:t>
      </w:r>
      <w:r w:rsidR="005E4B92">
        <w:t>realizaram-se</w:t>
      </w:r>
      <w:r w:rsidR="00CE5554">
        <w:t xml:space="preserve"> </w:t>
      </w:r>
      <w:r w:rsidR="005E4B92">
        <w:t xml:space="preserve">cálculos para </w:t>
      </w:r>
      <w:r w:rsidR="00CE5554">
        <w:t>a quantificação</w:t>
      </w:r>
      <w:r w:rsidR="005E4B92">
        <w:t xml:space="preserve"> das perdas produtivas e financeiras</w:t>
      </w:r>
      <w:r w:rsidR="00AF3435">
        <w:t xml:space="preserve"> (</w:t>
      </w:r>
      <w:proofErr w:type="spellStart"/>
      <w:r w:rsidR="00AF3435">
        <w:rPr>
          <w:rFonts w:cs="Times New Roman"/>
        </w:rPr>
        <w:t>Philpot</w:t>
      </w:r>
      <w:proofErr w:type="spellEnd"/>
      <w:r w:rsidR="00AF3435">
        <w:rPr>
          <w:rFonts w:cs="Times New Roman"/>
        </w:rPr>
        <w:t xml:space="preserve"> &amp;</w:t>
      </w:r>
      <w:proofErr w:type="spellStart"/>
      <w:r w:rsidR="00AF3435" w:rsidRPr="00AF3435">
        <w:rPr>
          <w:rFonts w:cs="Times New Roman"/>
        </w:rPr>
        <w:t>N</w:t>
      </w:r>
      <w:r w:rsidR="00AF3435" w:rsidRPr="00AF3435">
        <w:rPr>
          <w:rFonts w:cs="Times New Roman"/>
        </w:rPr>
        <w:t>ickerson</w:t>
      </w:r>
      <w:proofErr w:type="spellEnd"/>
      <w:r w:rsidR="00AF3435">
        <w:rPr>
          <w:rFonts w:cs="Times New Roman"/>
        </w:rPr>
        <w:t xml:space="preserve">, 1991). Para o </w:t>
      </w:r>
      <w:r w:rsidR="00AF3435">
        <w:rPr>
          <w:rFonts w:eastAsia="Times New Roman" w:cs="Times New Roman"/>
          <w:color w:val="000000"/>
        </w:rPr>
        <w:t>n</w:t>
      </w:r>
      <w:r w:rsidR="00AF3435" w:rsidRPr="006620AC">
        <w:rPr>
          <w:rFonts w:eastAsia="Times New Roman" w:cs="Times New Roman"/>
          <w:color w:val="000000"/>
        </w:rPr>
        <w:t>úmero real de tetos</w:t>
      </w:r>
      <w:r w:rsidR="00AF3435">
        <w:rPr>
          <w:rFonts w:eastAsia="Times New Roman" w:cs="Times New Roman"/>
          <w:color w:val="000000"/>
        </w:rPr>
        <w:t xml:space="preserve">, o valor médio foi de 51,04. O valor médio para produção estimada das propriedades analisadas foi de 202,49 litros/ dia. Houve uma perda diária média de </w:t>
      </w:r>
      <w:r w:rsidR="00615A39">
        <w:rPr>
          <w:rFonts w:eastAsia="Times New Roman" w:cs="Times New Roman"/>
          <w:color w:val="000000"/>
        </w:rPr>
        <w:t xml:space="preserve">8,51 litros/ dia, a perda mensal média foi de 258,64litros/ mês, tomando como base ao ano, o valor seria de 3103,68 litros/ano de perdas causadas pela mastite. Devido a isso os produtores precisam de medidas que minimizem as perdas produtivas com a ocorrência da mastite, como um controle maior da higiene, </w:t>
      </w:r>
      <w:r w:rsidR="00B25C1F">
        <w:rPr>
          <w:rFonts w:eastAsia="Times New Roman" w:cs="Times New Roman"/>
          <w:color w:val="000000"/>
        </w:rPr>
        <w:t>adotarem</w:t>
      </w:r>
      <w:r w:rsidR="00615A39">
        <w:rPr>
          <w:rFonts w:eastAsia="Times New Roman" w:cs="Times New Roman"/>
          <w:color w:val="000000"/>
        </w:rPr>
        <w:t xml:space="preserve"> boas práticas de manejo na sala de ordenha e </w:t>
      </w:r>
      <w:r w:rsidR="00B25C1F">
        <w:rPr>
          <w:rFonts w:eastAsia="Times New Roman" w:cs="Times New Roman"/>
          <w:color w:val="000000"/>
        </w:rPr>
        <w:t>melhorar a sanidade do rebanho.</w:t>
      </w:r>
    </w:p>
    <w:p w:rsidR="00FD551B" w:rsidRDefault="00FD551B" w:rsidP="001C4449">
      <w:pPr>
        <w:ind w:left="567"/>
        <w:contextualSpacing/>
        <w:jc w:val="both"/>
        <w:rPr>
          <w:rFonts w:cs="Times New Roman"/>
        </w:rPr>
      </w:pPr>
    </w:p>
    <w:p w:rsidR="006620AC" w:rsidRDefault="002C218C" w:rsidP="006620AC">
      <w:pPr>
        <w:ind w:left="567"/>
        <w:contextualSpacing/>
        <w:jc w:val="both"/>
        <w:rPr>
          <w:rFonts w:cs="Times New Roman"/>
        </w:rPr>
      </w:pPr>
      <w:r>
        <w:rPr>
          <w:rFonts w:cs="Times New Roman"/>
        </w:rPr>
        <w:t>Tabela 2</w:t>
      </w:r>
      <w:r w:rsidR="005B6AD2">
        <w:rPr>
          <w:rFonts w:cs="Times New Roman"/>
        </w:rPr>
        <w:t>. Resultado das e</w:t>
      </w:r>
      <w:r w:rsidR="004725BA">
        <w:rPr>
          <w:rFonts w:cs="Times New Roman"/>
        </w:rPr>
        <w:t>stimativas das per</w:t>
      </w:r>
      <w:r w:rsidR="005B6AD2">
        <w:rPr>
          <w:rFonts w:cs="Times New Roman"/>
        </w:rPr>
        <w:t>das financeiras e produtivas do</w:t>
      </w:r>
      <w:r w:rsidR="004725BA" w:rsidRPr="00FD551B">
        <w:rPr>
          <w:rFonts w:cs="Times New Roman"/>
        </w:rPr>
        <w:t xml:space="preserve"> (</w:t>
      </w:r>
      <w:proofErr w:type="spellStart"/>
      <w:r w:rsidR="004725BA" w:rsidRPr="00FD551B">
        <w:rPr>
          <w:rFonts w:cs="Times New Roman"/>
          <w:i/>
          <w:iCs/>
        </w:rPr>
        <w:t>California</w:t>
      </w:r>
      <w:proofErr w:type="spellEnd"/>
      <w:r w:rsidR="004725BA" w:rsidRPr="00FD551B">
        <w:rPr>
          <w:rFonts w:cs="Times New Roman"/>
          <w:i/>
          <w:iCs/>
        </w:rPr>
        <w:t xml:space="preserve"> </w:t>
      </w:r>
      <w:proofErr w:type="spellStart"/>
      <w:r w:rsidR="004725BA" w:rsidRPr="00FD551B">
        <w:rPr>
          <w:rFonts w:cs="Times New Roman"/>
          <w:i/>
          <w:iCs/>
        </w:rPr>
        <w:t>Mastitis</w:t>
      </w:r>
      <w:proofErr w:type="spellEnd"/>
      <w:r w:rsidR="004725BA" w:rsidRPr="00FD551B">
        <w:rPr>
          <w:rFonts w:cs="Times New Roman"/>
          <w:i/>
          <w:iCs/>
        </w:rPr>
        <w:t xml:space="preserve"> Test</w:t>
      </w:r>
      <w:r w:rsidR="004725BA" w:rsidRPr="00FD551B">
        <w:rPr>
          <w:rFonts w:cs="Times New Roman"/>
        </w:rPr>
        <w:t>)</w:t>
      </w:r>
    </w:p>
    <w:tbl>
      <w:tblPr>
        <w:tblW w:w="8574" w:type="dxa"/>
        <w:jc w:val="right"/>
        <w:tblInd w:w="-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918"/>
        <w:gridCol w:w="699"/>
        <w:gridCol w:w="699"/>
        <w:gridCol w:w="699"/>
        <w:gridCol w:w="699"/>
        <w:gridCol w:w="706"/>
        <w:gridCol w:w="813"/>
        <w:gridCol w:w="700"/>
        <w:gridCol w:w="704"/>
      </w:tblGrid>
      <w:tr w:rsidR="006620AC" w:rsidRPr="004725BA" w:rsidTr="004725BA">
        <w:trPr>
          <w:trHeight w:val="283"/>
          <w:jc w:val="right"/>
        </w:trPr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620AC" w:rsidRPr="006620AC" w:rsidRDefault="00F153E4" w:rsidP="00F153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Perdas estimadas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620AC" w:rsidRPr="006620AC" w:rsidRDefault="004725BA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4725BA">
              <w:rPr>
                <w:rFonts w:eastAsia="Times New Roman" w:cs="Times New Roman"/>
                <w:color w:val="000000"/>
              </w:rPr>
              <w:t>U</w:t>
            </w:r>
            <w:r w:rsidR="006620AC" w:rsidRPr="006620AC">
              <w:rPr>
                <w:rFonts w:eastAsia="Times New Roman" w:cs="Times New Roman"/>
                <w:color w:val="000000"/>
              </w:rPr>
              <w:t>nidade</w:t>
            </w:r>
          </w:p>
        </w:tc>
        <w:tc>
          <w:tcPr>
            <w:tcW w:w="43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Propriedades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Média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620AC" w:rsidRPr="004725BA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 xml:space="preserve">Erro </w:t>
            </w:r>
          </w:p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Padrão</w:t>
            </w:r>
          </w:p>
        </w:tc>
      </w:tr>
      <w:tr w:rsidR="004725BA" w:rsidRPr="004725BA" w:rsidTr="004725BA">
        <w:trPr>
          <w:trHeight w:val="283"/>
          <w:jc w:val="right"/>
        </w:trPr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6620AC">
              <w:rPr>
                <w:rFonts w:eastAsia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6620AC">
              <w:rPr>
                <w:rFonts w:eastAsia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6620AC">
              <w:rPr>
                <w:rFonts w:eastAsia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6620AC">
              <w:rPr>
                <w:rFonts w:eastAsia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6620AC">
              <w:rPr>
                <w:rFonts w:eastAsia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6620AC">
              <w:rPr>
                <w:rFonts w:eastAsia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725BA" w:rsidRPr="004725BA" w:rsidTr="004725BA">
        <w:trPr>
          <w:trHeight w:val="283"/>
          <w:jc w:val="right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Produção de leite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(L/dia)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272,00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180,00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284,10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84,00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88,88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255,00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194,00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37,09</w:t>
            </w:r>
          </w:p>
        </w:tc>
      </w:tr>
      <w:tr w:rsidR="004725BA" w:rsidRPr="004725BA" w:rsidTr="004725BA">
        <w:trPr>
          <w:trHeight w:val="283"/>
          <w:jc w:val="right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Número real de tetos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Quant.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80,25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46,55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56,09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22,55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26,38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74,41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51,04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9,77</w:t>
            </w:r>
          </w:p>
        </w:tc>
      </w:tr>
      <w:tr w:rsidR="004725BA" w:rsidRPr="004725BA" w:rsidTr="004725BA">
        <w:trPr>
          <w:trHeight w:val="283"/>
          <w:jc w:val="right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4725BA" w:rsidP="006620A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Produção</w:t>
            </w:r>
            <w:r w:rsidR="006620AC" w:rsidRPr="006620AC">
              <w:rPr>
                <w:rFonts w:eastAsia="Times New Roman" w:cs="Times New Roman"/>
                <w:color w:val="000000"/>
              </w:rPr>
              <w:t xml:space="preserve"> estimada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(L/dia)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281,27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185,61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303,86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89,40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94,34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260,45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202,49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38,56</w:t>
            </w:r>
          </w:p>
        </w:tc>
      </w:tr>
      <w:tr w:rsidR="004725BA" w:rsidRPr="004725BA" w:rsidTr="004725BA">
        <w:trPr>
          <w:trHeight w:val="283"/>
          <w:jc w:val="right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 xml:space="preserve">Perda diária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(L/dia)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9,32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5,61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19,80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5,40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5,46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5,45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8,51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2,34</w:t>
            </w:r>
          </w:p>
        </w:tc>
      </w:tr>
      <w:tr w:rsidR="004725BA" w:rsidRPr="004725BA" w:rsidTr="004725BA">
        <w:trPr>
          <w:trHeight w:val="283"/>
          <w:jc w:val="right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 xml:space="preserve">Perda mensal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(L/mês)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283,49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170,56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602,37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164,31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166,04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165,04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258,64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71,36</w:t>
            </w:r>
          </w:p>
        </w:tc>
      </w:tr>
      <w:tr w:rsidR="004725BA" w:rsidRPr="004725BA" w:rsidTr="004725BA">
        <w:trPr>
          <w:trHeight w:val="283"/>
          <w:jc w:val="right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Preço médio do leite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R$/L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1,16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1,20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1,18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1,20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1,18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1,20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1,19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0,01</w:t>
            </w:r>
          </w:p>
        </w:tc>
      </w:tr>
      <w:tr w:rsidR="004725BA" w:rsidRPr="004725BA" w:rsidTr="004725BA">
        <w:trPr>
          <w:trHeight w:val="283"/>
          <w:jc w:val="right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Perda estimada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3,43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3,11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6,97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6,43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6,14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2,14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4,70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0,83</w:t>
            </w:r>
          </w:p>
        </w:tc>
      </w:tr>
      <w:tr w:rsidR="004725BA" w:rsidRPr="004725BA" w:rsidTr="004725BA">
        <w:trPr>
          <w:trHeight w:val="283"/>
          <w:jc w:val="right"/>
        </w:trPr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Perda financeira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R$/mês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328,85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204,67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710,79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197,17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195,92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198,91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306,05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0AC" w:rsidRPr="006620AC" w:rsidRDefault="006620AC" w:rsidP="006620AC">
            <w:pPr>
              <w:jc w:val="center"/>
              <w:rPr>
                <w:rFonts w:eastAsia="Times New Roman" w:cs="Times New Roman"/>
                <w:color w:val="000000"/>
              </w:rPr>
            </w:pPr>
            <w:r w:rsidRPr="006620AC">
              <w:rPr>
                <w:rFonts w:eastAsia="Times New Roman" w:cs="Times New Roman"/>
                <w:color w:val="000000"/>
              </w:rPr>
              <w:t>83,68</w:t>
            </w:r>
          </w:p>
        </w:tc>
      </w:tr>
    </w:tbl>
    <w:p w:rsidR="00FD551B" w:rsidRDefault="00FD551B" w:rsidP="001C4449">
      <w:pPr>
        <w:ind w:left="567"/>
        <w:contextualSpacing/>
        <w:jc w:val="both"/>
        <w:rPr>
          <w:rFonts w:cs="Times New Roman"/>
        </w:rPr>
      </w:pPr>
    </w:p>
    <w:p w:rsidR="0098170D" w:rsidRPr="00AF14C9" w:rsidRDefault="00B25C1F" w:rsidP="004A50DC">
      <w:pPr>
        <w:contextualSpacing/>
        <w:jc w:val="both"/>
        <w:rPr>
          <w:rFonts w:eastAsia="Times New Roman" w:cs="Times New Roman"/>
          <w:color w:val="000000"/>
        </w:rPr>
      </w:pPr>
      <w:r>
        <w:t xml:space="preserve">Em relação às perdas financeiras, as propriedades apresentaram valores médios de 306,05 </w:t>
      </w:r>
      <w:r w:rsidRPr="006620AC">
        <w:rPr>
          <w:rFonts w:eastAsia="Times New Roman" w:cs="Times New Roman"/>
          <w:color w:val="000000"/>
        </w:rPr>
        <w:t>R$/mês</w:t>
      </w:r>
      <w:r>
        <w:rPr>
          <w:rFonts w:eastAsia="Times New Roman" w:cs="Times New Roman"/>
          <w:color w:val="000000"/>
        </w:rPr>
        <w:t xml:space="preserve">, totalizando ao ano 3672,60 R$/ano de perdas em dinheiro, isso sem contabilizar os gastos com medicamentos e aumento também da mão de obra para tratar os animais acometidos, </w:t>
      </w:r>
      <w:r w:rsidR="00D23247">
        <w:rPr>
          <w:rFonts w:eastAsia="Times New Roman" w:cs="Times New Roman"/>
          <w:color w:val="000000"/>
        </w:rPr>
        <w:t xml:space="preserve">com </w:t>
      </w:r>
      <w:r>
        <w:rPr>
          <w:rFonts w:eastAsia="Times New Roman" w:cs="Times New Roman"/>
          <w:color w:val="000000"/>
        </w:rPr>
        <w:t>isso acaba diminuindo a lucrati</w:t>
      </w:r>
      <w:r w:rsidR="00D23247">
        <w:rPr>
          <w:rFonts w:eastAsia="Times New Roman" w:cs="Times New Roman"/>
          <w:color w:val="000000"/>
        </w:rPr>
        <w:t>vidade dos produtores devido aos</w:t>
      </w:r>
      <w:r>
        <w:rPr>
          <w:rFonts w:eastAsia="Times New Roman" w:cs="Times New Roman"/>
          <w:color w:val="000000"/>
        </w:rPr>
        <w:t xml:space="preserve"> problemas de mastite no rebanho.</w:t>
      </w:r>
      <w:r w:rsidR="0064051B">
        <w:rPr>
          <w:rFonts w:eastAsia="Times New Roman" w:cs="Times New Roman"/>
          <w:color w:val="000000"/>
        </w:rPr>
        <w:t xml:space="preserve"> Apesar do grande impacto causado produtivamente e financeiramente nas propriedades</w:t>
      </w:r>
      <w:r w:rsidR="00155EDF">
        <w:rPr>
          <w:rFonts w:eastAsia="Times New Roman" w:cs="Times New Roman"/>
          <w:color w:val="000000"/>
        </w:rPr>
        <w:t xml:space="preserve"> analisadas</w:t>
      </w:r>
      <w:r w:rsidR="0064051B">
        <w:rPr>
          <w:rFonts w:eastAsia="Times New Roman" w:cs="Times New Roman"/>
          <w:color w:val="000000"/>
        </w:rPr>
        <w:t xml:space="preserve">, a porcentagem da perda estimada apresentou valor </w:t>
      </w:r>
      <w:r w:rsidR="00155EDF">
        <w:rPr>
          <w:rFonts w:eastAsia="Times New Roman" w:cs="Times New Roman"/>
          <w:color w:val="000000"/>
        </w:rPr>
        <w:t>médio de 4,70%, apresentando valor abaixo do máximo admitido com perdas com mastite que é de 5%.</w:t>
      </w:r>
    </w:p>
    <w:p w:rsidR="008403EE" w:rsidRDefault="008403EE" w:rsidP="004725BA">
      <w:pPr>
        <w:contextualSpacing/>
        <w:jc w:val="both"/>
        <w:rPr>
          <w:rFonts w:cs="Times New Roman"/>
        </w:rPr>
      </w:pPr>
    </w:p>
    <w:p w:rsidR="004A50DC" w:rsidRPr="001C4449" w:rsidRDefault="004A50DC" w:rsidP="004725BA">
      <w:pPr>
        <w:contextualSpacing/>
        <w:jc w:val="both"/>
        <w:rPr>
          <w:rFonts w:cs="Times New Roman"/>
        </w:rPr>
      </w:pPr>
      <w:bookmarkStart w:id="0" w:name="_GoBack"/>
      <w:bookmarkEnd w:id="0"/>
    </w:p>
    <w:p w:rsidR="00955AF0" w:rsidRDefault="00955AF0" w:rsidP="00B051BE">
      <w:pPr>
        <w:jc w:val="center"/>
        <w:rPr>
          <w:b/>
        </w:rPr>
      </w:pPr>
      <w:r w:rsidRPr="00AA172E">
        <w:rPr>
          <w:b/>
        </w:rPr>
        <w:lastRenderedPageBreak/>
        <w:t>CONCLUSÕES</w:t>
      </w:r>
    </w:p>
    <w:p w:rsidR="00AF14C9" w:rsidRPr="00AF14C9" w:rsidRDefault="00AF14C9" w:rsidP="00AF14C9">
      <w:pPr>
        <w:ind w:left="567"/>
        <w:jc w:val="both"/>
      </w:pPr>
      <w:r w:rsidRPr="00AF14C9">
        <w:t>Diante disso, conclui-se que a mastite causa significativas perdas econômicas,</w:t>
      </w:r>
      <w:r>
        <w:t xml:space="preserve"> influenciando na diminuição na lucratividade das propriedades analisadas. H</w:t>
      </w:r>
      <w:r w:rsidRPr="00AF14C9">
        <w:t>avendo a necessidade de prevenção da mesma, com o intuito de reduzir as perdas financeiras decorrentes de tal enfermidade no rebanho leiteiro.</w:t>
      </w:r>
    </w:p>
    <w:p w:rsidR="00AF14C9" w:rsidRDefault="00AF14C9" w:rsidP="00AF14C9">
      <w:pPr>
        <w:jc w:val="center"/>
        <w:rPr>
          <w:rFonts w:cs="Times New Roman"/>
          <w:b/>
        </w:rPr>
      </w:pPr>
    </w:p>
    <w:p w:rsidR="002121AA" w:rsidRPr="00AF14C9" w:rsidRDefault="00B051BE" w:rsidP="00AF14C9">
      <w:pPr>
        <w:jc w:val="center"/>
        <w:rPr>
          <w:rFonts w:cs="Times New Roman"/>
          <w:b/>
        </w:rPr>
      </w:pPr>
      <w:r w:rsidRPr="00B051BE">
        <w:rPr>
          <w:rFonts w:cs="Times New Roman"/>
          <w:b/>
        </w:rPr>
        <w:t>REFERÊNCIAS</w:t>
      </w:r>
    </w:p>
    <w:p w:rsidR="00AF3435" w:rsidRPr="004A50DC" w:rsidRDefault="00AF3435" w:rsidP="004A50DC">
      <w:pPr>
        <w:autoSpaceDE w:val="0"/>
        <w:autoSpaceDN w:val="0"/>
        <w:adjustRightInd w:val="0"/>
        <w:jc w:val="both"/>
        <w:rPr>
          <w:rFonts w:cs="Times New Roman"/>
        </w:rPr>
      </w:pPr>
    </w:p>
    <w:p w:rsidR="00AF3435" w:rsidRPr="004A50DC" w:rsidRDefault="00AF3435" w:rsidP="004A50DC">
      <w:pPr>
        <w:autoSpaceDE w:val="0"/>
        <w:autoSpaceDN w:val="0"/>
        <w:adjustRightInd w:val="0"/>
        <w:jc w:val="both"/>
        <w:rPr>
          <w:rFonts w:cs="Times New Roman"/>
        </w:rPr>
      </w:pPr>
      <w:r w:rsidRPr="004A50DC">
        <w:rPr>
          <w:rFonts w:cs="Times New Roman"/>
        </w:rPr>
        <w:t xml:space="preserve">PHILPOT, W.N.; NICKERSON, S.C. </w:t>
      </w:r>
      <w:proofErr w:type="spellStart"/>
      <w:r w:rsidRPr="004A50DC">
        <w:rPr>
          <w:rFonts w:cs="Times New Roman"/>
        </w:rPr>
        <w:t>Mastitis</w:t>
      </w:r>
      <w:proofErr w:type="spellEnd"/>
      <w:r w:rsidRPr="004A50DC">
        <w:rPr>
          <w:rFonts w:cs="Times New Roman"/>
        </w:rPr>
        <w:t xml:space="preserve">: </w:t>
      </w:r>
      <w:proofErr w:type="spellStart"/>
      <w:r w:rsidRPr="004A50DC">
        <w:rPr>
          <w:rFonts w:cs="Times New Roman"/>
        </w:rPr>
        <w:t>Counter</w:t>
      </w:r>
      <w:proofErr w:type="spellEnd"/>
      <w:r w:rsidRPr="004A50DC">
        <w:rPr>
          <w:rFonts w:cs="Times New Roman"/>
        </w:rPr>
        <w:t xml:space="preserve"> </w:t>
      </w:r>
      <w:proofErr w:type="spellStart"/>
      <w:r w:rsidRPr="004A50DC">
        <w:rPr>
          <w:rFonts w:cs="Times New Roman"/>
        </w:rPr>
        <w:t>Attack</w:t>
      </w:r>
      <w:proofErr w:type="spellEnd"/>
      <w:r w:rsidRPr="004A50DC">
        <w:rPr>
          <w:rFonts w:cs="Times New Roman"/>
        </w:rPr>
        <w:t xml:space="preserve">. Naperville: </w:t>
      </w:r>
      <w:proofErr w:type="spellStart"/>
      <w:r w:rsidRPr="004A50DC">
        <w:rPr>
          <w:rFonts w:cs="Times New Roman"/>
        </w:rPr>
        <w:t>Babson</w:t>
      </w:r>
      <w:proofErr w:type="spellEnd"/>
      <w:r w:rsidRPr="004A50DC">
        <w:rPr>
          <w:rFonts w:cs="Times New Roman"/>
        </w:rPr>
        <w:t xml:space="preserve"> </w:t>
      </w:r>
      <w:proofErr w:type="spellStart"/>
      <w:r w:rsidRPr="004A50DC">
        <w:rPr>
          <w:rFonts w:cs="Times New Roman"/>
        </w:rPr>
        <w:t>Bros</w:t>
      </w:r>
      <w:proofErr w:type="spellEnd"/>
      <w:r w:rsidRPr="004A50DC">
        <w:rPr>
          <w:rFonts w:cs="Times New Roman"/>
        </w:rPr>
        <w:t>, 1991. 150p.</w:t>
      </w:r>
    </w:p>
    <w:p w:rsidR="00AF3435" w:rsidRPr="004A50DC" w:rsidRDefault="00AF3435" w:rsidP="004A50DC">
      <w:pPr>
        <w:autoSpaceDE w:val="0"/>
        <w:autoSpaceDN w:val="0"/>
        <w:adjustRightInd w:val="0"/>
        <w:jc w:val="both"/>
        <w:rPr>
          <w:rFonts w:cs="Times New Roman"/>
        </w:rPr>
      </w:pPr>
    </w:p>
    <w:p w:rsidR="00AF3435" w:rsidRPr="004A50DC" w:rsidRDefault="00AF3435" w:rsidP="004A50DC">
      <w:pPr>
        <w:autoSpaceDE w:val="0"/>
        <w:autoSpaceDN w:val="0"/>
        <w:adjustRightInd w:val="0"/>
        <w:jc w:val="both"/>
        <w:rPr>
          <w:rFonts w:cs="Times New Roman"/>
        </w:rPr>
      </w:pPr>
      <w:r w:rsidRPr="004A50DC">
        <w:rPr>
          <w:rFonts w:cs="Times New Roman"/>
        </w:rPr>
        <w:t xml:space="preserve">Silva, J.C.P.M.; Veloso, C.M.; Franco, M.O.; Oliveira, A.S. (Ed) Manejo e Administração em Bovinocultura leiteira. In: Costa, G.M. Mastite Bovina.  </w:t>
      </w:r>
      <w:proofErr w:type="gramStart"/>
      <w:r w:rsidRPr="004A50DC">
        <w:rPr>
          <w:rFonts w:cs="Times New Roman"/>
        </w:rPr>
        <w:t>2 .</w:t>
      </w:r>
      <w:proofErr w:type="gramEnd"/>
      <w:r w:rsidRPr="004A50DC">
        <w:rPr>
          <w:rFonts w:cs="Times New Roman"/>
        </w:rPr>
        <w:t xml:space="preserve">ed. suprema gráfica e editora: Viçosa-MG, 2014. </w:t>
      </w:r>
      <w:proofErr w:type="gramStart"/>
      <w:r w:rsidRPr="004A50DC">
        <w:rPr>
          <w:rFonts w:cs="Times New Roman"/>
        </w:rPr>
        <w:t>p.</w:t>
      </w:r>
      <w:proofErr w:type="gramEnd"/>
      <w:r w:rsidRPr="004A50DC">
        <w:rPr>
          <w:rFonts w:cs="Times New Roman"/>
        </w:rPr>
        <w:t>391-421.</w:t>
      </w:r>
    </w:p>
    <w:p w:rsidR="004A50DC" w:rsidRPr="004A50DC" w:rsidRDefault="004A50DC" w:rsidP="004A50DC">
      <w:pPr>
        <w:autoSpaceDE w:val="0"/>
        <w:autoSpaceDN w:val="0"/>
        <w:adjustRightInd w:val="0"/>
        <w:jc w:val="both"/>
        <w:rPr>
          <w:rFonts w:cs="Times New Roman"/>
        </w:rPr>
      </w:pPr>
    </w:p>
    <w:p w:rsidR="004A50DC" w:rsidRPr="004A50DC" w:rsidRDefault="004A50DC" w:rsidP="004A50DC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4A50DC">
        <w:rPr>
          <w:rFonts w:cs="Times New Roman"/>
          <w:lang w:eastAsia="en-US"/>
        </w:rPr>
        <w:t>Simões</w:t>
      </w:r>
      <w:r w:rsidRPr="004A50DC">
        <w:rPr>
          <w:rFonts w:cs="Times New Roman"/>
          <w:lang w:eastAsia="en-US"/>
        </w:rPr>
        <w:t xml:space="preserve">, </w:t>
      </w:r>
      <w:proofErr w:type="gramStart"/>
      <w:r w:rsidRPr="004A50DC">
        <w:rPr>
          <w:rFonts w:cs="Times New Roman"/>
          <w:lang w:eastAsia="en-US"/>
        </w:rPr>
        <w:t>T.V.M.</w:t>
      </w:r>
      <w:proofErr w:type="gramEnd"/>
      <w:r w:rsidRPr="004A50DC">
        <w:rPr>
          <w:rFonts w:cs="Times New Roman"/>
          <w:lang w:eastAsia="en-US"/>
        </w:rPr>
        <w:t xml:space="preserve">D; Oliveira, A.A. </w:t>
      </w:r>
      <w:r w:rsidRPr="004A50DC">
        <w:rPr>
          <w:rFonts w:cs="Times New Roman"/>
          <w:b/>
          <w:bCs/>
          <w:lang w:eastAsia="en-US"/>
        </w:rPr>
        <w:t xml:space="preserve">Mastite Bovina, Considerações e Impactos </w:t>
      </w:r>
      <w:r w:rsidRPr="004A50DC">
        <w:rPr>
          <w:rFonts w:cs="Times New Roman"/>
          <w:b/>
          <w:bCs/>
          <w:lang w:eastAsia="en-US"/>
        </w:rPr>
        <w:t>Econômicos</w:t>
      </w:r>
      <w:r w:rsidRPr="004A50DC">
        <w:rPr>
          <w:rFonts w:cs="Times New Roman"/>
          <w:b/>
          <w:bCs/>
          <w:lang w:eastAsia="en-US"/>
        </w:rPr>
        <w:t xml:space="preserve">. </w:t>
      </w:r>
      <w:proofErr w:type="gramStart"/>
      <w:r w:rsidRPr="004A50DC">
        <w:rPr>
          <w:rFonts w:cs="Times New Roman"/>
          <w:lang w:eastAsia="en-US"/>
        </w:rPr>
        <w:t>Aracaju :</w:t>
      </w:r>
      <w:proofErr w:type="gramEnd"/>
    </w:p>
    <w:p w:rsidR="004A50DC" w:rsidRPr="004A50DC" w:rsidRDefault="004A50DC" w:rsidP="004A50DC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4A50DC">
        <w:rPr>
          <w:rFonts w:cs="Times New Roman"/>
          <w:lang w:eastAsia="en-US"/>
        </w:rPr>
        <w:t>Embrapa Tabuleiros Costeiros, 2012.</w:t>
      </w:r>
    </w:p>
    <w:sectPr w:rsidR="004A50DC" w:rsidRPr="004A50DC" w:rsidSect="008123F1"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F1" w:rsidRDefault="00F417F1" w:rsidP="00955AF0">
      <w:r>
        <w:separator/>
      </w:r>
    </w:p>
  </w:endnote>
  <w:endnote w:type="continuationSeparator" w:id="0">
    <w:p w:rsidR="00F417F1" w:rsidRDefault="00F417F1" w:rsidP="0095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A0" w:rsidRDefault="008123F1">
    <w:pPr>
      <w:pStyle w:val="Rodap"/>
    </w:pPr>
    <w:r>
      <w:rPr>
        <w:rFonts w:ascii="Arial" w:hAnsi="Arial" w:cs="Arial"/>
        <w:b/>
        <w:color w:val="222222"/>
        <w:sz w:val="19"/>
        <w:szCs w:val="19"/>
        <w:shd w:val="clear" w:color="auto" w:fill="FFFFFF"/>
      </w:rPr>
      <w:t>IX EXPOAGROCIÊNCIA</w:t>
    </w:r>
  </w:p>
  <w:p w:rsidR="002378A0" w:rsidRDefault="002378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F1" w:rsidRDefault="00F417F1" w:rsidP="00955AF0">
      <w:r>
        <w:separator/>
      </w:r>
    </w:p>
  </w:footnote>
  <w:footnote w:type="continuationSeparator" w:id="0">
    <w:p w:rsidR="00F417F1" w:rsidRDefault="00F417F1" w:rsidP="0095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A0" w:rsidRPr="008123F1" w:rsidRDefault="002378A0" w:rsidP="002378A0">
    <w:pPr>
      <w:pStyle w:val="Cabealho"/>
      <w:jc w:val="center"/>
      <w:rPr>
        <w:rFonts w:cs="Times New Roman"/>
        <w:b/>
      </w:rPr>
    </w:pPr>
    <w:r w:rsidRPr="008123F1">
      <w:rPr>
        <w:rFonts w:cs="Times New Roman"/>
        <w:b/>
      </w:rPr>
      <w:t>XXVI SEMANA DE ZOOTENIA DA UFRPE</w:t>
    </w:r>
  </w:p>
  <w:p w:rsidR="002378A0" w:rsidRPr="008123F1" w:rsidRDefault="002378A0" w:rsidP="002378A0">
    <w:pPr>
      <w:pStyle w:val="Cabealho"/>
      <w:jc w:val="center"/>
      <w:rPr>
        <w:rFonts w:cs="Times New Roman"/>
        <w:b/>
      </w:rPr>
    </w:pPr>
    <w:r w:rsidRPr="008123F1">
      <w:rPr>
        <w:rFonts w:cs="Times New Roman"/>
        <w:b/>
      </w:rPr>
      <w:t>RECIFE ● PERNAMBUCO ● 21 A 25 DE MAIO DE 2018</w:t>
    </w:r>
  </w:p>
  <w:p w:rsidR="008123F1" w:rsidRPr="008123F1" w:rsidRDefault="008123F1" w:rsidP="002378A0">
    <w:pPr>
      <w:pStyle w:val="Cabealho"/>
      <w:jc w:val="center"/>
    </w:pPr>
    <w:r w:rsidRPr="008123F1">
      <w:rPr>
        <w:rFonts w:cs="Times New Roman"/>
        <w:b/>
        <w:color w:val="222222"/>
        <w:shd w:val="clear" w:color="auto" w:fill="FFFFFF"/>
      </w:rPr>
      <w:t>IX EXPOAGROCIÊNCIA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F0"/>
    <w:rsid w:val="00003F93"/>
    <w:rsid w:val="0004170C"/>
    <w:rsid w:val="000427E6"/>
    <w:rsid w:val="0004375C"/>
    <w:rsid w:val="00050CE6"/>
    <w:rsid w:val="000541E0"/>
    <w:rsid w:val="00060AF9"/>
    <w:rsid w:val="00065F5B"/>
    <w:rsid w:val="000904CB"/>
    <w:rsid w:val="00093C69"/>
    <w:rsid w:val="000A53A6"/>
    <w:rsid w:val="000E1149"/>
    <w:rsid w:val="000F7105"/>
    <w:rsid w:val="001425CD"/>
    <w:rsid w:val="0015251E"/>
    <w:rsid w:val="00155EDF"/>
    <w:rsid w:val="00165E9F"/>
    <w:rsid w:val="001913A7"/>
    <w:rsid w:val="0019558E"/>
    <w:rsid w:val="001A4D13"/>
    <w:rsid w:val="001B44B7"/>
    <w:rsid w:val="001B7681"/>
    <w:rsid w:val="001C4449"/>
    <w:rsid w:val="001C5804"/>
    <w:rsid w:val="001C7293"/>
    <w:rsid w:val="001E7BBA"/>
    <w:rsid w:val="002121AA"/>
    <w:rsid w:val="00215B28"/>
    <w:rsid w:val="002378A0"/>
    <w:rsid w:val="00237A57"/>
    <w:rsid w:val="002457BB"/>
    <w:rsid w:val="0024614F"/>
    <w:rsid w:val="00276423"/>
    <w:rsid w:val="00296808"/>
    <w:rsid w:val="002B1526"/>
    <w:rsid w:val="002B4F25"/>
    <w:rsid w:val="002C218C"/>
    <w:rsid w:val="002C53A3"/>
    <w:rsid w:val="002C5F15"/>
    <w:rsid w:val="002E6532"/>
    <w:rsid w:val="002F165D"/>
    <w:rsid w:val="002F17D3"/>
    <w:rsid w:val="003122DC"/>
    <w:rsid w:val="003225F4"/>
    <w:rsid w:val="00330471"/>
    <w:rsid w:val="00342EDE"/>
    <w:rsid w:val="003A2629"/>
    <w:rsid w:val="003A6809"/>
    <w:rsid w:val="003D720B"/>
    <w:rsid w:val="00411FA2"/>
    <w:rsid w:val="00433C85"/>
    <w:rsid w:val="00451DE4"/>
    <w:rsid w:val="00452630"/>
    <w:rsid w:val="00470C4D"/>
    <w:rsid w:val="004725BA"/>
    <w:rsid w:val="00483FFF"/>
    <w:rsid w:val="00484F51"/>
    <w:rsid w:val="00496A3B"/>
    <w:rsid w:val="004A1E9E"/>
    <w:rsid w:val="004A50DC"/>
    <w:rsid w:val="004B407C"/>
    <w:rsid w:val="004C26DF"/>
    <w:rsid w:val="004D133E"/>
    <w:rsid w:val="004D5861"/>
    <w:rsid w:val="004D7DA6"/>
    <w:rsid w:val="004E4F4E"/>
    <w:rsid w:val="00502FCF"/>
    <w:rsid w:val="005161B5"/>
    <w:rsid w:val="005252DA"/>
    <w:rsid w:val="00533BD8"/>
    <w:rsid w:val="00534E38"/>
    <w:rsid w:val="00565D64"/>
    <w:rsid w:val="00577906"/>
    <w:rsid w:val="00585FF4"/>
    <w:rsid w:val="00590456"/>
    <w:rsid w:val="0059290D"/>
    <w:rsid w:val="005B6AD2"/>
    <w:rsid w:val="005E4B92"/>
    <w:rsid w:val="00615964"/>
    <w:rsid w:val="00615A39"/>
    <w:rsid w:val="00622741"/>
    <w:rsid w:val="0064051B"/>
    <w:rsid w:val="00640F65"/>
    <w:rsid w:val="00643F04"/>
    <w:rsid w:val="0064683B"/>
    <w:rsid w:val="00650958"/>
    <w:rsid w:val="0066109D"/>
    <w:rsid w:val="006620AC"/>
    <w:rsid w:val="00670954"/>
    <w:rsid w:val="006A346F"/>
    <w:rsid w:val="006A43C7"/>
    <w:rsid w:val="006A4DE7"/>
    <w:rsid w:val="006B183E"/>
    <w:rsid w:val="006C6649"/>
    <w:rsid w:val="00727C14"/>
    <w:rsid w:val="007C37F1"/>
    <w:rsid w:val="007F4CBD"/>
    <w:rsid w:val="008123F1"/>
    <w:rsid w:val="00821D66"/>
    <w:rsid w:val="008403EE"/>
    <w:rsid w:val="008475B6"/>
    <w:rsid w:val="00857531"/>
    <w:rsid w:val="00863F27"/>
    <w:rsid w:val="008722B2"/>
    <w:rsid w:val="008724B5"/>
    <w:rsid w:val="00876B8C"/>
    <w:rsid w:val="008A6D26"/>
    <w:rsid w:val="008B2002"/>
    <w:rsid w:val="008B4506"/>
    <w:rsid w:val="008B6A03"/>
    <w:rsid w:val="008C40E1"/>
    <w:rsid w:val="008C53EB"/>
    <w:rsid w:val="008E7E28"/>
    <w:rsid w:val="008F26BF"/>
    <w:rsid w:val="00933AAC"/>
    <w:rsid w:val="009528F0"/>
    <w:rsid w:val="00955AF0"/>
    <w:rsid w:val="00974C0E"/>
    <w:rsid w:val="0098170D"/>
    <w:rsid w:val="00990EE2"/>
    <w:rsid w:val="009A10FA"/>
    <w:rsid w:val="009C2826"/>
    <w:rsid w:val="009F66FC"/>
    <w:rsid w:val="009F7352"/>
    <w:rsid w:val="00A30BFB"/>
    <w:rsid w:val="00A503B4"/>
    <w:rsid w:val="00A63E6C"/>
    <w:rsid w:val="00A8142C"/>
    <w:rsid w:val="00A846CB"/>
    <w:rsid w:val="00AA2664"/>
    <w:rsid w:val="00AA64D8"/>
    <w:rsid w:val="00AC7B30"/>
    <w:rsid w:val="00AD58F2"/>
    <w:rsid w:val="00AE4918"/>
    <w:rsid w:val="00AF14C9"/>
    <w:rsid w:val="00AF3435"/>
    <w:rsid w:val="00AF62AC"/>
    <w:rsid w:val="00B051BE"/>
    <w:rsid w:val="00B10B63"/>
    <w:rsid w:val="00B25C1F"/>
    <w:rsid w:val="00B34CD7"/>
    <w:rsid w:val="00B37477"/>
    <w:rsid w:val="00B46734"/>
    <w:rsid w:val="00B84618"/>
    <w:rsid w:val="00B905ED"/>
    <w:rsid w:val="00BA4407"/>
    <w:rsid w:val="00BC4ADE"/>
    <w:rsid w:val="00BD4F1C"/>
    <w:rsid w:val="00C110C3"/>
    <w:rsid w:val="00C16D4A"/>
    <w:rsid w:val="00C24FEC"/>
    <w:rsid w:val="00C2713B"/>
    <w:rsid w:val="00C56706"/>
    <w:rsid w:val="00C57F33"/>
    <w:rsid w:val="00C60ED7"/>
    <w:rsid w:val="00C9573D"/>
    <w:rsid w:val="00CB267C"/>
    <w:rsid w:val="00CB622B"/>
    <w:rsid w:val="00CE34FE"/>
    <w:rsid w:val="00CE4133"/>
    <w:rsid w:val="00CE5554"/>
    <w:rsid w:val="00D017C4"/>
    <w:rsid w:val="00D23247"/>
    <w:rsid w:val="00D33399"/>
    <w:rsid w:val="00D44D3A"/>
    <w:rsid w:val="00D71445"/>
    <w:rsid w:val="00D714FE"/>
    <w:rsid w:val="00D73102"/>
    <w:rsid w:val="00DA34C1"/>
    <w:rsid w:val="00DA438E"/>
    <w:rsid w:val="00DA7C4A"/>
    <w:rsid w:val="00DB786B"/>
    <w:rsid w:val="00DF0493"/>
    <w:rsid w:val="00DF5DBD"/>
    <w:rsid w:val="00E02569"/>
    <w:rsid w:val="00E03DE1"/>
    <w:rsid w:val="00E315D2"/>
    <w:rsid w:val="00E453AE"/>
    <w:rsid w:val="00E676BA"/>
    <w:rsid w:val="00E76FAF"/>
    <w:rsid w:val="00EC0902"/>
    <w:rsid w:val="00EC5D5D"/>
    <w:rsid w:val="00EF4B0B"/>
    <w:rsid w:val="00F153E4"/>
    <w:rsid w:val="00F3610D"/>
    <w:rsid w:val="00F417F1"/>
    <w:rsid w:val="00F446B0"/>
    <w:rsid w:val="00F509C6"/>
    <w:rsid w:val="00F51CA1"/>
    <w:rsid w:val="00F75E5C"/>
    <w:rsid w:val="00FA1BA6"/>
    <w:rsid w:val="00FB433D"/>
    <w:rsid w:val="00FC42E3"/>
    <w:rsid w:val="00FD551B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F0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AF0"/>
    <w:rPr>
      <w:rFonts w:ascii="Tahoma" w:hAnsi="Tahoma" w:cs="Tahoma"/>
      <w:sz w:val="16"/>
      <w:szCs w:val="16"/>
      <w:lang w:eastAsia="pt-BR"/>
    </w:rPr>
  </w:style>
  <w:style w:type="paragraph" w:customStyle="1" w:styleId="Default">
    <w:name w:val="Default"/>
    <w:rsid w:val="008E7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E7E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2ED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F0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AF0"/>
    <w:rPr>
      <w:rFonts w:ascii="Tahoma" w:hAnsi="Tahoma" w:cs="Tahoma"/>
      <w:sz w:val="16"/>
      <w:szCs w:val="16"/>
      <w:lang w:eastAsia="pt-BR"/>
    </w:rPr>
  </w:style>
  <w:style w:type="paragraph" w:customStyle="1" w:styleId="Default">
    <w:name w:val="Default"/>
    <w:rsid w:val="008E7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E7E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2ED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iztorresfigueir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</Pages>
  <Words>1443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DE TRABALHOS CIENTÍFICOS DA XXVI SEMANA DE ZOOTECNIA DA UFRPE</vt:lpstr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DE TRABALHOS CIENTÍFICOS DA XXVI SEMANA DE ZOOTECNIA DA UFRPE</dc:title>
  <dc:creator>pc-2016</dc:creator>
  <cp:lastModifiedBy>LUIZ TORRES</cp:lastModifiedBy>
  <cp:revision>120</cp:revision>
  <dcterms:created xsi:type="dcterms:W3CDTF">2018-04-14T18:55:00Z</dcterms:created>
  <dcterms:modified xsi:type="dcterms:W3CDTF">2018-04-17T02:44:00Z</dcterms:modified>
</cp:coreProperties>
</file>