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DD9C0" w14:textId="77777777" w:rsidR="00616B75" w:rsidRDefault="00000000">
      <w:pPr>
        <w:spacing w:after="160" w:line="240" w:lineRule="auto"/>
        <w:jc w:val="center"/>
        <w:rPr>
          <w:b/>
        </w:rPr>
      </w:pPr>
      <w:r>
        <w:rPr>
          <w:b/>
        </w:rPr>
        <w:t>VACINAS CONTRA O CÂNCER:</w:t>
      </w:r>
      <w:r>
        <w:t xml:space="preserve"> </w:t>
      </w:r>
      <w:r w:rsidRPr="00DE2747">
        <w:rPr>
          <w:b/>
          <w:bCs/>
        </w:rPr>
        <w:t>AVANÇOS E DESAFIOS</w:t>
      </w:r>
      <w:r>
        <w:rPr>
          <w:b/>
        </w:rPr>
        <w:t xml:space="preserve"> </w:t>
      </w:r>
    </w:p>
    <w:p w14:paraId="2D674E9A" w14:textId="4AC6B63B" w:rsidR="00616B75" w:rsidRPr="002403E6" w:rsidRDefault="00000000">
      <w:pPr>
        <w:spacing w:line="240" w:lineRule="auto"/>
        <w:rPr>
          <w:bCs/>
          <w:sz w:val="20"/>
          <w:szCs w:val="20"/>
          <w:vertAlign w:val="superscript"/>
        </w:rPr>
      </w:pPr>
      <w:r w:rsidRPr="002A0E71">
        <w:rPr>
          <w:b/>
          <w:sz w:val="20"/>
          <w:szCs w:val="20"/>
          <w:u w:val="single"/>
        </w:rPr>
        <w:t>JOÃO VICTOR BARBOSA DE MELLO</w:t>
      </w:r>
      <w:r w:rsidR="002403E6">
        <w:rPr>
          <w:b/>
          <w:sz w:val="20"/>
          <w:szCs w:val="20"/>
          <w:u w:val="single"/>
          <w:vertAlign w:val="superscript"/>
        </w:rPr>
        <w:t>1</w:t>
      </w:r>
      <w:r w:rsidRPr="002A0E71">
        <w:rPr>
          <w:b/>
          <w:sz w:val="20"/>
          <w:szCs w:val="20"/>
          <w:u w:val="single"/>
        </w:rPr>
        <w:t>;</w:t>
      </w:r>
      <w:r w:rsidRPr="00DE2747">
        <w:rPr>
          <w:bCs/>
          <w:sz w:val="20"/>
          <w:szCs w:val="20"/>
        </w:rPr>
        <w:t xml:space="preserve"> DANIEL ALTOÉ CASADO GAMA</w:t>
      </w:r>
      <w:r w:rsidR="002403E6">
        <w:rPr>
          <w:bCs/>
          <w:sz w:val="20"/>
          <w:szCs w:val="20"/>
          <w:vertAlign w:val="superscript"/>
        </w:rPr>
        <w:t>1</w:t>
      </w:r>
      <w:r w:rsidRPr="00DE2747">
        <w:rPr>
          <w:bCs/>
          <w:sz w:val="20"/>
          <w:szCs w:val="20"/>
        </w:rPr>
        <w:t>; VINICIUS ALMEIDA GRIZ</w:t>
      </w:r>
      <w:r w:rsidR="002403E6">
        <w:rPr>
          <w:bCs/>
          <w:sz w:val="20"/>
          <w:szCs w:val="20"/>
          <w:vertAlign w:val="superscript"/>
        </w:rPr>
        <w:t>1</w:t>
      </w:r>
      <w:r w:rsidRPr="00DE2747">
        <w:rPr>
          <w:bCs/>
          <w:sz w:val="20"/>
          <w:szCs w:val="20"/>
        </w:rPr>
        <w:t>; SERGIO RODRIGUES DA ROCHA NETO</w:t>
      </w:r>
      <w:r w:rsidR="002403E6">
        <w:rPr>
          <w:bCs/>
          <w:sz w:val="20"/>
          <w:szCs w:val="20"/>
          <w:vertAlign w:val="superscript"/>
        </w:rPr>
        <w:t>1</w:t>
      </w:r>
      <w:r w:rsidRPr="00DE2747">
        <w:rPr>
          <w:bCs/>
          <w:sz w:val="20"/>
          <w:szCs w:val="20"/>
        </w:rPr>
        <w:t>; THIAGO JOSÉ MATOS ROCHA</w:t>
      </w:r>
      <w:r w:rsidR="002403E6">
        <w:rPr>
          <w:bCs/>
          <w:sz w:val="20"/>
          <w:szCs w:val="20"/>
          <w:vertAlign w:val="superscript"/>
        </w:rPr>
        <w:t>1-2</w:t>
      </w:r>
    </w:p>
    <w:p w14:paraId="4C164E80" w14:textId="77777777" w:rsidR="002A0E71" w:rsidRPr="005662FE" w:rsidRDefault="002A0E71">
      <w:pPr>
        <w:spacing w:line="240" w:lineRule="auto"/>
        <w:rPr>
          <w:bCs/>
          <w:sz w:val="12"/>
          <w:szCs w:val="12"/>
        </w:rPr>
      </w:pPr>
    </w:p>
    <w:p w14:paraId="2863C34E" w14:textId="3EE22564" w:rsidR="002403E6" w:rsidRDefault="002403E6">
      <w:pPr>
        <w:spacing w:line="240" w:lineRule="auto"/>
        <w:rPr>
          <w:bCs/>
          <w:sz w:val="20"/>
          <w:szCs w:val="20"/>
        </w:rPr>
      </w:pPr>
      <w:r>
        <w:rPr>
          <w:bCs/>
          <w:sz w:val="20"/>
          <w:szCs w:val="20"/>
          <w:vertAlign w:val="superscript"/>
        </w:rPr>
        <w:t>1</w:t>
      </w:r>
      <w:r w:rsidR="00000000" w:rsidRPr="00DE2747">
        <w:rPr>
          <w:bCs/>
          <w:sz w:val="20"/>
          <w:szCs w:val="20"/>
        </w:rPr>
        <w:t>Centro Universitário Cesmac</w:t>
      </w:r>
      <w:r>
        <w:rPr>
          <w:bCs/>
          <w:sz w:val="20"/>
          <w:szCs w:val="20"/>
        </w:rPr>
        <w:t xml:space="preserve">, Maceió, AL, Brasil. </w:t>
      </w:r>
    </w:p>
    <w:p w14:paraId="6F3F3818" w14:textId="625CE398" w:rsidR="00616B75" w:rsidRPr="00DE2747" w:rsidRDefault="002403E6">
      <w:pPr>
        <w:spacing w:line="240" w:lineRule="auto"/>
        <w:rPr>
          <w:bCs/>
          <w:sz w:val="20"/>
          <w:szCs w:val="20"/>
        </w:rPr>
      </w:pPr>
      <w:r>
        <w:rPr>
          <w:bCs/>
          <w:sz w:val="20"/>
          <w:szCs w:val="20"/>
          <w:vertAlign w:val="superscript"/>
        </w:rPr>
        <w:t>2</w:t>
      </w:r>
      <w:r w:rsidR="00000000" w:rsidRPr="00DE2747">
        <w:rPr>
          <w:bCs/>
          <w:sz w:val="20"/>
          <w:szCs w:val="20"/>
        </w:rPr>
        <w:t>Universidade Estadual de Ciências da Saúde de Alagoa</w:t>
      </w:r>
      <w:r>
        <w:rPr>
          <w:bCs/>
          <w:sz w:val="20"/>
          <w:szCs w:val="20"/>
        </w:rPr>
        <w:t xml:space="preserve">s, </w:t>
      </w:r>
      <w:r>
        <w:rPr>
          <w:bCs/>
          <w:sz w:val="20"/>
          <w:szCs w:val="20"/>
        </w:rPr>
        <w:t>Maceió, AL, Brasil.</w:t>
      </w:r>
    </w:p>
    <w:p w14:paraId="6757DBDD" w14:textId="64A50999" w:rsidR="00616B75" w:rsidRPr="00DE2747" w:rsidRDefault="00000000">
      <w:pPr>
        <w:spacing w:line="240" w:lineRule="auto"/>
        <w:rPr>
          <w:bCs/>
          <w:sz w:val="20"/>
          <w:szCs w:val="20"/>
        </w:rPr>
      </w:pPr>
      <w:r w:rsidRPr="00DE2747">
        <w:rPr>
          <w:bCs/>
          <w:sz w:val="20"/>
          <w:szCs w:val="20"/>
        </w:rPr>
        <w:t xml:space="preserve">Email do primeiro autor: </w:t>
      </w:r>
      <w:hyperlink r:id="rId8" w:history="1">
        <w:r w:rsidR="002403E6" w:rsidRPr="00904E2E">
          <w:rPr>
            <w:rStyle w:val="Hyperlink"/>
            <w:bCs/>
            <w:sz w:val="20"/>
            <w:szCs w:val="20"/>
          </w:rPr>
          <w:t>joaomello326@gmail.com</w:t>
        </w:r>
      </w:hyperlink>
      <w:r w:rsidR="002403E6">
        <w:rPr>
          <w:bCs/>
          <w:sz w:val="20"/>
          <w:szCs w:val="20"/>
        </w:rPr>
        <w:t xml:space="preserve"> </w:t>
      </w:r>
    </w:p>
    <w:p w14:paraId="309AA3E6" w14:textId="7C856A3D" w:rsidR="00616B75" w:rsidRPr="00DE2747" w:rsidRDefault="00000000">
      <w:pPr>
        <w:spacing w:line="240" w:lineRule="auto"/>
        <w:rPr>
          <w:bCs/>
          <w:sz w:val="20"/>
          <w:szCs w:val="20"/>
        </w:rPr>
      </w:pPr>
      <w:r w:rsidRPr="00DE2747">
        <w:rPr>
          <w:bCs/>
          <w:sz w:val="20"/>
          <w:szCs w:val="20"/>
        </w:rPr>
        <w:t xml:space="preserve">E-mail do orientador: </w:t>
      </w:r>
      <w:hyperlink r:id="rId9" w:history="1">
        <w:r w:rsidR="002403E6" w:rsidRPr="00904E2E">
          <w:rPr>
            <w:rStyle w:val="Hyperlink"/>
            <w:bCs/>
            <w:sz w:val="20"/>
            <w:szCs w:val="20"/>
          </w:rPr>
          <w:t>tmatosrocha@cesmac.edu.br</w:t>
        </w:r>
      </w:hyperlink>
      <w:r w:rsidR="002403E6">
        <w:rPr>
          <w:bCs/>
          <w:sz w:val="20"/>
          <w:szCs w:val="20"/>
        </w:rPr>
        <w:t xml:space="preserve"> </w:t>
      </w:r>
      <w:r w:rsidRPr="00DE2747">
        <w:rPr>
          <w:bCs/>
          <w:sz w:val="20"/>
          <w:szCs w:val="20"/>
        </w:rPr>
        <w:t xml:space="preserve"> / </w:t>
      </w:r>
      <w:hyperlink r:id="rId10" w:history="1">
        <w:r w:rsidR="002403E6" w:rsidRPr="00904E2E">
          <w:rPr>
            <w:rStyle w:val="Hyperlink"/>
            <w:bCs/>
            <w:sz w:val="20"/>
            <w:szCs w:val="20"/>
          </w:rPr>
          <w:t>thiago.matos@uncisal.edu.br</w:t>
        </w:r>
      </w:hyperlink>
      <w:r w:rsidR="002403E6">
        <w:rPr>
          <w:bCs/>
          <w:sz w:val="20"/>
          <w:szCs w:val="20"/>
        </w:rPr>
        <w:t xml:space="preserve"> </w:t>
      </w:r>
    </w:p>
    <w:p w14:paraId="378E76A3" w14:textId="77777777" w:rsidR="00616B75" w:rsidRPr="005662FE" w:rsidRDefault="00616B75">
      <w:pPr>
        <w:spacing w:line="240" w:lineRule="auto"/>
        <w:rPr>
          <w:b/>
          <w:sz w:val="12"/>
          <w:szCs w:val="12"/>
          <w:u w:val="single"/>
        </w:rPr>
      </w:pPr>
    </w:p>
    <w:p w14:paraId="17ED2CF3" w14:textId="205B7205" w:rsidR="005662FE" w:rsidRDefault="002A0E71" w:rsidP="005662FE">
      <w:pPr>
        <w:spacing w:line="240" w:lineRule="auto"/>
        <w:rPr>
          <w:sz w:val="22"/>
          <w:szCs w:val="22"/>
        </w:rPr>
      </w:pPr>
      <w:r w:rsidRPr="002A0E71">
        <w:rPr>
          <w:b/>
          <w:bCs/>
          <w:sz w:val="22"/>
          <w:szCs w:val="22"/>
          <w:u w:val="single"/>
        </w:rPr>
        <w:t>Introdução:</w:t>
      </w:r>
      <w:r w:rsidRPr="002A0E71">
        <w:rPr>
          <w:b/>
          <w:bCs/>
          <w:sz w:val="22"/>
          <w:szCs w:val="22"/>
        </w:rPr>
        <w:t xml:space="preserve"> </w:t>
      </w:r>
      <w:r w:rsidRPr="002A0E71">
        <w:rPr>
          <w:sz w:val="22"/>
          <w:szCs w:val="22"/>
        </w:rPr>
        <w:t xml:space="preserve">As vacinas contra o câncer estão emergindo como uma abordagem promissora na imunoterapia oncológica, visando induzir uma resposta imunológica específica para eliminar células tumorais. Entre as estratégias em desenvolvimento estão vacinas baseadas em peptídeos, células dendríticas e neoantígenos personalizados. </w:t>
      </w:r>
      <w:r w:rsidRPr="002A0E71">
        <w:rPr>
          <w:b/>
          <w:bCs/>
          <w:sz w:val="22"/>
          <w:szCs w:val="22"/>
          <w:u w:val="single"/>
        </w:rPr>
        <w:t>Objetivos:</w:t>
      </w:r>
      <w:r w:rsidRPr="002A0E71">
        <w:rPr>
          <w:sz w:val="22"/>
          <w:szCs w:val="22"/>
        </w:rPr>
        <w:t xml:space="preserve"> Revisar os avanços e desafios no desenvolvimento de vacinas contra o câncer, com foco em peptídeos, neoantígenos e células dendríticas. Além disso, avaliar como essas estratégias podem ser combinadas ou otimizadas para maximizar a resposta imunológica antitumoral.</w:t>
      </w:r>
      <w:r>
        <w:rPr>
          <w:sz w:val="22"/>
          <w:szCs w:val="22"/>
        </w:rPr>
        <w:t xml:space="preserve"> </w:t>
      </w:r>
      <w:r w:rsidRPr="002A0E71">
        <w:rPr>
          <w:b/>
          <w:bCs/>
          <w:sz w:val="22"/>
          <w:szCs w:val="22"/>
          <w:u w:val="single"/>
        </w:rPr>
        <w:t>Métodos:</w:t>
      </w:r>
      <w:r w:rsidRPr="002A0E71">
        <w:rPr>
          <w:sz w:val="22"/>
          <w:szCs w:val="22"/>
        </w:rPr>
        <w:t xml:space="preserve"> Realizou-se uma busca bibliográfica em artigos da PubMed sobre vacinas contra o câncer, usando os descritores "</w:t>
      </w:r>
      <w:proofErr w:type="spellStart"/>
      <w:r w:rsidRPr="002A0E71">
        <w:rPr>
          <w:sz w:val="22"/>
          <w:szCs w:val="22"/>
        </w:rPr>
        <w:t>vaccines</w:t>
      </w:r>
      <w:proofErr w:type="spellEnd"/>
      <w:r w:rsidRPr="002A0E71">
        <w:rPr>
          <w:sz w:val="22"/>
          <w:szCs w:val="22"/>
        </w:rPr>
        <w:t>" e "</w:t>
      </w:r>
      <w:proofErr w:type="spellStart"/>
      <w:r w:rsidRPr="002A0E71">
        <w:rPr>
          <w:sz w:val="22"/>
          <w:szCs w:val="22"/>
        </w:rPr>
        <w:t>cancer</w:t>
      </w:r>
      <w:proofErr w:type="spellEnd"/>
      <w:r w:rsidRPr="002A0E71">
        <w:rPr>
          <w:sz w:val="22"/>
          <w:szCs w:val="22"/>
        </w:rPr>
        <w:t>". Foram incluídos estudos entre 2013 e 2023, focando em vacinas de peptídeos, neoantígenos personalizados e células dendríticas.</w:t>
      </w:r>
      <w:r>
        <w:rPr>
          <w:sz w:val="22"/>
          <w:szCs w:val="22"/>
        </w:rPr>
        <w:t xml:space="preserve"> </w:t>
      </w:r>
      <w:r w:rsidRPr="002A0E71">
        <w:rPr>
          <w:b/>
          <w:bCs/>
          <w:sz w:val="22"/>
          <w:szCs w:val="22"/>
          <w:u w:val="single"/>
        </w:rPr>
        <w:t>Resultados:</w:t>
      </w:r>
      <w:r w:rsidRPr="002A0E71">
        <w:rPr>
          <w:sz w:val="22"/>
          <w:szCs w:val="22"/>
        </w:rPr>
        <w:t xml:space="preserve"> </w:t>
      </w:r>
      <w:r w:rsidR="005662FE" w:rsidRPr="005662FE">
        <w:rPr>
          <w:sz w:val="22"/>
          <w:szCs w:val="22"/>
        </w:rPr>
        <w:t>Os estudos demonstram resultados promissores no uso de vacinas contra o câncer. As vacinas terapêuticas, quando combinadas com terapias que modulam o microambiente tumoral, mostram-se eficazes. Vacinas personalizadas de neoantígenos geraram respostas imunológicas robustas, especialmente em pacientes com melanoma. As vacinas baseadas em células dendríticas destacam-se por induzir respostas imunes duradouras, embora o processo de produção em larga escala ainda apresente desafios. Avanços em vacinas de peptídeos apontam para um aumento de eficácia, especialmente quando combinadas com adjuvantes imunológicos, evidenciando o potencial dessas abordagens no tratamento oncológico.</w:t>
      </w:r>
      <w:r w:rsidR="005662FE">
        <w:rPr>
          <w:sz w:val="22"/>
          <w:szCs w:val="22"/>
        </w:rPr>
        <w:t xml:space="preserve"> </w:t>
      </w:r>
      <w:r w:rsidRPr="002A0E71">
        <w:rPr>
          <w:b/>
          <w:bCs/>
          <w:sz w:val="22"/>
          <w:szCs w:val="22"/>
          <w:u w:val="single"/>
        </w:rPr>
        <w:t>Conclusões:</w:t>
      </w:r>
      <w:r w:rsidRPr="002A0E71">
        <w:rPr>
          <w:sz w:val="22"/>
          <w:szCs w:val="22"/>
        </w:rPr>
        <w:t xml:space="preserve"> As vacinas contra o câncer oferecem novas possibilidades terapêuticas, mas a heterogeneidade tumoral, imunossupressão e evasão imunológica dos tumores continuam sendo obstáculos. Combinações com inibidores de checkpoint podem melhorar a eficácia, e o futuro dessas vacinas depende de avanços na personalização e compreensão do microambiente tumoral.</w:t>
      </w:r>
    </w:p>
    <w:p w14:paraId="46B571EA" w14:textId="5C933F38" w:rsidR="00616B75" w:rsidRDefault="00000000">
      <w:pPr>
        <w:spacing w:after="160" w:line="240" w:lineRule="auto"/>
        <w:rPr>
          <w:sz w:val="22"/>
          <w:szCs w:val="22"/>
        </w:rPr>
      </w:pPr>
      <w:r>
        <w:rPr>
          <w:b/>
          <w:sz w:val="22"/>
          <w:szCs w:val="22"/>
        </w:rPr>
        <w:t xml:space="preserve">Palavras-chave: </w:t>
      </w:r>
      <w:r>
        <w:rPr>
          <w:sz w:val="22"/>
          <w:szCs w:val="22"/>
        </w:rPr>
        <w:t>Vacinas. Imunoterapia. Câncer.</w:t>
      </w:r>
    </w:p>
    <w:p w14:paraId="624D9951" w14:textId="77777777" w:rsidR="00616B75" w:rsidRPr="002403E6" w:rsidRDefault="00000000">
      <w:pPr>
        <w:spacing w:line="276" w:lineRule="auto"/>
        <w:rPr>
          <w:b/>
          <w:sz w:val="22"/>
          <w:szCs w:val="22"/>
        </w:rPr>
      </w:pPr>
      <w:r w:rsidRPr="002403E6">
        <w:rPr>
          <w:b/>
          <w:sz w:val="22"/>
          <w:szCs w:val="22"/>
        </w:rPr>
        <w:lastRenderedPageBreak/>
        <w:t>REFERÊNCIAS BIBLIOGRÁFICAS</w:t>
      </w:r>
    </w:p>
    <w:p w14:paraId="55FFB4CE" w14:textId="77777777" w:rsidR="00616B75" w:rsidRPr="002403E6" w:rsidRDefault="00616B75">
      <w:pPr>
        <w:spacing w:line="276" w:lineRule="auto"/>
        <w:rPr>
          <w:b/>
          <w:sz w:val="22"/>
          <w:szCs w:val="22"/>
        </w:rPr>
      </w:pPr>
    </w:p>
    <w:p w14:paraId="5A35C511" w14:textId="77777777" w:rsidR="002403E6" w:rsidRPr="002403E6" w:rsidRDefault="002403E6" w:rsidP="002403E6">
      <w:pPr>
        <w:spacing w:line="240" w:lineRule="auto"/>
        <w:rPr>
          <w:sz w:val="22"/>
          <w:szCs w:val="22"/>
        </w:rPr>
      </w:pPr>
      <w:r w:rsidRPr="002403E6">
        <w:rPr>
          <w:sz w:val="22"/>
          <w:szCs w:val="22"/>
        </w:rPr>
        <w:t xml:space="preserve">BUONAGURO, Luigi; TAGLIAMONTE, Michele. </w:t>
      </w:r>
      <w:proofErr w:type="spellStart"/>
      <w:r w:rsidRPr="002403E6">
        <w:rPr>
          <w:b/>
          <w:bCs/>
          <w:sz w:val="22"/>
          <w:szCs w:val="22"/>
        </w:rPr>
        <w:t>Peptide-based</w:t>
      </w:r>
      <w:proofErr w:type="spellEnd"/>
      <w:r w:rsidRPr="002403E6">
        <w:rPr>
          <w:b/>
          <w:bCs/>
          <w:sz w:val="22"/>
          <w:szCs w:val="22"/>
        </w:rPr>
        <w:t xml:space="preserve"> </w:t>
      </w:r>
      <w:proofErr w:type="spellStart"/>
      <w:r w:rsidRPr="002403E6">
        <w:rPr>
          <w:b/>
          <w:bCs/>
          <w:sz w:val="22"/>
          <w:szCs w:val="22"/>
        </w:rPr>
        <w:t>cancer</w:t>
      </w:r>
      <w:proofErr w:type="spellEnd"/>
      <w:r w:rsidRPr="002403E6">
        <w:rPr>
          <w:b/>
          <w:bCs/>
          <w:sz w:val="22"/>
          <w:szCs w:val="22"/>
        </w:rPr>
        <w:t xml:space="preserve"> </w:t>
      </w:r>
      <w:proofErr w:type="spellStart"/>
      <w:r w:rsidRPr="002403E6">
        <w:rPr>
          <w:b/>
          <w:bCs/>
          <w:sz w:val="22"/>
          <w:szCs w:val="22"/>
        </w:rPr>
        <w:t>vaccines</w:t>
      </w:r>
      <w:proofErr w:type="spellEnd"/>
      <w:r w:rsidRPr="002403E6">
        <w:rPr>
          <w:b/>
          <w:bCs/>
          <w:sz w:val="22"/>
          <w:szCs w:val="22"/>
        </w:rPr>
        <w:t xml:space="preserve">: </w:t>
      </w:r>
      <w:proofErr w:type="spellStart"/>
      <w:r w:rsidRPr="002403E6">
        <w:rPr>
          <w:b/>
          <w:bCs/>
          <w:sz w:val="22"/>
          <w:szCs w:val="22"/>
        </w:rPr>
        <w:t>recent</w:t>
      </w:r>
      <w:proofErr w:type="spellEnd"/>
      <w:r w:rsidRPr="002403E6">
        <w:rPr>
          <w:b/>
          <w:bCs/>
          <w:sz w:val="22"/>
          <w:szCs w:val="22"/>
        </w:rPr>
        <w:t xml:space="preserve"> </w:t>
      </w:r>
      <w:proofErr w:type="spellStart"/>
      <w:r w:rsidRPr="002403E6">
        <w:rPr>
          <w:b/>
          <w:bCs/>
          <w:sz w:val="22"/>
          <w:szCs w:val="22"/>
        </w:rPr>
        <w:t>advances</w:t>
      </w:r>
      <w:proofErr w:type="spellEnd"/>
      <w:r w:rsidRPr="002403E6">
        <w:rPr>
          <w:b/>
          <w:bCs/>
          <w:sz w:val="22"/>
          <w:szCs w:val="22"/>
        </w:rPr>
        <w:t xml:space="preserve"> and future perspectives.</w:t>
      </w:r>
      <w:r w:rsidRPr="002403E6">
        <w:rPr>
          <w:sz w:val="22"/>
          <w:szCs w:val="22"/>
        </w:rPr>
        <w:t xml:space="preserve"> </w:t>
      </w:r>
      <w:proofErr w:type="spellStart"/>
      <w:r w:rsidRPr="002403E6">
        <w:rPr>
          <w:b/>
          <w:bCs/>
          <w:sz w:val="22"/>
          <w:szCs w:val="22"/>
        </w:rPr>
        <w:t>Frontiers</w:t>
      </w:r>
      <w:proofErr w:type="spellEnd"/>
      <w:r w:rsidRPr="002403E6">
        <w:rPr>
          <w:b/>
          <w:bCs/>
          <w:sz w:val="22"/>
          <w:szCs w:val="22"/>
        </w:rPr>
        <w:t xml:space="preserve"> in </w:t>
      </w:r>
      <w:proofErr w:type="spellStart"/>
      <w:r w:rsidRPr="002403E6">
        <w:rPr>
          <w:b/>
          <w:bCs/>
          <w:sz w:val="22"/>
          <w:szCs w:val="22"/>
        </w:rPr>
        <w:t>Immunology</w:t>
      </w:r>
      <w:proofErr w:type="spellEnd"/>
      <w:r w:rsidRPr="002403E6">
        <w:rPr>
          <w:sz w:val="22"/>
          <w:szCs w:val="22"/>
        </w:rPr>
        <w:t xml:space="preserve">, v. 14, art. 1110989, 2023. </w:t>
      </w:r>
    </w:p>
    <w:p w14:paraId="3B9D18AD" w14:textId="77777777" w:rsidR="002403E6" w:rsidRPr="002403E6" w:rsidRDefault="002403E6" w:rsidP="002403E6">
      <w:pPr>
        <w:spacing w:line="240" w:lineRule="auto"/>
        <w:rPr>
          <w:sz w:val="22"/>
          <w:szCs w:val="22"/>
        </w:rPr>
      </w:pPr>
    </w:p>
    <w:p w14:paraId="4E63BB9D" w14:textId="3F510EE7" w:rsidR="002403E6" w:rsidRPr="002403E6" w:rsidRDefault="002403E6" w:rsidP="002403E6">
      <w:pPr>
        <w:spacing w:line="240" w:lineRule="auto"/>
        <w:rPr>
          <w:sz w:val="22"/>
          <w:szCs w:val="22"/>
        </w:rPr>
      </w:pPr>
      <w:r w:rsidRPr="002403E6">
        <w:rPr>
          <w:sz w:val="22"/>
          <w:szCs w:val="22"/>
        </w:rPr>
        <w:t xml:space="preserve">MELIEF, Cornelis J. M.; VAN HALL, </w:t>
      </w:r>
      <w:proofErr w:type="spellStart"/>
      <w:r w:rsidRPr="002403E6">
        <w:rPr>
          <w:sz w:val="22"/>
          <w:szCs w:val="22"/>
        </w:rPr>
        <w:t>Thorbald</w:t>
      </w:r>
      <w:proofErr w:type="spellEnd"/>
      <w:r w:rsidRPr="002403E6">
        <w:rPr>
          <w:sz w:val="22"/>
          <w:szCs w:val="22"/>
        </w:rPr>
        <w:t xml:space="preserve">; ARTS, Ronald J. W.; NIEMETZ, Jennifer; et al. </w:t>
      </w:r>
      <w:r w:rsidRPr="002403E6">
        <w:rPr>
          <w:b/>
          <w:bCs/>
          <w:sz w:val="22"/>
          <w:szCs w:val="22"/>
        </w:rPr>
        <w:t xml:space="preserve">The Journal </w:t>
      </w:r>
      <w:proofErr w:type="spellStart"/>
      <w:r w:rsidRPr="002403E6">
        <w:rPr>
          <w:b/>
          <w:bCs/>
          <w:sz w:val="22"/>
          <w:szCs w:val="22"/>
        </w:rPr>
        <w:t>of</w:t>
      </w:r>
      <w:proofErr w:type="spellEnd"/>
      <w:r w:rsidRPr="002403E6">
        <w:rPr>
          <w:b/>
          <w:bCs/>
          <w:sz w:val="22"/>
          <w:szCs w:val="22"/>
        </w:rPr>
        <w:t xml:space="preserve"> Clinical </w:t>
      </w:r>
      <w:proofErr w:type="spellStart"/>
      <w:r w:rsidRPr="002403E6">
        <w:rPr>
          <w:b/>
          <w:bCs/>
          <w:sz w:val="22"/>
          <w:szCs w:val="22"/>
        </w:rPr>
        <w:t>Investigation</w:t>
      </w:r>
      <w:proofErr w:type="spellEnd"/>
      <w:r w:rsidRPr="002403E6">
        <w:rPr>
          <w:sz w:val="22"/>
          <w:szCs w:val="22"/>
        </w:rPr>
        <w:t xml:space="preserve">, v. 125, n. 9, p. 3401-3412, 2015. </w:t>
      </w:r>
    </w:p>
    <w:p w14:paraId="6BEC6126" w14:textId="77777777" w:rsidR="002403E6" w:rsidRPr="002403E6" w:rsidRDefault="002403E6" w:rsidP="002403E6">
      <w:pPr>
        <w:spacing w:line="240" w:lineRule="auto"/>
        <w:rPr>
          <w:sz w:val="22"/>
          <w:szCs w:val="22"/>
        </w:rPr>
      </w:pPr>
    </w:p>
    <w:p w14:paraId="63216441" w14:textId="7E3C14BC" w:rsidR="002403E6" w:rsidRPr="002403E6" w:rsidRDefault="002403E6" w:rsidP="002403E6">
      <w:pPr>
        <w:spacing w:line="240" w:lineRule="auto"/>
        <w:rPr>
          <w:sz w:val="22"/>
          <w:szCs w:val="22"/>
        </w:rPr>
      </w:pPr>
      <w:r w:rsidRPr="002403E6">
        <w:rPr>
          <w:sz w:val="22"/>
          <w:szCs w:val="22"/>
        </w:rPr>
        <w:t xml:space="preserve">OTT, Patrick A.; HU, </w:t>
      </w:r>
      <w:proofErr w:type="spellStart"/>
      <w:r w:rsidRPr="002403E6">
        <w:rPr>
          <w:sz w:val="22"/>
          <w:szCs w:val="22"/>
        </w:rPr>
        <w:t>Zhiming</w:t>
      </w:r>
      <w:proofErr w:type="spellEnd"/>
      <w:r w:rsidRPr="002403E6">
        <w:rPr>
          <w:sz w:val="22"/>
          <w:szCs w:val="22"/>
        </w:rPr>
        <w:t xml:space="preserve">; BUNDA, Steven; WU, Catherine J.; et al. </w:t>
      </w:r>
      <w:proofErr w:type="spellStart"/>
      <w:r w:rsidRPr="002403E6">
        <w:rPr>
          <w:sz w:val="22"/>
          <w:szCs w:val="22"/>
        </w:rPr>
        <w:t>An</w:t>
      </w:r>
      <w:proofErr w:type="spellEnd"/>
      <w:r w:rsidRPr="002403E6">
        <w:rPr>
          <w:sz w:val="22"/>
          <w:szCs w:val="22"/>
        </w:rPr>
        <w:t xml:space="preserve"> </w:t>
      </w:r>
      <w:proofErr w:type="spellStart"/>
      <w:r w:rsidRPr="002403E6">
        <w:rPr>
          <w:sz w:val="22"/>
          <w:szCs w:val="22"/>
        </w:rPr>
        <w:t>immunogenic</w:t>
      </w:r>
      <w:proofErr w:type="spellEnd"/>
      <w:r w:rsidRPr="002403E6">
        <w:rPr>
          <w:sz w:val="22"/>
          <w:szCs w:val="22"/>
        </w:rPr>
        <w:t xml:space="preserve"> personal </w:t>
      </w:r>
      <w:proofErr w:type="spellStart"/>
      <w:r w:rsidRPr="002403E6">
        <w:rPr>
          <w:sz w:val="22"/>
          <w:szCs w:val="22"/>
        </w:rPr>
        <w:t>neoantigen</w:t>
      </w:r>
      <w:proofErr w:type="spellEnd"/>
      <w:r w:rsidRPr="002403E6">
        <w:rPr>
          <w:sz w:val="22"/>
          <w:szCs w:val="22"/>
        </w:rPr>
        <w:t xml:space="preserve"> </w:t>
      </w:r>
      <w:proofErr w:type="spellStart"/>
      <w:r w:rsidRPr="002403E6">
        <w:rPr>
          <w:sz w:val="22"/>
          <w:szCs w:val="22"/>
        </w:rPr>
        <w:t>vaccine</w:t>
      </w:r>
      <w:proofErr w:type="spellEnd"/>
      <w:r w:rsidRPr="002403E6">
        <w:rPr>
          <w:sz w:val="22"/>
          <w:szCs w:val="22"/>
        </w:rPr>
        <w:t xml:space="preserve"> for </w:t>
      </w:r>
      <w:proofErr w:type="spellStart"/>
      <w:r w:rsidRPr="002403E6">
        <w:rPr>
          <w:sz w:val="22"/>
          <w:szCs w:val="22"/>
        </w:rPr>
        <w:t>patients</w:t>
      </w:r>
      <w:proofErr w:type="spellEnd"/>
      <w:r w:rsidRPr="002403E6">
        <w:rPr>
          <w:sz w:val="22"/>
          <w:szCs w:val="22"/>
        </w:rPr>
        <w:t xml:space="preserve"> </w:t>
      </w:r>
      <w:proofErr w:type="spellStart"/>
      <w:r w:rsidRPr="002403E6">
        <w:rPr>
          <w:sz w:val="22"/>
          <w:szCs w:val="22"/>
        </w:rPr>
        <w:t>with</w:t>
      </w:r>
      <w:proofErr w:type="spellEnd"/>
      <w:r w:rsidRPr="002403E6">
        <w:rPr>
          <w:sz w:val="22"/>
          <w:szCs w:val="22"/>
        </w:rPr>
        <w:t xml:space="preserve"> melanoma. </w:t>
      </w:r>
      <w:proofErr w:type="spellStart"/>
      <w:r w:rsidRPr="002403E6">
        <w:rPr>
          <w:b/>
          <w:bCs/>
          <w:sz w:val="22"/>
          <w:szCs w:val="22"/>
        </w:rPr>
        <w:t>Nature</w:t>
      </w:r>
      <w:proofErr w:type="spellEnd"/>
      <w:r w:rsidRPr="002403E6">
        <w:rPr>
          <w:sz w:val="22"/>
          <w:szCs w:val="22"/>
        </w:rPr>
        <w:t xml:space="preserve">, v. 547, n. 7662, p. 217-221, 2017. </w:t>
      </w:r>
    </w:p>
    <w:p w14:paraId="471CC39D" w14:textId="77777777" w:rsidR="002403E6" w:rsidRPr="002403E6" w:rsidRDefault="002403E6" w:rsidP="002403E6">
      <w:pPr>
        <w:spacing w:line="240" w:lineRule="auto"/>
        <w:rPr>
          <w:b/>
          <w:bCs/>
          <w:sz w:val="22"/>
          <w:szCs w:val="22"/>
        </w:rPr>
      </w:pPr>
    </w:p>
    <w:p w14:paraId="130FF2E0" w14:textId="7D342A8F" w:rsidR="002403E6" w:rsidRPr="002403E6" w:rsidRDefault="002403E6" w:rsidP="002403E6">
      <w:pPr>
        <w:spacing w:line="240" w:lineRule="auto"/>
        <w:rPr>
          <w:sz w:val="22"/>
          <w:szCs w:val="22"/>
        </w:rPr>
      </w:pPr>
      <w:r w:rsidRPr="002403E6">
        <w:rPr>
          <w:sz w:val="22"/>
          <w:szCs w:val="22"/>
        </w:rPr>
        <w:t xml:space="preserve">PALUCKA, Karolina; BANCHEREAU, Jacques. </w:t>
      </w:r>
      <w:proofErr w:type="spellStart"/>
      <w:r w:rsidRPr="002403E6">
        <w:rPr>
          <w:b/>
          <w:bCs/>
          <w:sz w:val="22"/>
          <w:szCs w:val="22"/>
        </w:rPr>
        <w:t>Dendritic-cell-based</w:t>
      </w:r>
      <w:proofErr w:type="spellEnd"/>
      <w:r w:rsidRPr="002403E6">
        <w:rPr>
          <w:b/>
          <w:bCs/>
          <w:sz w:val="22"/>
          <w:szCs w:val="22"/>
        </w:rPr>
        <w:t xml:space="preserve"> </w:t>
      </w:r>
      <w:proofErr w:type="spellStart"/>
      <w:r w:rsidRPr="002403E6">
        <w:rPr>
          <w:b/>
          <w:bCs/>
          <w:sz w:val="22"/>
          <w:szCs w:val="22"/>
        </w:rPr>
        <w:t>therapeutic</w:t>
      </w:r>
      <w:proofErr w:type="spellEnd"/>
      <w:r w:rsidRPr="002403E6">
        <w:rPr>
          <w:b/>
          <w:bCs/>
          <w:sz w:val="22"/>
          <w:szCs w:val="22"/>
        </w:rPr>
        <w:t xml:space="preserve"> </w:t>
      </w:r>
      <w:proofErr w:type="spellStart"/>
      <w:r w:rsidRPr="002403E6">
        <w:rPr>
          <w:b/>
          <w:bCs/>
          <w:sz w:val="22"/>
          <w:szCs w:val="22"/>
        </w:rPr>
        <w:t>cancer</w:t>
      </w:r>
      <w:proofErr w:type="spellEnd"/>
      <w:r w:rsidRPr="002403E6">
        <w:rPr>
          <w:b/>
          <w:bCs/>
          <w:sz w:val="22"/>
          <w:szCs w:val="22"/>
        </w:rPr>
        <w:t xml:space="preserve"> </w:t>
      </w:r>
      <w:proofErr w:type="spellStart"/>
      <w:r w:rsidRPr="002403E6">
        <w:rPr>
          <w:b/>
          <w:bCs/>
          <w:sz w:val="22"/>
          <w:szCs w:val="22"/>
        </w:rPr>
        <w:t>vaccines</w:t>
      </w:r>
      <w:proofErr w:type="spellEnd"/>
      <w:r w:rsidRPr="002403E6">
        <w:rPr>
          <w:b/>
          <w:bCs/>
          <w:sz w:val="22"/>
          <w:szCs w:val="22"/>
        </w:rPr>
        <w:t>.</w:t>
      </w:r>
      <w:r w:rsidRPr="002403E6">
        <w:rPr>
          <w:sz w:val="22"/>
          <w:szCs w:val="22"/>
        </w:rPr>
        <w:t xml:space="preserve"> </w:t>
      </w:r>
      <w:proofErr w:type="spellStart"/>
      <w:r w:rsidRPr="002403E6">
        <w:rPr>
          <w:b/>
          <w:bCs/>
          <w:sz w:val="22"/>
          <w:szCs w:val="22"/>
        </w:rPr>
        <w:t>Immunity</w:t>
      </w:r>
      <w:proofErr w:type="spellEnd"/>
      <w:r w:rsidRPr="002403E6">
        <w:rPr>
          <w:sz w:val="22"/>
          <w:szCs w:val="22"/>
        </w:rPr>
        <w:t xml:space="preserve">, v. 39, n. 1, p. 38-48, 2013. </w:t>
      </w:r>
    </w:p>
    <w:p w14:paraId="186531CC" w14:textId="77777777" w:rsidR="002403E6" w:rsidRPr="002403E6" w:rsidRDefault="002403E6" w:rsidP="002403E6">
      <w:pPr>
        <w:spacing w:line="240" w:lineRule="auto"/>
        <w:rPr>
          <w:sz w:val="22"/>
          <w:szCs w:val="22"/>
        </w:rPr>
      </w:pPr>
    </w:p>
    <w:p w14:paraId="23FB20FF" w14:textId="77777777" w:rsidR="00616B75" w:rsidRDefault="00616B75"/>
    <w:p w14:paraId="742DADED" w14:textId="77777777" w:rsidR="00616B75" w:rsidRDefault="00616B75"/>
    <w:sectPr w:rsidR="00616B75" w:rsidSect="005662FE">
      <w:headerReference w:type="default" r:id="rId11"/>
      <w:footerReference w:type="default" r:id="rId12"/>
      <w:headerReference w:type="first" r:id="rId13"/>
      <w:footerReference w:type="first" r:id="rId14"/>
      <w:pgSz w:w="8419" w:h="11906"/>
      <w:pgMar w:top="284" w:right="284" w:bottom="0" w:left="284" w:header="709"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BFB9E" w14:textId="77777777" w:rsidR="00CD7753" w:rsidRDefault="00CD7753">
      <w:pPr>
        <w:spacing w:line="240" w:lineRule="auto"/>
      </w:pPr>
      <w:r>
        <w:separator/>
      </w:r>
    </w:p>
  </w:endnote>
  <w:endnote w:type="continuationSeparator" w:id="0">
    <w:p w14:paraId="7F09F6CE" w14:textId="77777777" w:rsidR="00CD7753" w:rsidRDefault="00CD77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0C104" w14:textId="77777777" w:rsidR="00616B75" w:rsidRDefault="00000000">
    <w:pPr>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DE2747">
      <w:rPr>
        <w:noProof/>
        <w:color w:val="000000"/>
      </w:rPr>
      <w:t>1</w:t>
    </w:r>
    <w:r>
      <w:rPr>
        <w:color w:val="000000"/>
      </w:rPr>
      <w:fldChar w:fldCharType="end"/>
    </w:r>
  </w:p>
  <w:p w14:paraId="4F09B3A8" w14:textId="77777777" w:rsidR="00616B75" w:rsidRDefault="00616B75">
    <w:pPr>
      <w:pBdr>
        <w:top w:val="nil"/>
        <w:left w:val="nil"/>
        <w:bottom w:val="nil"/>
        <w:right w:val="nil"/>
        <w:between w:val="nil"/>
      </w:pBdr>
      <w:tabs>
        <w:tab w:val="center" w:pos="4252"/>
        <w:tab w:val="right" w:pos="8504"/>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E5F17" w14:textId="77777777" w:rsidR="00616B75" w:rsidRDefault="00000000">
    <w:pPr>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9B2FA48" w14:textId="77777777" w:rsidR="00616B75" w:rsidRDefault="00616B75">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78FBC" w14:textId="77777777" w:rsidR="00CD7753" w:rsidRDefault="00CD7753">
      <w:pPr>
        <w:spacing w:line="240" w:lineRule="auto"/>
      </w:pPr>
      <w:r>
        <w:separator/>
      </w:r>
    </w:p>
  </w:footnote>
  <w:footnote w:type="continuationSeparator" w:id="0">
    <w:p w14:paraId="311B70C5" w14:textId="77777777" w:rsidR="00CD7753" w:rsidRDefault="00CD77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2A8AB" w14:textId="71EEC587" w:rsidR="00616B75" w:rsidRDefault="002403E6">
    <w:pPr>
      <w:widowControl w:val="0"/>
      <w:pBdr>
        <w:top w:val="nil"/>
        <w:left w:val="nil"/>
        <w:bottom w:val="nil"/>
        <w:right w:val="nil"/>
        <w:between w:val="nil"/>
      </w:pBdr>
      <w:spacing w:line="276" w:lineRule="auto"/>
      <w:jc w:val="left"/>
    </w:pPr>
    <w:r>
      <w:rPr>
        <w:noProof/>
        <w:color w:val="000000"/>
      </w:rPr>
      <w:drawing>
        <wp:anchor distT="0" distB="0" distL="114300" distR="114300" simplePos="0" relativeHeight="251658240" behindDoc="0" locked="0" layoutInCell="1" allowOverlap="1" wp14:anchorId="3BB54FF3" wp14:editId="2D280C1C">
          <wp:simplePos x="0" y="0"/>
          <wp:positionH relativeFrom="column">
            <wp:posOffset>2109139</wp:posOffset>
          </wp:positionH>
          <wp:positionV relativeFrom="paragraph">
            <wp:posOffset>-243978</wp:posOffset>
          </wp:positionV>
          <wp:extent cx="761811" cy="534988"/>
          <wp:effectExtent l="0" t="0" r="635"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61811" cy="534988"/>
                  </a:xfrm>
                  <a:prstGeom prst="rect">
                    <a:avLst/>
                  </a:prstGeom>
                  <a:ln/>
                </pic:spPr>
              </pic:pic>
            </a:graphicData>
          </a:graphic>
          <wp14:sizeRelH relativeFrom="page">
            <wp14:pctWidth>0</wp14:pctWidth>
          </wp14:sizeRelH>
          <wp14:sizeRelV relativeFrom="page">
            <wp14:pctHeight>0</wp14:pctHeight>
          </wp14:sizeRelV>
        </wp:anchor>
      </w:drawing>
    </w:r>
  </w:p>
  <w:tbl>
    <w:tblPr>
      <w:tblStyle w:val="a"/>
      <w:tblW w:w="6705" w:type="dxa"/>
      <w:tblInd w:w="0" w:type="dxa"/>
      <w:tblLayout w:type="fixed"/>
      <w:tblLook w:val="0600" w:firstRow="0" w:lastRow="0" w:firstColumn="0" w:lastColumn="0" w:noHBand="1" w:noVBand="1"/>
    </w:tblPr>
    <w:tblGrid>
      <w:gridCol w:w="2235"/>
      <w:gridCol w:w="2235"/>
      <w:gridCol w:w="2235"/>
    </w:tblGrid>
    <w:tr w:rsidR="00616B75" w14:paraId="0C6DC593" w14:textId="77777777">
      <w:tc>
        <w:tcPr>
          <w:tcW w:w="2235" w:type="dxa"/>
        </w:tcPr>
        <w:p w14:paraId="4E8D7632" w14:textId="77777777" w:rsidR="00616B75" w:rsidRDefault="00616B75">
          <w:pPr>
            <w:pBdr>
              <w:top w:val="nil"/>
              <w:left w:val="nil"/>
              <w:bottom w:val="nil"/>
              <w:right w:val="nil"/>
              <w:between w:val="nil"/>
            </w:pBdr>
            <w:tabs>
              <w:tab w:val="center" w:pos="4252"/>
              <w:tab w:val="right" w:pos="8504"/>
            </w:tabs>
            <w:spacing w:line="240" w:lineRule="auto"/>
            <w:ind w:left="-115"/>
            <w:jc w:val="left"/>
            <w:rPr>
              <w:color w:val="000000"/>
            </w:rPr>
          </w:pPr>
        </w:p>
      </w:tc>
      <w:tc>
        <w:tcPr>
          <w:tcW w:w="2235" w:type="dxa"/>
        </w:tcPr>
        <w:p w14:paraId="23FC4058" w14:textId="735DD62F" w:rsidR="00616B75" w:rsidRDefault="00616B75">
          <w:pPr>
            <w:pBdr>
              <w:top w:val="nil"/>
              <w:left w:val="nil"/>
              <w:bottom w:val="nil"/>
              <w:right w:val="nil"/>
              <w:between w:val="nil"/>
            </w:pBdr>
            <w:tabs>
              <w:tab w:val="center" w:pos="4252"/>
              <w:tab w:val="right" w:pos="8504"/>
            </w:tabs>
            <w:spacing w:line="240" w:lineRule="auto"/>
            <w:jc w:val="center"/>
            <w:rPr>
              <w:color w:val="000000"/>
            </w:rPr>
          </w:pPr>
        </w:p>
      </w:tc>
      <w:tc>
        <w:tcPr>
          <w:tcW w:w="2235" w:type="dxa"/>
        </w:tcPr>
        <w:p w14:paraId="1F3D4431" w14:textId="77777777" w:rsidR="00616B75" w:rsidRDefault="00616B75">
          <w:pPr>
            <w:pBdr>
              <w:top w:val="nil"/>
              <w:left w:val="nil"/>
              <w:bottom w:val="nil"/>
              <w:right w:val="nil"/>
              <w:between w:val="nil"/>
            </w:pBdr>
            <w:tabs>
              <w:tab w:val="center" w:pos="4252"/>
              <w:tab w:val="right" w:pos="8504"/>
            </w:tabs>
            <w:spacing w:line="240" w:lineRule="auto"/>
            <w:ind w:right="-115"/>
            <w:jc w:val="right"/>
            <w:rPr>
              <w:color w:val="000000"/>
            </w:rPr>
          </w:pPr>
        </w:p>
      </w:tc>
    </w:tr>
  </w:tbl>
  <w:p w14:paraId="6A414D99" w14:textId="77777777" w:rsidR="00616B75" w:rsidRDefault="00616B75">
    <w:pPr>
      <w:pBdr>
        <w:top w:val="nil"/>
        <w:left w:val="nil"/>
        <w:bottom w:val="nil"/>
        <w:right w:val="nil"/>
        <w:between w:val="nil"/>
      </w:pBdr>
      <w:tabs>
        <w:tab w:val="center" w:pos="4252"/>
        <w:tab w:val="right" w:pos="8504"/>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67327" w14:textId="77777777" w:rsidR="00616B75" w:rsidRDefault="00000000">
    <w:pPr>
      <w:spacing w:line="276" w:lineRule="auto"/>
      <w:jc w:val="center"/>
      <w:rPr>
        <w:sz w:val="12"/>
        <w:szCs w:val="12"/>
      </w:rPr>
    </w:pPr>
    <w:r>
      <w:rPr>
        <w:sz w:val="12"/>
        <w:szCs w:val="12"/>
      </w:rPr>
      <w:t>Educação em Saúde: Percepção de Profissionais atuantes na Atenção Básica à Saúde de um município paraibano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C22DF8"/>
    <w:multiLevelType w:val="multilevel"/>
    <w:tmpl w:val="6040F9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37767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B75"/>
    <w:rsid w:val="002403E6"/>
    <w:rsid w:val="002A0E71"/>
    <w:rsid w:val="005662FE"/>
    <w:rsid w:val="00616B75"/>
    <w:rsid w:val="00CD7753"/>
    <w:rsid w:val="00DE2747"/>
    <w:rsid w:val="00E31F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402C2"/>
  <w15:docId w15:val="{E0B14F59-95A2-4AED-B295-36ADCF203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pt-BR" w:eastAsia="pt-BR"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line="240" w:lineRule="auto"/>
      <w:jc w:val="left"/>
      <w:outlineLvl w:val="0"/>
    </w:pPr>
    <w:rPr>
      <w:b/>
      <w:color w:val="365F91"/>
      <w:sz w:val="28"/>
      <w:szCs w:val="28"/>
    </w:rPr>
  </w:style>
  <w:style w:type="paragraph" w:styleId="Ttulo2">
    <w:name w:val="heading 2"/>
    <w:basedOn w:val="Normal"/>
    <w:next w:val="Normal"/>
    <w:uiPriority w:val="9"/>
    <w:semiHidden/>
    <w:unhideWhenUsed/>
    <w:qFormat/>
    <w:pPr>
      <w:keepNext/>
      <w:keepLines/>
      <w:spacing w:before="200"/>
      <w:outlineLvl w:val="1"/>
    </w:pPr>
    <w:rPr>
      <w:rFonts w:ascii="Calibri" w:eastAsia="Calibri" w:hAnsi="Calibri" w:cs="Calibri"/>
      <w:b/>
      <w:color w:val="5B9BD5"/>
      <w:sz w:val="26"/>
      <w:szCs w:val="26"/>
    </w:rPr>
  </w:style>
  <w:style w:type="paragraph" w:styleId="Ttulo3">
    <w:name w:val="heading 3"/>
    <w:basedOn w:val="Normal"/>
    <w:next w:val="Normal"/>
    <w:uiPriority w:val="9"/>
    <w:semiHidden/>
    <w:unhideWhenUsed/>
    <w:qFormat/>
    <w:pPr>
      <w:keepNext/>
      <w:keepLines/>
      <w:spacing w:before="200"/>
      <w:outlineLvl w:val="2"/>
    </w:pPr>
    <w:rPr>
      <w:rFonts w:ascii="Calibri" w:eastAsia="Calibri" w:hAnsi="Calibri" w:cs="Calibri"/>
      <w:b/>
      <w:color w:val="5B9BD5"/>
    </w:rPr>
  </w:style>
  <w:style w:type="paragraph" w:styleId="Ttulo4">
    <w:name w:val="heading 4"/>
    <w:basedOn w:val="Normal"/>
    <w:next w:val="Normal"/>
    <w:uiPriority w:val="9"/>
    <w:semiHidden/>
    <w:unhideWhenUsed/>
    <w:qFormat/>
    <w:pPr>
      <w:keepNext/>
      <w:keepLines/>
      <w:spacing w:before="40"/>
      <w:jc w:val="left"/>
      <w:outlineLvl w:val="3"/>
    </w:pPr>
    <w:rPr>
      <w:rFonts w:ascii="Calibri" w:eastAsia="Calibri" w:hAnsi="Calibri" w:cs="Calibri"/>
      <w:i/>
      <w:color w:val="2E74B5"/>
    </w:rPr>
  </w:style>
  <w:style w:type="paragraph" w:styleId="Ttulo5">
    <w:name w:val="heading 5"/>
    <w:basedOn w:val="Normal"/>
    <w:next w:val="Normal"/>
    <w:uiPriority w:val="9"/>
    <w:semiHidden/>
    <w:unhideWhenUsed/>
    <w:qFormat/>
    <w:pPr>
      <w:keepNext/>
      <w:keepLines/>
      <w:spacing w:before="40"/>
      <w:jc w:val="left"/>
      <w:outlineLvl w:val="4"/>
    </w:pPr>
    <w:rPr>
      <w:rFonts w:ascii="Calibri" w:eastAsia="Calibri" w:hAnsi="Calibri" w:cs="Calibri"/>
      <w:color w:val="2E74B5"/>
    </w:rPr>
  </w:style>
  <w:style w:type="paragraph" w:styleId="Ttulo6">
    <w:name w:val="heading 6"/>
    <w:basedOn w:val="Normal"/>
    <w:next w:val="Normal"/>
    <w:uiPriority w:val="9"/>
    <w:semiHidden/>
    <w:unhideWhenUsed/>
    <w:qFormat/>
    <w:pPr>
      <w:keepNext/>
      <w:keepLines/>
      <w:spacing w:before="40"/>
      <w:jc w:val="left"/>
      <w:outlineLvl w:val="5"/>
    </w:pPr>
    <w:rPr>
      <w:rFonts w:ascii="Calibri" w:eastAsia="Calibri" w:hAnsi="Calibri" w:cs="Calibri"/>
      <w:color w:val="1F4D7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line="240" w:lineRule="auto"/>
      <w:jc w:val="center"/>
    </w:pPr>
    <w:rPr>
      <w:rFonts w:ascii="Times New Roman" w:eastAsia="Times New Roman" w:hAnsi="Times New Roman" w:cs="Times New Roman"/>
      <w:b/>
    </w:rPr>
  </w:style>
  <w:style w:type="paragraph" w:styleId="Subttulo">
    <w:name w:val="Subtitle"/>
    <w:basedOn w:val="Normal"/>
    <w:next w:val="Normal"/>
    <w:uiPriority w:val="11"/>
    <w:qFormat/>
    <w:pPr>
      <w:spacing w:after="60" w:line="240" w:lineRule="auto"/>
      <w:jc w:val="center"/>
    </w:pPr>
    <w:rPr>
      <w:rFonts w:ascii="Calibri" w:eastAsia="Calibri" w:hAnsi="Calibri" w:cs="Calibri"/>
    </w:rPr>
  </w:style>
  <w:style w:type="table" w:customStyle="1" w:styleId="a">
    <w:basedOn w:val="TableNormal"/>
    <w:tblPr>
      <w:tblStyleRowBandSize w:val="1"/>
      <w:tblStyleColBandSize w:val="1"/>
      <w:tblCellMar>
        <w:top w:w="0" w:type="dxa"/>
        <w:left w:w="115" w:type="dxa"/>
        <w:bottom w:w="0" w:type="dxa"/>
        <w:right w:w="115" w:type="dxa"/>
      </w:tblCellMar>
    </w:tblPr>
  </w:style>
  <w:style w:type="character" w:styleId="Hyperlink">
    <w:name w:val="Hyperlink"/>
    <w:basedOn w:val="Fontepargpadro"/>
    <w:uiPriority w:val="99"/>
    <w:unhideWhenUsed/>
    <w:rsid w:val="002403E6"/>
    <w:rPr>
      <w:color w:val="0000FF" w:themeColor="hyperlink"/>
      <w:u w:val="single"/>
    </w:rPr>
  </w:style>
  <w:style w:type="character" w:styleId="MenoPendente">
    <w:name w:val="Unresolved Mention"/>
    <w:basedOn w:val="Fontepargpadro"/>
    <w:uiPriority w:val="99"/>
    <w:semiHidden/>
    <w:unhideWhenUsed/>
    <w:rsid w:val="002403E6"/>
    <w:rPr>
      <w:color w:val="605E5C"/>
      <w:shd w:val="clear" w:color="auto" w:fill="E1DFDD"/>
    </w:rPr>
  </w:style>
  <w:style w:type="paragraph" w:styleId="Cabealho">
    <w:name w:val="header"/>
    <w:basedOn w:val="Normal"/>
    <w:link w:val="CabealhoChar"/>
    <w:uiPriority w:val="99"/>
    <w:unhideWhenUsed/>
    <w:rsid w:val="002403E6"/>
    <w:pPr>
      <w:tabs>
        <w:tab w:val="center" w:pos="4252"/>
        <w:tab w:val="right" w:pos="8504"/>
      </w:tabs>
      <w:spacing w:line="240" w:lineRule="auto"/>
    </w:pPr>
  </w:style>
  <w:style w:type="character" w:customStyle="1" w:styleId="CabealhoChar">
    <w:name w:val="Cabeçalho Char"/>
    <w:basedOn w:val="Fontepargpadro"/>
    <w:link w:val="Cabealho"/>
    <w:uiPriority w:val="99"/>
    <w:rsid w:val="002403E6"/>
  </w:style>
  <w:style w:type="paragraph" w:styleId="Rodap">
    <w:name w:val="footer"/>
    <w:basedOn w:val="Normal"/>
    <w:link w:val="RodapChar"/>
    <w:uiPriority w:val="99"/>
    <w:unhideWhenUsed/>
    <w:rsid w:val="002403E6"/>
    <w:pPr>
      <w:tabs>
        <w:tab w:val="center" w:pos="4252"/>
        <w:tab w:val="right" w:pos="8504"/>
      </w:tabs>
      <w:spacing w:line="240" w:lineRule="auto"/>
    </w:pPr>
  </w:style>
  <w:style w:type="character" w:customStyle="1" w:styleId="RodapChar">
    <w:name w:val="Rodapé Char"/>
    <w:basedOn w:val="Fontepargpadro"/>
    <w:link w:val="Rodap"/>
    <w:uiPriority w:val="99"/>
    <w:rsid w:val="00240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79679">
      <w:bodyDiv w:val="1"/>
      <w:marLeft w:val="0"/>
      <w:marRight w:val="0"/>
      <w:marTop w:val="0"/>
      <w:marBottom w:val="0"/>
      <w:divBdr>
        <w:top w:val="none" w:sz="0" w:space="0" w:color="auto"/>
        <w:left w:val="none" w:sz="0" w:space="0" w:color="auto"/>
        <w:bottom w:val="none" w:sz="0" w:space="0" w:color="auto"/>
        <w:right w:val="none" w:sz="0" w:space="0" w:color="auto"/>
      </w:divBdr>
    </w:div>
    <w:div w:id="338965832">
      <w:bodyDiv w:val="1"/>
      <w:marLeft w:val="0"/>
      <w:marRight w:val="0"/>
      <w:marTop w:val="0"/>
      <w:marBottom w:val="0"/>
      <w:divBdr>
        <w:top w:val="none" w:sz="0" w:space="0" w:color="auto"/>
        <w:left w:val="none" w:sz="0" w:space="0" w:color="auto"/>
        <w:bottom w:val="none" w:sz="0" w:space="0" w:color="auto"/>
        <w:right w:val="none" w:sz="0" w:space="0" w:color="auto"/>
      </w:divBdr>
    </w:div>
    <w:div w:id="1056247951">
      <w:bodyDiv w:val="1"/>
      <w:marLeft w:val="0"/>
      <w:marRight w:val="0"/>
      <w:marTop w:val="0"/>
      <w:marBottom w:val="0"/>
      <w:divBdr>
        <w:top w:val="none" w:sz="0" w:space="0" w:color="auto"/>
        <w:left w:val="none" w:sz="0" w:space="0" w:color="auto"/>
        <w:bottom w:val="none" w:sz="0" w:space="0" w:color="auto"/>
        <w:right w:val="none" w:sz="0" w:space="0" w:color="auto"/>
      </w:divBdr>
    </w:div>
    <w:div w:id="1166286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aomello326@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hiago.matos@uncisal.edu.br" TargetMode="External"/><Relationship Id="rId4" Type="http://schemas.openxmlformats.org/officeDocument/2006/relationships/settings" Target="settings.xml"/><Relationship Id="rId9" Type="http://schemas.openxmlformats.org/officeDocument/2006/relationships/hyperlink" Target="mailto:tmatosrocha@cesmac.edu.b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550D1-5B9A-492F-A4A8-CAB69755E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505</Words>
  <Characters>2731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Matos</dc:creator>
  <cp:lastModifiedBy>Thiago Jose Matos Rocha</cp:lastModifiedBy>
  <cp:revision>2</cp:revision>
  <dcterms:created xsi:type="dcterms:W3CDTF">2024-10-25T01:47:00Z</dcterms:created>
  <dcterms:modified xsi:type="dcterms:W3CDTF">2024-10-25T01:47:00Z</dcterms:modified>
</cp:coreProperties>
</file>