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B3D7BD"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72F2660" w:rsidR="0053021A" w:rsidRPr="00733AFB" w:rsidRDefault="00B828C8" w:rsidP="0053021A">
                                <w:pPr>
                                  <w:rPr>
                                    <w:rFonts w:ascii="Antonio" w:hAnsi="Antonio"/>
                                    <w:color w:val="1A9B3C"/>
                                    <w:sz w:val="36"/>
                                    <w:szCs w:val="36"/>
                                  </w:rPr>
                                </w:pPr>
                                <w:r>
                                  <w:rPr>
                                    <w:rFonts w:ascii="Antonio" w:hAnsi="Antonio"/>
                                    <w:color w:val="1A9B3C"/>
                                    <w:sz w:val="36"/>
                                    <w:szCs w:val="36"/>
                                  </w:rPr>
                                  <w:t>RURALIDADES E MEIO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772F2660" w:rsidR="0053021A" w:rsidRPr="00733AFB" w:rsidRDefault="00B828C8" w:rsidP="0053021A">
                          <w:pPr>
                            <w:rPr>
                              <w:rFonts w:ascii="Antonio" w:hAnsi="Antonio"/>
                              <w:color w:val="1A9B3C"/>
                              <w:sz w:val="36"/>
                              <w:szCs w:val="36"/>
                            </w:rPr>
                          </w:pPr>
                          <w:r>
                            <w:rPr>
                              <w:rFonts w:ascii="Antonio" w:hAnsi="Antonio"/>
                              <w:color w:val="1A9B3C"/>
                              <w:sz w:val="36"/>
                              <w:szCs w:val="36"/>
                            </w:rPr>
                            <w:t>RURALIDADES E MEIO AMBIENTE</w:t>
                          </w:r>
                        </w:p>
                      </w:txbxContent>
                    </v:textbox>
                  </v:shape>
                </w:pict>
              </mc:Fallback>
            </mc:AlternateContent>
          </w:r>
          <w:r>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23CA90FA" w:rsidR="0053021A" w:rsidRPr="00733AFB" w:rsidRDefault="00B828C8" w:rsidP="0053021A">
                                <w:pPr>
                                  <w:rPr>
                                    <w:rFonts w:ascii="Antonio" w:hAnsi="Antonio"/>
                                    <w:color w:val="F8EDD1"/>
                                    <w:sz w:val="44"/>
                                    <w:szCs w:val="44"/>
                                  </w:rPr>
                                </w:pPr>
                                <w:r>
                                  <w:rPr>
                                    <w:rFonts w:ascii="Antonio" w:hAnsi="Antonio"/>
                                    <w:color w:val="F8EDD1"/>
                                    <w:sz w:val="44"/>
                                    <w:szCs w:val="44"/>
                                  </w:rPr>
                                  <w:t>GT3</w:t>
                                </w:r>
                                <w:r w:rsidR="0053021A" w:rsidRPr="00733AFB">
                                  <w:rPr>
                                    <w:rFonts w:ascii="Antonio" w:hAnsi="Antonio"/>
                                    <w:color w:val="F8ED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23CA90FA" w:rsidR="0053021A" w:rsidRPr="00733AFB" w:rsidRDefault="00B828C8" w:rsidP="0053021A">
                          <w:pPr>
                            <w:rPr>
                              <w:rFonts w:ascii="Antonio" w:hAnsi="Antonio"/>
                              <w:color w:val="F8EDD1"/>
                              <w:sz w:val="44"/>
                              <w:szCs w:val="44"/>
                            </w:rPr>
                          </w:pPr>
                          <w:r>
                            <w:rPr>
                              <w:rFonts w:ascii="Antonio" w:hAnsi="Antonio"/>
                              <w:color w:val="F8EDD1"/>
                              <w:sz w:val="44"/>
                              <w:szCs w:val="44"/>
                            </w:rPr>
                            <w:t>GT3</w:t>
                          </w:r>
                          <w:r w:rsidR="0053021A" w:rsidRPr="00733AFB">
                            <w:rPr>
                              <w:rFonts w:ascii="Antonio" w:hAnsi="Antonio"/>
                              <w:color w:val="F8EDD1"/>
                              <w:sz w:val="44"/>
                              <w:szCs w:val="44"/>
                            </w:rPr>
                            <w:t>:</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0D249CF3" w14:textId="3D2FB57D" w:rsidR="00216EFF" w:rsidRDefault="000E5376" w:rsidP="00C93767">
      <w:pPr>
        <w:jc w:val="center"/>
        <w:rPr>
          <w:b/>
        </w:rPr>
      </w:pPr>
      <w:r w:rsidRPr="003E2B2E">
        <w:rPr>
          <w:b/>
        </w:rPr>
        <w:t>Entre Tradição e Mercado: A Construção do Valor do Artesanato em Capim Dourado</w:t>
      </w:r>
    </w:p>
    <w:p w14:paraId="7042CF45" w14:textId="77777777" w:rsidR="00C93767" w:rsidRPr="00C93767" w:rsidRDefault="00C93767" w:rsidP="00C93767">
      <w:pPr>
        <w:jc w:val="center"/>
        <w:rPr>
          <w:b/>
        </w:rPr>
      </w:pPr>
    </w:p>
    <w:p w14:paraId="410997CC" w14:textId="3E4AD3C3" w:rsidR="00C93767" w:rsidRPr="00C93767" w:rsidRDefault="00C93767" w:rsidP="00C93767">
      <w:pPr>
        <w:spacing w:line="360" w:lineRule="auto"/>
        <w:ind w:hanging="2"/>
        <w:jc w:val="center"/>
        <w:rPr>
          <w:rFonts w:eastAsia="Arial" w:cs="Arial"/>
          <w:vertAlign w:val="superscript"/>
        </w:rPr>
      </w:pPr>
      <w:r>
        <w:rPr>
          <w:rFonts w:eastAsia="Arial" w:cs="Arial"/>
        </w:rPr>
        <w:t>Gisele Barbosa de Paiva</w:t>
      </w:r>
      <w:r w:rsidRPr="00C93767">
        <w:rPr>
          <w:rFonts w:eastAsia="Arial" w:cs="Arial"/>
          <w:vertAlign w:val="superscript"/>
        </w:rPr>
        <w:footnoteReference w:id="1"/>
      </w:r>
    </w:p>
    <w:p w14:paraId="28113E1C" w14:textId="794A947F" w:rsidR="00C93767" w:rsidRPr="00C93767" w:rsidRDefault="00C93767" w:rsidP="00C93767">
      <w:pPr>
        <w:spacing w:line="360" w:lineRule="auto"/>
        <w:ind w:hanging="2"/>
        <w:jc w:val="center"/>
        <w:rPr>
          <w:rFonts w:eastAsia="Arial" w:cs="Arial"/>
        </w:rPr>
      </w:pPr>
      <w:proofErr w:type="spellStart"/>
      <w:r>
        <w:rPr>
          <w:rFonts w:eastAsia="Arial" w:cs="Arial"/>
        </w:rPr>
        <w:t>Thallyta</w:t>
      </w:r>
      <w:proofErr w:type="spellEnd"/>
      <w:r>
        <w:rPr>
          <w:rFonts w:eastAsia="Arial" w:cs="Arial"/>
        </w:rPr>
        <w:t xml:space="preserve"> Ferreira Marques, Luan Philipe Nunes </w:t>
      </w:r>
      <w:proofErr w:type="spellStart"/>
      <w:r>
        <w:rPr>
          <w:rFonts w:eastAsia="Arial" w:cs="Arial"/>
        </w:rPr>
        <w:t>Bequimam</w:t>
      </w:r>
      <w:proofErr w:type="spellEnd"/>
      <w:r w:rsidRPr="00C93767">
        <w:rPr>
          <w:rFonts w:eastAsia="Arial" w:cs="Arial"/>
          <w:vertAlign w:val="superscript"/>
        </w:rPr>
        <w:footnoteReference w:id="2"/>
      </w:r>
    </w:p>
    <w:p w14:paraId="1A10A913" w14:textId="77777777" w:rsidR="00216EFF" w:rsidRPr="00216EFF" w:rsidRDefault="00216EFF" w:rsidP="00C93767">
      <w:pPr>
        <w:spacing w:line="360" w:lineRule="auto"/>
        <w:rPr>
          <w:rFonts w:eastAsia="Arial" w:cs="Arial"/>
          <w:color w:val="FF0000"/>
        </w:rPr>
      </w:pPr>
    </w:p>
    <w:p w14:paraId="62E1680C" w14:textId="4E16773D" w:rsidR="00216EFF" w:rsidRPr="00C93767" w:rsidRDefault="000E5376" w:rsidP="00C93767">
      <w:pPr>
        <w:spacing w:line="360" w:lineRule="auto"/>
        <w:ind w:hanging="2"/>
        <w:rPr>
          <w:rFonts w:eastAsia="Arial" w:cs="Arial"/>
        </w:rPr>
      </w:pPr>
      <w:r>
        <w:rPr>
          <w:rFonts w:eastAsia="Arial" w:cs="Arial"/>
          <w:b/>
        </w:rPr>
        <w:t>GT 3</w:t>
      </w:r>
      <w:r w:rsidR="00216EFF" w:rsidRPr="00216EFF">
        <w:rPr>
          <w:rFonts w:eastAsia="Arial" w:cs="Arial"/>
          <w:b/>
        </w:rPr>
        <w:t>:</w:t>
      </w:r>
      <w:r w:rsidR="00216EFF" w:rsidRPr="00216EFF">
        <w:rPr>
          <w:rFonts w:eastAsia="Arial" w:cs="Arial"/>
        </w:rPr>
        <w:t xml:space="preserve"> </w:t>
      </w:r>
      <w:r w:rsidRPr="003E2B2E">
        <w:t>RURALIDADES E MEIO AMBIENTE</w:t>
      </w: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4F2CB9C4" w:rsidR="00216EFF" w:rsidRDefault="000E5376" w:rsidP="000E5376">
      <w:pPr>
        <w:jc w:val="both"/>
      </w:pPr>
      <w:r w:rsidRPr="003E2B2E">
        <w:t>Este artigo investiga a precificação do artesanato em capim dourado produzido por mulheres artesãs do Jalapão, Tocantins, considerando dimensões econômicas, culturais e simbólicas. Com base na teoria do capital simbólico de Pierre Bourdieu, analisa como o valor das peças vai além dos custos materiais, incorporando identidade, ancestralidade e reconhecimento social. A pesquisa, de abordagem qualitativa, utilizou oficinas participativas, entrevistas semiestruturadas realizadas entre os anos de 2023 e 2025 e análise documental em comunidades quilombolas. Os resultados revelam que a precificação tradicional desconsidera a complexidade simbólica da produção, o que impulsiona discussões a respeito da criação de um modelo participativo de valoração. Como produto, propõe-se o "Caderno da Artesã" para registro e planejamento da produção do artesanato. Conclui-se que o valor das peças deve refletir tanto os custos quanto a legitimidade cultural e o capital simbólico envolvidos.</w:t>
      </w:r>
    </w:p>
    <w:p w14:paraId="01DF6C8C" w14:textId="77777777" w:rsidR="000E5376" w:rsidRPr="000E5376" w:rsidRDefault="000E5376" w:rsidP="000E5376">
      <w:pPr>
        <w:jc w:val="both"/>
      </w:pPr>
    </w:p>
    <w:p w14:paraId="1ABB7E9C" w14:textId="559BDC61" w:rsidR="00216EFF" w:rsidRPr="007E44FD" w:rsidRDefault="00216EFF" w:rsidP="007E44FD">
      <w:pPr>
        <w:spacing w:line="360" w:lineRule="auto"/>
        <w:ind w:hanging="2"/>
        <w:jc w:val="both"/>
        <w:rPr>
          <w:rFonts w:eastAsia="Arial" w:cs="Arial"/>
        </w:rPr>
      </w:pPr>
      <w:r w:rsidRPr="00216EFF">
        <w:rPr>
          <w:rFonts w:eastAsia="Arial" w:cs="Arial"/>
        </w:rPr>
        <w:t xml:space="preserve">Palavras-chave: </w:t>
      </w:r>
      <w:r w:rsidR="000E5376">
        <w:rPr>
          <w:rFonts w:eastAsia="Arial" w:cs="Arial"/>
        </w:rPr>
        <w:t>Capim dourado, precificação,</w:t>
      </w:r>
      <w:r w:rsidR="00B828C8">
        <w:rPr>
          <w:rFonts w:eastAsia="Arial" w:cs="Arial"/>
        </w:rPr>
        <w:t xml:space="preserve"> artesanato.</w:t>
      </w:r>
    </w:p>
    <w:p w14:paraId="25F4F952" w14:textId="77777777" w:rsidR="00216EFF" w:rsidRPr="00B828C8" w:rsidRDefault="00216EFF" w:rsidP="00B828C8">
      <w:pPr>
        <w:spacing w:line="360" w:lineRule="auto"/>
        <w:jc w:val="both"/>
        <w:rPr>
          <w:rFonts w:eastAsia="Arial" w:cs="Arial"/>
          <w:b/>
        </w:rPr>
      </w:pPr>
      <w:r w:rsidRPr="00B828C8">
        <w:rPr>
          <w:rFonts w:eastAsia="Arial" w:cs="Arial"/>
          <w:b/>
        </w:rPr>
        <w:t>INTRODUÇÃO</w:t>
      </w:r>
    </w:p>
    <w:p w14:paraId="74891BFD" w14:textId="77777777" w:rsidR="00B828C8" w:rsidRPr="00B828C8" w:rsidRDefault="00B828C8" w:rsidP="00B828C8">
      <w:pPr>
        <w:spacing w:line="360" w:lineRule="auto"/>
        <w:ind w:firstLine="708"/>
        <w:jc w:val="both"/>
      </w:pPr>
      <w:r w:rsidRPr="00B828C8">
        <w:t xml:space="preserve">A valorização do artesanato, especialmente do capim dourado, exige uma análise que transcenda as barreiras da Teoria Econômica Neoclássica, frequentemente centrada em aspectos puramente monetários. Pierre Bourdieu, em sua obra "As Estruturas Sociais da Economia", defende uma abordagem que considera não apenas a racionalidade econômica, mas também as dimensões sociais e culturais que moldam as práticas econômicas. </w:t>
      </w:r>
      <w:r w:rsidRPr="00B828C8">
        <w:lastRenderedPageBreak/>
        <w:t>Para ele, os agentes econômicos não são meros indivíduos que buscam maximizar utilidade, mas sim seres imersos em contextos sociais e históricos que influenciam suas decisões e preferências.</w:t>
      </w:r>
    </w:p>
    <w:p w14:paraId="4B03BBCF" w14:textId="77777777" w:rsidR="00B828C8" w:rsidRPr="00B828C8" w:rsidRDefault="00B828C8" w:rsidP="00B828C8">
      <w:pPr>
        <w:spacing w:line="360" w:lineRule="auto"/>
        <w:ind w:firstLine="708"/>
        <w:jc w:val="both"/>
      </w:pPr>
      <w:r w:rsidRPr="00B828C8">
        <w:t>No universo do artesanato, o valor das peças não é determinado apenas pelos custos de produção, mas também por um intricado entrelaçamento de fatores simbólicos e sociais. O capim dourado, ícone do artesanato tocantinense, é um reflexo da identidade das comunidades que o produzem, especialmente das mulheres artesãs do Jalapão. O processo criativo, a ancestralidade das técnicas e o reconhecimento social conferem a esses produtos um valor que ultrapassa a mera transação comercial, posicionando o artesanato como um "fato social total", conforme proposto por Bourdieu.</w:t>
      </w:r>
    </w:p>
    <w:p w14:paraId="6948DAA0" w14:textId="77777777" w:rsidR="00B828C8" w:rsidRPr="00B828C8" w:rsidRDefault="00B828C8" w:rsidP="00B828C8">
      <w:pPr>
        <w:spacing w:line="360" w:lineRule="auto"/>
        <w:ind w:firstLine="708"/>
        <w:jc w:val="both"/>
      </w:pPr>
      <w:r w:rsidRPr="00B828C8">
        <w:t>Esse valor simbólico, conforme ressaltado por diversos autores, manifesta-se nas interações entre artesãos e consumidores, onde os significados atribuídos às peças estão intimamente ligados à cultura e à história das comunidades. As obras artesanais se tornam veículos de identidade e resistência cultural, refletindo não apenas a habilidade técnica, mas também a luta por reconhecimento e valorização social.</w:t>
      </w:r>
    </w:p>
    <w:p w14:paraId="2AF81194" w14:textId="77777777" w:rsidR="00B828C8" w:rsidRPr="00B828C8" w:rsidRDefault="00B828C8" w:rsidP="00B828C8">
      <w:pPr>
        <w:spacing w:line="360" w:lineRule="auto"/>
        <w:ind w:firstLine="708"/>
        <w:jc w:val="both"/>
      </w:pPr>
      <w:r w:rsidRPr="00B828C8">
        <w:t>Além disso, a análise da precificação do artesanato revela que a lógica mercadológica tradicional não é suficiente para capturar a complexidade das dinâmicas envolvidas. As artesãs enfrentam desafios significativos, como a obtenção de matéria-prima e a valorização de seu trabalho, que muitas vezes não são refletidos nos preços finais. Portanto, compreender como fatores subjetivos e intangíveis influenciam a determinação dos preços do capim dourado é essencial para criar um modelo de precificação que reconheça e valorize essas dimensões.</w:t>
      </w:r>
    </w:p>
    <w:p w14:paraId="1AE7F53A" w14:textId="32FE43FE" w:rsidR="00216EFF" w:rsidRPr="007E44FD" w:rsidRDefault="00B828C8" w:rsidP="007E44FD">
      <w:pPr>
        <w:spacing w:line="360" w:lineRule="auto"/>
        <w:ind w:firstLine="708"/>
        <w:jc w:val="both"/>
      </w:pPr>
      <w:r w:rsidRPr="00B828C8">
        <w:t xml:space="preserve">Neste sentido, este artigo busca investigar a construção do valor do artesanato em capim dourado, propondo um olhar atento às interações sociais, culturais e simbólicas que permeiam o processo de precificação. A </w:t>
      </w:r>
      <w:r w:rsidRPr="00B828C8">
        <w:lastRenderedPageBreak/>
        <w:t>pesquisa, por meio de oficinas participativas e entrevistas com as artesãs, visa contribuir para o desenvolvimento de um modelo de valoração que não apenas considere os custos de produção, mas também reconheça a legitimidade cultural e o capital simbólico que essas peças carregam.</w:t>
      </w:r>
    </w:p>
    <w:p w14:paraId="4FB782B1" w14:textId="7C7516F2" w:rsidR="00216EFF" w:rsidRPr="00B828C8" w:rsidRDefault="00B828C8" w:rsidP="00B828C8">
      <w:pPr>
        <w:spacing w:line="360" w:lineRule="auto"/>
        <w:jc w:val="both"/>
        <w:rPr>
          <w:rFonts w:eastAsia="Arial" w:cs="Arial"/>
          <w:b/>
        </w:rPr>
      </w:pPr>
      <w:proofErr w:type="spellStart"/>
      <w:r w:rsidRPr="00B828C8">
        <w:rPr>
          <w:rFonts w:eastAsia="Arial" w:cs="Arial"/>
          <w:b/>
        </w:rPr>
        <w:t>B</w:t>
      </w:r>
      <w:r w:rsidR="007E44FD">
        <w:rPr>
          <w:rFonts w:eastAsia="Arial" w:cs="Arial"/>
          <w:b/>
        </w:rPr>
        <w:t>oudieu</w:t>
      </w:r>
      <w:proofErr w:type="spellEnd"/>
      <w:r w:rsidR="007E44FD">
        <w:rPr>
          <w:rFonts w:eastAsia="Arial" w:cs="Arial"/>
          <w:b/>
        </w:rPr>
        <w:t xml:space="preserve"> e Valorização do Artesanato</w:t>
      </w:r>
    </w:p>
    <w:p w14:paraId="097F7E40" w14:textId="08BC6F43" w:rsidR="00B828C8" w:rsidRPr="00B828C8" w:rsidRDefault="00B828C8" w:rsidP="007E44FD">
      <w:pPr>
        <w:spacing w:line="360" w:lineRule="auto"/>
        <w:ind w:firstLine="708"/>
        <w:jc w:val="both"/>
      </w:pPr>
      <w:r w:rsidRPr="00B828C8">
        <w:t xml:space="preserve">Pierre Bourdieu, em “As Estruturas Sociais da Economia”, contrapõe a Teoria   Econômica   Neoclássica que é limitada a uma análise comportamental da racionalidade dos indivíduos, maximização de utilidade dos consumidores, lucro das firmas e da alocação eficiente de recursos escassos, desprezando particularidades econômicas, como os aspectos culturais e contexto histórico que moldam as preferências e decisões econômicas (MELO,2019). Desta forma, o autor salienta a importância de considerar a disposição dos agentes econômicos e a racionalidade econômica como universal e inscrita na natureza humana </w:t>
      </w:r>
      <w:r w:rsidR="007E44FD" w:rsidRPr="00B828C8">
        <w:t>(BOURDIEU, 2006</w:t>
      </w:r>
      <w:proofErr w:type="gramStart"/>
      <w:r w:rsidR="007E44FD">
        <w:t>),</w:t>
      </w:r>
      <w:r w:rsidRPr="00B828C8">
        <w:t>(</w:t>
      </w:r>
      <w:proofErr w:type="gramEnd"/>
      <w:r w:rsidRPr="00B828C8">
        <w:t>FRANCE, 2013)</w:t>
      </w:r>
      <w:r w:rsidR="007E44FD">
        <w:t xml:space="preserve">. </w:t>
      </w:r>
    </w:p>
    <w:p w14:paraId="7B1B0363" w14:textId="418B8C9A" w:rsidR="00B828C8" w:rsidRPr="00B828C8" w:rsidRDefault="00B828C8" w:rsidP="00B828C8">
      <w:pPr>
        <w:spacing w:line="360" w:lineRule="auto"/>
        <w:jc w:val="both"/>
      </w:pPr>
      <w:r w:rsidRPr="00B828C8">
        <w:tab/>
        <w:t xml:space="preserve">O artesanato tem valor influenciado por aspectos etéreos, impactado por interações complexas de aspectos objetivos e subjetivos. Bourdieu salientou que o valor das obras de arte é consequência de uma estrutura coletiva, a cultura incorporada nas peças do artesanato, o cultivo sustentável, a habilidade do artesão, a história em torno das técnicas e a lidimidade da arte são determinantes para o preço final, refletindo nas peças não apenas o custo monetário, mas também o valor intrínseco que refletem para as comunidades. </w:t>
      </w:r>
    </w:p>
    <w:p w14:paraId="565DD843" w14:textId="41C1C411" w:rsidR="00B828C8" w:rsidRPr="00B828C8" w:rsidRDefault="00B828C8" w:rsidP="00B828C8">
      <w:pPr>
        <w:spacing w:line="360" w:lineRule="auto"/>
        <w:ind w:firstLine="708"/>
        <w:jc w:val="both"/>
      </w:pPr>
      <w:r w:rsidRPr="00B828C8">
        <w:t>Conforme ressalta Bourdieu e a análise de Garcia-</w:t>
      </w:r>
      <w:proofErr w:type="spellStart"/>
      <w:r w:rsidRPr="00B828C8">
        <w:t>Parpet</w:t>
      </w:r>
      <w:proofErr w:type="spellEnd"/>
      <w:r w:rsidR="007E44FD">
        <w:t xml:space="preserve"> (2013),</w:t>
      </w:r>
      <w:r w:rsidRPr="00B828C8">
        <w:t xml:space="preserve"> os produtos do artesanato representam um “fato social total”. Nesse contexto, o aspecto simbólico desempenha um papel fundamental na compreensão da formação dos preços. Isso indica que o valor atribuído às peças não se baseia apenas nos custos de produção, mas também no reconhecimento social e </w:t>
      </w:r>
      <w:r w:rsidRPr="00B828C8">
        <w:lastRenderedPageBreak/>
        <w:t>cultural que elas recebem. Ou seja, ao adquirir um produto artesanal, o consumidor não busca apenas utilidade funcional, mas também significados sociais como status, pertencimento e autenticidade. Essa perspectiva é essencial para compreender o valor agregado ao artesanato de regiões como o Jalapão, onde peças de Capim Dourado simbolizam não apenas estética, mas também a ancestralidade quilombola e a resistência cultural feminina. Tais produtos tornam-se "bens simbólicos", nos termos de Bourdieu, pois sua valoração ultrapassa o plano do custo de produção.</w:t>
      </w:r>
    </w:p>
    <w:p w14:paraId="693E605F" w14:textId="77777777" w:rsidR="00B828C8" w:rsidRPr="00B828C8" w:rsidRDefault="00B828C8" w:rsidP="00B828C8">
      <w:pPr>
        <w:spacing w:line="360" w:lineRule="auto"/>
        <w:ind w:firstLine="708"/>
        <w:jc w:val="both"/>
      </w:pPr>
      <w:r w:rsidRPr="00B828C8">
        <w:t>Garcia-</w:t>
      </w:r>
      <w:proofErr w:type="spellStart"/>
      <w:r w:rsidRPr="00B828C8">
        <w:t>Parpet</w:t>
      </w:r>
      <w:proofErr w:type="spellEnd"/>
      <w:r w:rsidRPr="00B828C8">
        <w:t xml:space="preserve"> (2013), ao interpretar a teoria do capital simbólico, reforça que o reconhecimento social e a legitimidade cultural são fatores determinantes para a precificação desses bens. Elementos como a narrativa da peça, sua origem territorial e a autenticidade das técnicas tradicionais — como o trançado manual ou o uso de materiais locais — não são mensuráveis por métricas convencionais, mas constituem fatores decisivos no momento da compra. Em contextos como o Capim Dourado, esse capital simbólico é formalmente protegido por legislações como a Lei do Capim Dourado (Governo do Tocantins), que busca institucionalizar práticas tradicionais e regulamentar sua comercialização sem desconsiderar a informalidade que sustenta sua autonomia cultural.</w:t>
      </w:r>
    </w:p>
    <w:p w14:paraId="19041B25" w14:textId="77777777" w:rsidR="00B828C8" w:rsidRPr="00B828C8" w:rsidRDefault="00B828C8" w:rsidP="00B828C8">
      <w:pPr>
        <w:spacing w:line="360" w:lineRule="auto"/>
        <w:jc w:val="both"/>
      </w:pPr>
      <w:r w:rsidRPr="00B828C8">
        <w:tab/>
        <w:t>As disposições econômicas mais fundamentais, necessidades, preferências, propensões (ao trabalho, à poupança e ao investimento) não são exógenas, isto é, dependentes de uma natureza humana universal, mas endógenas e dependentes de uma história, que é precisamente a do cosmos econômico, onde são exigidas e recompensadas (Bourdieu apud Garcia-</w:t>
      </w:r>
      <w:proofErr w:type="spellStart"/>
      <w:r w:rsidRPr="00B828C8">
        <w:t>Parpet</w:t>
      </w:r>
      <w:proofErr w:type="spellEnd"/>
      <w:r w:rsidRPr="00B828C8">
        <w:t>, 2013). Dessa maneira, tudo que a ciência econômica coloca como um dado é com efeito o produto paradoxal de uma longa história coletiva, reproduzido sem cessar nas histórias individuais, que só a análise histórica pode resolver de forma completa (Melo, 2019).</w:t>
      </w:r>
    </w:p>
    <w:p w14:paraId="4D920CDE" w14:textId="77777777" w:rsidR="00B828C8" w:rsidRPr="00B828C8" w:rsidRDefault="00B828C8" w:rsidP="00B828C8">
      <w:pPr>
        <w:spacing w:line="360" w:lineRule="auto"/>
        <w:jc w:val="both"/>
      </w:pPr>
      <w:r w:rsidRPr="00B828C8">
        <w:lastRenderedPageBreak/>
        <w:tab/>
        <w:t>Campos &amp; Lima (2018) destacam que os campos sociais são "locais de embates simbólicos", onde vários grupos compartilham suas visões de mundo. Ao examinar o mercado do artesanato, nota-se o empenho dos artesãos, em seu contexto social, para que seu ofício seja valorizado não somente como uma fonte de renda, mas também como uma expressão de identidade e resistência cultural. Portanto, o capital simbólico é definido como "poder concedido àqueles que conquistaram o suficiente reconhecimento para impor esse reconhecimento" (Campos &amp; Lima, 2018), evidenciando a relevância do reconhecimento externo para a validação cultural de grupos e/ou práticas.</w:t>
      </w:r>
    </w:p>
    <w:p w14:paraId="770483DA" w14:textId="3EE56396" w:rsidR="00B828C8" w:rsidRPr="00B828C8" w:rsidRDefault="00B828C8" w:rsidP="00B828C8">
      <w:pPr>
        <w:spacing w:line="360" w:lineRule="auto"/>
        <w:ind w:firstLine="708"/>
        <w:jc w:val="both"/>
      </w:pPr>
      <w:r w:rsidRPr="00B828C8">
        <w:t xml:space="preserve">Conforme </w:t>
      </w:r>
      <w:proofErr w:type="spellStart"/>
      <w:r w:rsidRPr="00B828C8">
        <w:t>Ravasi</w:t>
      </w:r>
      <w:proofErr w:type="spellEnd"/>
      <w:r w:rsidRPr="00B828C8">
        <w:t xml:space="preserve"> e </w:t>
      </w:r>
      <w:proofErr w:type="spellStart"/>
      <w:r w:rsidRPr="00B828C8">
        <w:t>Rindova</w:t>
      </w:r>
      <w:proofErr w:type="spellEnd"/>
      <w:r w:rsidRPr="00B828C8">
        <w:t xml:space="preserve"> (2013), os clientes compram produtos não apenas por sua utilidade prática, mas também pelos significados que desejam conferir   a eles. No que diz   respeito às peças artesanais, o significado simbólico está profundamente ligado à identidade cultural dos artesãos e à perspectiva dos clientes. </w:t>
      </w:r>
    </w:p>
    <w:p w14:paraId="633E8B43" w14:textId="03A4D92F" w:rsidR="00216EFF" w:rsidRDefault="00B828C8" w:rsidP="00B828C8">
      <w:pPr>
        <w:spacing w:line="360" w:lineRule="auto"/>
        <w:jc w:val="both"/>
      </w:pPr>
      <w:r w:rsidRPr="00B828C8">
        <w:tab/>
        <w:t>Neste sentido, a análise do processo de precificação do artesanato do Capim Dourado por mulheres artesãs, que é reconhecido não apenas pelo valor comercial, mas também pelo aspecto identitário, é um importante processo de colocar em evidências os aspectos sugeridos por Bourdieu como indissociáveis da racionalidade humana universal, assim, busca-se compreender como fatores subjetivos e intangíveis influenciam a determinação dos preços das peças de capim dourado.</w:t>
      </w:r>
    </w:p>
    <w:p w14:paraId="7660F073" w14:textId="77777777" w:rsidR="0020154B" w:rsidRPr="007E44FD" w:rsidRDefault="0020154B" w:rsidP="00B828C8">
      <w:pPr>
        <w:spacing w:line="360" w:lineRule="auto"/>
        <w:jc w:val="both"/>
      </w:pPr>
    </w:p>
    <w:p w14:paraId="436BB66D" w14:textId="063D95B4" w:rsidR="00B828C8" w:rsidRPr="00B828C8" w:rsidRDefault="00B828C8" w:rsidP="00B828C8">
      <w:pPr>
        <w:spacing w:line="360" w:lineRule="auto"/>
        <w:jc w:val="both"/>
        <w:rPr>
          <w:rFonts w:eastAsia="Arial" w:cs="Arial"/>
          <w:b/>
        </w:rPr>
      </w:pPr>
      <w:r w:rsidRPr="00B828C8">
        <w:rPr>
          <w:rFonts w:eastAsia="Arial" w:cs="Arial"/>
          <w:b/>
        </w:rPr>
        <w:t>E</w:t>
      </w:r>
      <w:r w:rsidR="007E44FD">
        <w:rPr>
          <w:rFonts w:eastAsia="Arial" w:cs="Arial"/>
          <w:b/>
        </w:rPr>
        <w:t>conomia Criativa e Valor Simbólico no Artesanato</w:t>
      </w:r>
    </w:p>
    <w:p w14:paraId="0A2C1C57" w14:textId="77777777" w:rsidR="00B828C8" w:rsidRPr="00B828C8" w:rsidRDefault="00B828C8" w:rsidP="00B828C8">
      <w:pPr>
        <w:spacing w:line="360" w:lineRule="auto"/>
        <w:ind w:firstLine="708"/>
        <w:jc w:val="both"/>
      </w:pPr>
      <w:r w:rsidRPr="00B828C8">
        <w:t xml:space="preserve">A economia criativa, enquanto conceito emergente nas últimas décadas, estabelece uma ponte entre criatividade, cultura e geração de valor econômico. Segundo Reis (2011), esse modelo de negócio se baseia na transformação de conhecimento, talento e capital intelectual em produtos e serviços com valor agregado, sendo particularmente relevante para segmentos </w:t>
      </w:r>
      <w:r w:rsidRPr="00B828C8">
        <w:lastRenderedPageBreak/>
        <w:t>como o artesanato, que carregam elementos de identidade cultural e memória coletiva. No Brasil, a economia criativa é um campo plural, englobando desde atividades artísticas e culturais tradicionais até criações de moda, design e turismo cultural — áreas onde o artesanato se insere com força.</w:t>
      </w:r>
    </w:p>
    <w:p w14:paraId="5947FA17" w14:textId="77777777" w:rsidR="00B828C8" w:rsidRPr="00B828C8" w:rsidRDefault="00B828C8" w:rsidP="00B828C8">
      <w:pPr>
        <w:spacing w:line="360" w:lineRule="auto"/>
        <w:ind w:firstLine="708"/>
        <w:jc w:val="both"/>
      </w:pPr>
      <w:r w:rsidRPr="00B828C8">
        <w:t>Machado (2023) observa que a economia criativa não deve apenas mercantilizar o saber-fazer tradicional, mas sim atuar como mediadora entre cultura e mercado, mantendo o valor identitário do produto. Iniciativas como o Programa do Artesanato Brasileiro (PAB), gerido pelo SEBRAE, procuram dar conta dessa mediação, promovendo certificações de origem e inserindo produtos artesanais em circuitos de luxo ou turismo cultural. Contudo, Mendonça (2017) alerta para os riscos da chamada “</w:t>
      </w:r>
      <w:proofErr w:type="spellStart"/>
      <w:r w:rsidRPr="00B828C8">
        <w:t>turistificação</w:t>
      </w:r>
      <w:proofErr w:type="spellEnd"/>
      <w:r w:rsidRPr="00B828C8">
        <w:t>”, em que a lógica do mercado esvazia o valor simbólico do artesanato, transformando-o em souvenir despersonalizado. Nesse cenário, o desafio está em equilibrar a valorização mercadológica com respeito à origem cultural e à história coletiva que os produtos representam.</w:t>
      </w:r>
    </w:p>
    <w:p w14:paraId="39521EF2" w14:textId="77777777" w:rsidR="00B828C8" w:rsidRPr="00B828C8" w:rsidRDefault="00B828C8" w:rsidP="00B828C8">
      <w:pPr>
        <w:spacing w:line="360" w:lineRule="auto"/>
        <w:ind w:firstLine="708"/>
        <w:jc w:val="both"/>
      </w:pPr>
      <w:r w:rsidRPr="00B828C8">
        <w:t xml:space="preserve">Braz (2023) amplia esse debate ao destacar como o artesanato pode atuar como vetor de desenvolvimento sustentável, especialmente quando vinculado à valorização de saberes ancestrais, inclusão produtiva e fortalecimento de redes comunitárias. Já autores como Vargas (2016) e </w:t>
      </w:r>
      <w:proofErr w:type="spellStart"/>
      <w:r w:rsidRPr="00B828C8">
        <w:t>Christaldo</w:t>
      </w:r>
      <w:proofErr w:type="spellEnd"/>
      <w:r w:rsidRPr="00B828C8">
        <w:t xml:space="preserve"> (2014) reforçam a importância da reputação das artesãs e da ancestralidade das práticas como elementos que conferem legitimidade ao produto artesanal em mercados simbólicos. Em suma, a economia criativa aplicada ao artesanato não apenas cria valor de mercado, mas também preserva patrimônios culturais intangíveis, transformando produtos artesanais em agentes de memória, identidade e transformação social.</w:t>
      </w:r>
    </w:p>
    <w:p w14:paraId="480D7D35" w14:textId="542CFC8B" w:rsidR="00B828C8" w:rsidRPr="00B828C8" w:rsidRDefault="00B828C8" w:rsidP="00B828C8">
      <w:pPr>
        <w:spacing w:line="360" w:lineRule="auto"/>
        <w:jc w:val="both"/>
      </w:pPr>
    </w:p>
    <w:p w14:paraId="5CE140A1" w14:textId="34B06FA1" w:rsidR="00B828C8" w:rsidRPr="00B828C8" w:rsidRDefault="00B828C8" w:rsidP="00B828C8">
      <w:pPr>
        <w:spacing w:line="360" w:lineRule="auto"/>
        <w:jc w:val="both"/>
        <w:rPr>
          <w:b/>
        </w:rPr>
      </w:pPr>
      <w:r w:rsidRPr="00B828C8">
        <w:rPr>
          <w:b/>
        </w:rPr>
        <w:t>M</w:t>
      </w:r>
      <w:r w:rsidR="0020154B">
        <w:rPr>
          <w:b/>
        </w:rPr>
        <w:t>étodos de precificação do artesanato</w:t>
      </w:r>
    </w:p>
    <w:p w14:paraId="5D55425D" w14:textId="77777777" w:rsidR="00B828C8" w:rsidRPr="00B828C8" w:rsidRDefault="00B828C8" w:rsidP="00B828C8">
      <w:pPr>
        <w:spacing w:line="360" w:lineRule="auto"/>
        <w:ind w:firstLine="708"/>
        <w:jc w:val="both"/>
      </w:pPr>
      <w:r w:rsidRPr="00B828C8">
        <w:lastRenderedPageBreak/>
        <w:t>A precificação no artesanato constitui um processo complexo que demanda a integração de métodos contábeis tradicionais com a valorização de aspectos simbólicos e culturais. O custeio por absorção, amplamente reconhecido na literatura contábil, representa um dos métodos mais completos por incorporar todos os custos de produção - fixos e variáveis - na formação do preço final. Sua fórmula básica (Preço = Custo Direto + Custo Indireto + Margem de Lucro) oferece uma visão abrangente dos custos reais de produção, sendo particularmente relevante para as análises. No entanto, estudos como o de Dias e Pereira (2022) demonstram que sua aplicação no contexto artesanal enfrenta limitações significativas, especialmente no que concerne ao rateio de custos indiretos entre peças de diferentes complexidades, podendo levar à subvalorização do trabalho.</w:t>
      </w:r>
    </w:p>
    <w:p w14:paraId="2ADFC8B9" w14:textId="77777777" w:rsidR="00B828C8" w:rsidRPr="00B828C8" w:rsidRDefault="00B828C8" w:rsidP="00B828C8">
      <w:pPr>
        <w:spacing w:line="360" w:lineRule="auto"/>
        <w:ind w:firstLine="708"/>
        <w:jc w:val="both"/>
      </w:pPr>
      <w:r w:rsidRPr="00B828C8">
        <w:t>Em contrapartida, o custeio variável apresenta-se como alternativa mais simplificada, focando exclusivamente nos custos diretamente vinculados à produção. Através do cálculo da margem de contribuição (Margem de Contribuição = Preço de Venda - Custo Variável Unitário), este método permite análises pontuais sobre a rentabilidade de cada produto. Martins (2010) destaca sua utilidade para decisões de curto prazo e composição do mix de produtos, enquanto Leite (2021) alerta para o risco de negligenciar custos fixos essenciais, comprometendo a sustentabilidade financeira no longo prazo. Essa tensão entre simplicidade operacional e visão estratégica revela um dos principais dilemas enfrentados pelos artesãos na formação de preços.</w:t>
      </w:r>
    </w:p>
    <w:p w14:paraId="66241A00" w14:textId="77777777" w:rsidR="00B828C8" w:rsidRPr="00B828C8" w:rsidRDefault="00B828C8" w:rsidP="00B828C8">
      <w:pPr>
        <w:spacing w:line="360" w:lineRule="auto"/>
        <w:ind w:firstLine="708"/>
        <w:jc w:val="both"/>
      </w:pPr>
      <w:r w:rsidRPr="00B828C8">
        <w:t>O método ABC (</w:t>
      </w:r>
      <w:proofErr w:type="spellStart"/>
      <w:r w:rsidRPr="00B828C8">
        <w:t>Activity-Based</w:t>
      </w:r>
      <w:proofErr w:type="spellEnd"/>
      <w:r w:rsidRPr="00B828C8">
        <w:t xml:space="preserve"> </w:t>
      </w:r>
      <w:proofErr w:type="spellStart"/>
      <w:r w:rsidRPr="00B828C8">
        <w:t>Costing</w:t>
      </w:r>
      <w:proofErr w:type="spellEnd"/>
      <w:r w:rsidRPr="00B828C8">
        <w:t xml:space="preserve">) surge como proposta para superar essas limitações, buscando alocar custos com base nas atividades que efetivamente consomem recursos no processo produtivo. Através da fórmula adaptada para o artesanato (Custo por Peça = Σ(Tempo da Atividade × Valor-Hora) + Insumos Diretos), este método pode ajudar as artesãs uma compreensão do custo real de cada etapa da produção artesanal. Contudo, </w:t>
      </w:r>
      <w:r w:rsidRPr="00B828C8">
        <w:lastRenderedPageBreak/>
        <w:t>sua complexidade operacional e a necessidade de controle detalhado frequentemente o tornam inviável para pequenas oficinas e produção informal, como observado nas comunidades do Jalapão.</w:t>
      </w:r>
    </w:p>
    <w:p w14:paraId="12066611" w14:textId="77777777" w:rsidR="00B828C8" w:rsidRPr="00B828C8" w:rsidRDefault="00B828C8" w:rsidP="00B828C8">
      <w:pPr>
        <w:spacing w:line="360" w:lineRule="auto"/>
        <w:ind w:firstLine="708"/>
        <w:jc w:val="both"/>
      </w:pPr>
      <w:r w:rsidRPr="00B828C8">
        <w:t>Complementando esse panorama, o custeio direto e o método do markup oferecem abordagens mais simplificadas, porém com limitações específicas. Enquanto o primeiro concentra-se apenas nos custos específicos atribuíveis a cada produto (Custo Direto = Matéria-prima + (Horas de trabalho × Valor-Hora)), simplificando o cálculo, mas tendendo a subestimar o custo total, o segundo aplica uma margem de lucro percentual sobre os custos totais (Preço de Venda = Custo Total × (1 + Markup)), método acessível, mas que pode levar a distorções quando não baseado em custos reais, conforme alertam Dias e Pereira (2022).</w:t>
      </w:r>
    </w:p>
    <w:p w14:paraId="71717635" w14:textId="77777777" w:rsidR="00216EFF" w:rsidRPr="00B828C8" w:rsidRDefault="00216EFF" w:rsidP="00B828C8">
      <w:pPr>
        <w:spacing w:line="360" w:lineRule="auto"/>
        <w:jc w:val="both"/>
        <w:rPr>
          <w:rFonts w:eastAsia="Arial" w:cs="Arial"/>
        </w:rPr>
      </w:pPr>
    </w:p>
    <w:p w14:paraId="28D0CC89" w14:textId="065FEC01" w:rsidR="00216EFF" w:rsidRPr="00B828C8" w:rsidRDefault="00B828C8" w:rsidP="00B828C8">
      <w:pPr>
        <w:spacing w:line="360" w:lineRule="auto"/>
        <w:jc w:val="both"/>
        <w:rPr>
          <w:rFonts w:eastAsia="Arial" w:cs="Arial"/>
          <w:b/>
        </w:rPr>
      </w:pPr>
      <w:r w:rsidRPr="00B828C8">
        <w:rPr>
          <w:rFonts w:eastAsia="Arial" w:cs="Arial"/>
          <w:b/>
        </w:rPr>
        <w:t>M</w:t>
      </w:r>
      <w:r w:rsidR="0020154B">
        <w:rPr>
          <w:rFonts w:eastAsia="Arial" w:cs="Arial"/>
          <w:b/>
        </w:rPr>
        <w:t>etodologia e Área de Estudo</w:t>
      </w:r>
    </w:p>
    <w:p w14:paraId="4143ADC5" w14:textId="77777777" w:rsidR="00B828C8" w:rsidRPr="00B828C8" w:rsidRDefault="00B828C8" w:rsidP="00B828C8">
      <w:pPr>
        <w:spacing w:line="360" w:lineRule="auto"/>
        <w:ind w:firstLine="708"/>
        <w:jc w:val="both"/>
      </w:pPr>
      <w:r w:rsidRPr="00B828C8">
        <w:t xml:space="preserve">Localizada no leste do estado do Tocantins, a Região do Jalapão destaca-se por suas paisagens naturais e sua rica diversidade socioambiental. Compreendendo os municípios de Mateiros, São Félix do Tocantins, Novo Acordo, Ponte Alta do Tocantins, </w:t>
      </w:r>
      <w:proofErr w:type="spellStart"/>
      <w:r w:rsidRPr="00B828C8">
        <w:t>Lizarda</w:t>
      </w:r>
      <w:proofErr w:type="spellEnd"/>
      <w:r w:rsidRPr="00B828C8">
        <w:t xml:space="preserve"> e Rio Sono, essa região compõe a chamada Região de Planejamento do Jalapão, conforme delimitação da Secretaria de Planejamento e Orçamento do Tocantins (SEPLAN-TO). Além de suas formações típicas do cerrado, o Jalapão abriga comunidades tradicionais que mantêm vivas práticas culturais e modos de vida sustentáveis, sendo o extrativismo do capim dourado um dos principais elementos de identidade territorial e desenvolvimento econômico local.</w:t>
      </w:r>
    </w:p>
    <w:p w14:paraId="5C6E2D51" w14:textId="77777777" w:rsidR="00B828C8" w:rsidRPr="00B828C8" w:rsidRDefault="00B828C8" w:rsidP="00B828C8">
      <w:pPr>
        <w:spacing w:line="360" w:lineRule="auto"/>
        <w:ind w:firstLine="708"/>
        <w:jc w:val="both"/>
      </w:pPr>
      <w:r w:rsidRPr="00B828C8">
        <w:t>Segundo Milagres (2020), o Jalapão apresenta um sistema socioecológico resiliente, no qual práticas tradicionais convivem com novas demandas do desenvolvimento regional. O capim dourado (</w:t>
      </w:r>
      <w:proofErr w:type="spellStart"/>
      <w:r w:rsidRPr="00B828C8">
        <w:t>Syngonanthus</w:t>
      </w:r>
      <w:proofErr w:type="spellEnd"/>
      <w:r w:rsidRPr="00B828C8">
        <w:t xml:space="preserve"> </w:t>
      </w:r>
      <w:proofErr w:type="spellStart"/>
      <w:r w:rsidRPr="00B828C8">
        <w:t>nitens</w:t>
      </w:r>
      <w:proofErr w:type="spellEnd"/>
      <w:r w:rsidRPr="00B828C8">
        <w:t xml:space="preserve">), encontrado principalmente nas veredas do Jalapão, é matéria-prima </w:t>
      </w:r>
      <w:r w:rsidRPr="00B828C8">
        <w:lastRenderedPageBreak/>
        <w:t>para o artesanato local, representando uma fonte de renda para comunidades tradicionais, especialmente as de origem quilombola. A prática do artesanato com capim dourado consolidou-se como elemento de identidade cultural e de organização econômica coletiva (SANO et al., 2018).</w:t>
      </w:r>
    </w:p>
    <w:p w14:paraId="09CD5299" w14:textId="77777777" w:rsidR="00B828C8" w:rsidRPr="00B828C8" w:rsidRDefault="00B828C8" w:rsidP="00B828C8">
      <w:pPr>
        <w:spacing w:line="360" w:lineRule="auto"/>
        <w:ind w:firstLine="708"/>
        <w:jc w:val="both"/>
      </w:pPr>
      <w:r w:rsidRPr="00B828C8">
        <w:t xml:space="preserve">De acordo com Rodrigues e </w:t>
      </w:r>
      <w:proofErr w:type="spellStart"/>
      <w:r w:rsidRPr="00B828C8">
        <w:t>Fredrych</w:t>
      </w:r>
      <w:proofErr w:type="spellEnd"/>
      <w:r w:rsidRPr="00B828C8">
        <w:t xml:space="preserve"> (2013), o capim dourado tem papel central no equilíbrio entre conservação ambiental e geração de renda, sendo necessário o controle extrativista para garantir a sustentabilidade dos ecossistemas locais. As políticas públicas de incentivo à Indicação Geográfica e ao manejo sustentável, conforme destacado por Gonçalves et al. (2019), são fundamentais para a valorização dos territórios tradicionais e fortalecimento das economias locais.</w:t>
      </w:r>
    </w:p>
    <w:p w14:paraId="24E666B7" w14:textId="77777777" w:rsidR="00B828C8" w:rsidRPr="00B828C8" w:rsidRDefault="00B828C8" w:rsidP="00B828C8">
      <w:pPr>
        <w:spacing w:line="360" w:lineRule="auto"/>
        <w:ind w:firstLine="708"/>
        <w:jc w:val="both"/>
      </w:pPr>
      <w:r w:rsidRPr="00B828C8">
        <w:t xml:space="preserve">O estudo foi realizado a partir de uma série de atividades realizadas nas comunidades quilombolas do Prata, </w:t>
      </w:r>
      <w:proofErr w:type="spellStart"/>
      <w:r w:rsidRPr="00B828C8">
        <w:t>Mumbuca</w:t>
      </w:r>
      <w:proofErr w:type="spellEnd"/>
      <w:r w:rsidRPr="00B828C8">
        <w:t xml:space="preserve"> e na Associação Comunitária dos Artesãos e Pequenos   Produtores de Mateiros (ACAPPM), situadas nos municípios de São Félix e Mateiros (TO), entre 2023 e 2025 envolvendo as artesãs dessas comunidades. As práticas foram realizadas com o objetivo de estabelecer o preço do artesanato do capim dourado com base na percepção das artesãs, considerando o contexto sociocultural que envolve a produção. </w:t>
      </w:r>
    </w:p>
    <w:p w14:paraId="35FF379F" w14:textId="77777777" w:rsidR="00B828C8" w:rsidRPr="00B828C8" w:rsidRDefault="00B828C8" w:rsidP="00B828C8">
      <w:pPr>
        <w:spacing w:line="360" w:lineRule="auto"/>
        <w:ind w:firstLine="708"/>
        <w:jc w:val="both"/>
      </w:pPr>
      <w:r w:rsidRPr="00B828C8">
        <w:t xml:space="preserve">Em cada uma das comunidades foram conduzidas oficinas coletivas, reuniões com as artesãs para discutir critérios de precificação, entrevistas semiestruturadas individuais, explorando questões relacionadas ao valor simbólico, tempo de produção, custos e técnicas empregadas. As oficinas e entrevistas, além de procurar entender os critérios técnicos de precificação, exploraram as representações sociais que as artesãs atribuem às suas criações. Campos &amp; Lima (2018) abordam que as representações sociais essas representações sociais são estruturas simbólicas que auxiliam os grupos a validar sua perspectiva de mundo. Dessa maneira, as atividades em grupo </w:t>
      </w:r>
      <w:r w:rsidRPr="00B828C8">
        <w:lastRenderedPageBreak/>
        <w:t>aplicadas possibilitam reconhecer os significados atribuídos ao artesanato e o impacto desses valores na determinação dos preços.</w:t>
      </w:r>
    </w:p>
    <w:p w14:paraId="1B05B0FF" w14:textId="77777777" w:rsidR="00B828C8" w:rsidRPr="00B828C8" w:rsidRDefault="00B828C8" w:rsidP="00B828C8">
      <w:pPr>
        <w:spacing w:line="360" w:lineRule="auto"/>
        <w:ind w:firstLine="708"/>
        <w:jc w:val="both"/>
      </w:pPr>
      <w:r w:rsidRPr="00B828C8">
        <w:t xml:space="preserve">Em novembro de 2023 foram realizadas oficinas coletivas com as artesãs, na comunidade do Prata em 11/11/2023, </w:t>
      </w:r>
      <w:proofErr w:type="spellStart"/>
      <w:r w:rsidRPr="00B828C8">
        <w:t>Mumbuca</w:t>
      </w:r>
      <w:proofErr w:type="spellEnd"/>
      <w:r w:rsidRPr="00B828C8">
        <w:t xml:space="preserve"> no dia 12/11/2023 e na Associação Comunitária dos Artesãos e Pequenos Produtores de Mateiros (ACAPPM). Em cada oficina foram reunidos os grupos de artesãs para refletir de maneira colaborativa sobre o processo de produção e valorização do artesanato em capim dourado, possibilitando um espaço de troca de saberes, onde os participantes colaboraram ativamente na construção dos critérios para a precificação das peças.</w:t>
      </w:r>
    </w:p>
    <w:p w14:paraId="6477FFFC" w14:textId="14AE0A62" w:rsidR="00B828C8" w:rsidRPr="00B828C8" w:rsidRDefault="00B828C8" w:rsidP="00B828C8">
      <w:pPr>
        <w:spacing w:line="360" w:lineRule="auto"/>
        <w:ind w:firstLine="708"/>
        <w:jc w:val="both"/>
      </w:pPr>
      <w:r w:rsidRPr="00B828C8">
        <w:t>Em uma segunda visita às mesmas comunidades quilombolas, durante os dias 11 e 12 de fevereiro de 2025, foram entregues e introduzida a implantação do Caderno da Artesã. Buscou-se recapitular oficinas anteriores e avaliar o engajamento das artesãs na prática da anotação, posteriormente foi realizada uma roda de conversa sobre o uso da caderneta para além da produção, como por exemplo, como instrumento de organização financeira, promovendo uma troca de ideias entre as participantes.</w:t>
      </w:r>
    </w:p>
    <w:p w14:paraId="4673F38B" w14:textId="77777777" w:rsidR="00B828C8" w:rsidRPr="00B828C8" w:rsidRDefault="00B828C8" w:rsidP="00B828C8">
      <w:pPr>
        <w:spacing w:line="360" w:lineRule="auto"/>
        <w:ind w:firstLine="708"/>
        <w:jc w:val="center"/>
        <w:rPr>
          <w:b/>
          <w:bCs/>
        </w:rPr>
      </w:pPr>
      <w:r w:rsidRPr="00B828C8">
        <w:rPr>
          <w:b/>
          <w:bCs/>
          <w:noProof/>
          <w:lang w:eastAsia="pt-BR"/>
        </w:rPr>
        <w:drawing>
          <wp:inline distT="0" distB="0" distL="0" distR="0" wp14:anchorId="11245975" wp14:editId="3A888DD5">
            <wp:extent cx="3758808" cy="21145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11_1247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8925" cy="2114616"/>
                    </a:xfrm>
                    <a:prstGeom prst="rect">
                      <a:avLst/>
                    </a:prstGeom>
                  </pic:spPr>
                </pic:pic>
              </a:graphicData>
            </a:graphic>
          </wp:inline>
        </w:drawing>
      </w:r>
    </w:p>
    <w:p w14:paraId="2D6723C1" w14:textId="73D1079F" w:rsidR="00B828C8" w:rsidRPr="00B828C8" w:rsidRDefault="00B828C8" w:rsidP="00B828C8">
      <w:pPr>
        <w:spacing w:line="360" w:lineRule="auto"/>
        <w:ind w:firstLine="708"/>
        <w:jc w:val="center"/>
        <w:rPr>
          <w:bCs/>
          <w:sz w:val="20"/>
          <w:szCs w:val="20"/>
        </w:rPr>
      </w:pPr>
      <w:r w:rsidRPr="00B828C8">
        <w:rPr>
          <w:bCs/>
          <w:sz w:val="20"/>
          <w:szCs w:val="20"/>
        </w:rPr>
        <w:t>Figura 1 – Oficina na Comunidade quilombola do Prata – Foto do autor</w:t>
      </w:r>
    </w:p>
    <w:p w14:paraId="68D36918" w14:textId="77777777" w:rsidR="00B828C8" w:rsidRPr="00B828C8" w:rsidRDefault="00B828C8" w:rsidP="00B828C8">
      <w:pPr>
        <w:spacing w:line="360" w:lineRule="auto"/>
        <w:ind w:firstLine="708"/>
        <w:jc w:val="both"/>
      </w:pPr>
      <w:r w:rsidRPr="00B828C8">
        <w:t xml:space="preserve">Inicialmente, cada artesã apresentou uma peça artesanal e os aspectos técnicos da produção, detalharam o tempo de produção para diferentes tipos </w:t>
      </w:r>
      <w:r w:rsidRPr="00B828C8">
        <w:lastRenderedPageBreak/>
        <w:t>de peças, evidenciando variações de acordo com o tamanho e complexidade, alguns relatos revelaram que determinadas peças podem demandar vários dias para confecção. A priori, a composição de preços assentou-se no cálculo mercadológico tradicional, levando em consideração o custo monetário e o tempo empregado na produção, entretanto, durante as oficinas, as artesãs levantaram aspectos relevantes à formação de preços que desviam do proposto pelo tradicional, apontando para o capital simbólico não reconhecido, possibilitando uma reflexão sobre os elementos não monetários intrínsecos à formação do preço do artesanato do capim dourado.</w:t>
      </w:r>
    </w:p>
    <w:p w14:paraId="1173B096" w14:textId="77777777" w:rsidR="00B828C8" w:rsidRPr="00B828C8" w:rsidRDefault="00B828C8" w:rsidP="00B828C8">
      <w:pPr>
        <w:spacing w:line="360" w:lineRule="auto"/>
        <w:ind w:firstLine="708"/>
        <w:jc w:val="both"/>
      </w:pPr>
      <w:r w:rsidRPr="00B828C8">
        <w:t xml:space="preserve">Ademais, as artesãs relataram que enfrentam dificuldades para obtenção da matéria-prima, seja pela distância das veredas, acesso limitado ou custos de transporte, sendo dificuldades logísticas reconhecidas como fatores que oneram o processo e, mesmo que invisíveis ao consumidor final, precisam ser incorporadas ao valor final. </w:t>
      </w:r>
    </w:p>
    <w:p w14:paraId="1F0A46A3" w14:textId="7551BA93" w:rsidR="00B828C8" w:rsidRPr="00B828C8" w:rsidRDefault="00B828C8" w:rsidP="00C93767">
      <w:pPr>
        <w:spacing w:line="360" w:lineRule="auto"/>
        <w:ind w:firstLine="708"/>
        <w:jc w:val="both"/>
      </w:pPr>
      <w:r w:rsidRPr="00B828C8">
        <w:t xml:space="preserve">Como fruto desse processo participativo, foi proposto a criação do “caderno da artesã”, idealizado como uma ferramenta para monitoramento e planejamento da produção artesanal. O formato foi sugerido pelas próprias artesãs, de modo a atender suas necessidades de registro. Assim, ficou estabelecido que a caderneta conteria espaços para registro do tempo, material utilizado, peso da peça, valor final e outros planejamentos. </w:t>
      </w:r>
    </w:p>
    <w:p w14:paraId="30499325" w14:textId="77777777" w:rsidR="00B828C8" w:rsidRPr="00B828C8" w:rsidRDefault="00B828C8" w:rsidP="00B828C8">
      <w:pPr>
        <w:spacing w:line="360" w:lineRule="auto"/>
        <w:ind w:firstLine="708"/>
        <w:jc w:val="both"/>
      </w:pPr>
      <w:r w:rsidRPr="00B828C8">
        <w:t>Desta forma, foi proposto o acompanhamento contínuo da utilização do Caderno da Artesã, por meio de visitas complementares, para avaliar a evolução das anotações, auxiliar as artesãs em dúvidas iniciais e obtenção de feedbacks como processo colaborativo para melhoria da ferramenta de anotação, avaliando e adaptando continuamente, garantindo que as artesãs tenham suas necessidades atendidas.</w:t>
      </w:r>
    </w:p>
    <w:p w14:paraId="119EB8CD" w14:textId="77777777" w:rsidR="00B828C8" w:rsidRPr="00B828C8" w:rsidRDefault="00B828C8" w:rsidP="00B828C8">
      <w:pPr>
        <w:spacing w:line="360" w:lineRule="auto"/>
        <w:ind w:firstLine="708"/>
        <w:jc w:val="both"/>
      </w:pPr>
      <w:r w:rsidRPr="00B828C8">
        <w:t xml:space="preserve">Adicionalmente às atividades de campo, foi realizada uma revisão da literatura para embasamento teórico a fim de compreender as abordagens </w:t>
      </w:r>
      <w:r w:rsidRPr="00B828C8">
        <w:lastRenderedPageBreak/>
        <w:t>acerca da precificação de bens simbólicos, com ênfase nos conceitos de capital simbólico, social e cultural, com visitas às múltiplas dimensões envolvidas na valoração do artesanato. Assim, a pesquisa combinou análise documental, oficinas coletivas, entrevistas semiestruturadas, formando uma metodologia que incorpora a escuta ativa e a compreensão das práticas.</w:t>
      </w:r>
    </w:p>
    <w:p w14:paraId="2BCF283A" w14:textId="77777777" w:rsidR="00B828C8" w:rsidRPr="00B828C8" w:rsidRDefault="00B828C8" w:rsidP="00B828C8">
      <w:pPr>
        <w:spacing w:line="360" w:lineRule="auto"/>
        <w:jc w:val="both"/>
        <w:rPr>
          <w:b/>
        </w:rPr>
      </w:pPr>
    </w:p>
    <w:p w14:paraId="454706EC" w14:textId="29AF81B6" w:rsidR="00B828C8" w:rsidRPr="00B828C8" w:rsidRDefault="00B828C8" w:rsidP="00B828C8">
      <w:pPr>
        <w:spacing w:line="360" w:lineRule="auto"/>
        <w:jc w:val="both"/>
        <w:rPr>
          <w:b/>
        </w:rPr>
      </w:pPr>
      <w:r w:rsidRPr="00B828C8">
        <w:rPr>
          <w:b/>
        </w:rPr>
        <w:t>CONSIDERAÇÕES FINAIS</w:t>
      </w:r>
    </w:p>
    <w:p w14:paraId="706D3C4E" w14:textId="4CD96DDF" w:rsidR="00B828C8" w:rsidRPr="00B828C8" w:rsidRDefault="00B828C8" w:rsidP="00B828C8">
      <w:pPr>
        <w:spacing w:line="360" w:lineRule="auto"/>
        <w:ind w:firstLine="708"/>
        <w:jc w:val="both"/>
      </w:pPr>
      <w:r w:rsidRPr="00B828C8">
        <w:t xml:space="preserve">As oficinas e entrevistas evidenciaram aspectos simbólicos presentes no processo de precificação do artesanato do capim dourado, correlacionados ao valor simbólico por Bourdieu explicitado em sua obra “As estruturas sociais da economia”. Nas entrevistas semiestruturadas é possível perceber que as artesãs, em sua maioria, possuem fonte alternativa de renda, assim como, sobretudo, a costura do capim dourado é herança da tradição mantida por sua riqueza cultural. Assim, as artesãs as realizam em intervalos entre as atividades domésticas da rotina, evidenciando que mesmo não sendo a principal fonte de renda o artesanato é preservado, mantendo as tradições </w:t>
      </w:r>
      <w:r>
        <w:t xml:space="preserve">em torno da </w:t>
      </w:r>
      <w:r w:rsidRPr="00B828C8">
        <w:t>prática.</w:t>
      </w:r>
      <w:r w:rsidRPr="00B828C8">
        <w:br/>
      </w:r>
      <w:r w:rsidRPr="00B828C8">
        <w:tab/>
        <w:t xml:space="preserve">Diante desse cenário, compreende-se que o processo de precificação não envolve apenas critérios contábeis ou mercadológicos tradicionais. A partir das contribuições de Pierre Bourdieu, torna-se evidente que o valor das peças artesanais incorpora dimensões simbólicas, culturais e históricas que, embora intangíveis, possuem peso determinante na percepção de valor. Assim, as informações coletadas ao longo desta pesquisa visam subsidiar a construção de um modelo participativo de precificação que envolva as próprias artesãs no reconhecimento e valorização de suas criações. Tal proposta pretende garantir que o preço final atribuído aos produtos abarque não apenas os custos de produção, mas também os elementos simbólicos e sociais que conferem </w:t>
      </w:r>
      <w:r w:rsidRPr="00B828C8">
        <w:lastRenderedPageBreak/>
        <w:t>legitimidade e autenticidade ao artesanato — conforme o conceito de capital simbólico desenvolvido por Bourdieu.</w:t>
      </w:r>
    </w:p>
    <w:p w14:paraId="4F81AF00" w14:textId="77777777" w:rsidR="00216EFF" w:rsidRPr="00B828C8" w:rsidRDefault="00216EFF" w:rsidP="00B828C8">
      <w:pPr>
        <w:spacing w:line="360" w:lineRule="auto"/>
        <w:jc w:val="both"/>
        <w:rPr>
          <w:rFonts w:eastAsia="Arial" w:cs="Arial"/>
        </w:rPr>
      </w:pPr>
    </w:p>
    <w:p w14:paraId="3D237921" w14:textId="77777777" w:rsidR="00216EFF" w:rsidRPr="00B828C8" w:rsidRDefault="00216EFF" w:rsidP="00B828C8">
      <w:pPr>
        <w:spacing w:line="360" w:lineRule="auto"/>
        <w:ind w:hanging="2"/>
        <w:jc w:val="both"/>
        <w:rPr>
          <w:rFonts w:eastAsia="Arial" w:cs="Arial"/>
          <w:b/>
          <w:color w:val="000000"/>
        </w:rPr>
      </w:pPr>
      <w:r w:rsidRPr="00B828C8">
        <w:rPr>
          <w:rFonts w:eastAsia="Arial" w:cs="Arial"/>
          <w:b/>
          <w:color w:val="000000"/>
          <w:highlight w:val="white"/>
        </w:rPr>
        <w:t>REFERÊNCIAS</w:t>
      </w:r>
    </w:p>
    <w:p w14:paraId="3D4C22D6" w14:textId="77777777" w:rsidR="00B828C8" w:rsidRPr="00B828C8" w:rsidRDefault="00B828C8" w:rsidP="00B828C8">
      <w:pPr>
        <w:spacing w:line="360" w:lineRule="auto"/>
        <w:jc w:val="both"/>
      </w:pPr>
      <w:r w:rsidRPr="00B828C8">
        <w:t>BOURDIEU, Pierre. As estruturas sociais da economia. 1. ed. Porto: Campo das Letras, 2006.</w:t>
      </w:r>
    </w:p>
    <w:p w14:paraId="2CE14309" w14:textId="77777777" w:rsidR="00B828C8" w:rsidRPr="00B828C8" w:rsidRDefault="00B828C8" w:rsidP="00B828C8">
      <w:pPr>
        <w:spacing w:line="360" w:lineRule="auto"/>
        <w:jc w:val="both"/>
      </w:pPr>
      <w:r w:rsidRPr="00B828C8">
        <w:t>BRAZ, D. R. O artesanato como vetor de desenvolvimento sustentável: contribuições e desafios. Revista Brasileira de Desenvolvimento Regional, v. 11, n. 1, 2023.</w:t>
      </w:r>
    </w:p>
    <w:p w14:paraId="58D57B32" w14:textId="77777777" w:rsidR="00B828C8" w:rsidRPr="00B828C8" w:rsidRDefault="00B828C8" w:rsidP="00B828C8">
      <w:pPr>
        <w:spacing w:line="360" w:lineRule="auto"/>
        <w:jc w:val="both"/>
      </w:pPr>
      <w:r w:rsidRPr="00B828C8">
        <w:t>CALDERÓN DÍAZ, M. A. Revisão da literatura sobre economia informal e trabalho feminino. Semestre Econômico, v. 21, n. 48, p. 51–71, 2018. DOI: 10.22395/</w:t>
      </w:r>
      <w:proofErr w:type="gramStart"/>
      <w:r w:rsidRPr="00B828C8">
        <w:t>seec.v</w:t>
      </w:r>
      <w:proofErr w:type="gramEnd"/>
      <w:r w:rsidRPr="00B828C8">
        <w:t>21n48a2.</w:t>
      </w:r>
    </w:p>
    <w:p w14:paraId="10E41F95" w14:textId="77777777" w:rsidR="00B828C8" w:rsidRPr="00B828C8" w:rsidRDefault="00B828C8" w:rsidP="00B828C8">
      <w:pPr>
        <w:spacing w:line="360" w:lineRule="auto"/>
        <w:jc w:val="both"/>
      </w:pPr>
      <w:r w:rsidRPr="00B828C8">
        <w:t>CAMPOS, R.; LIMA, L. O. Representações sociais e produção de identidade em comunidades tradicionais. Revista Brasileira de Ciências Sociais, v. 33, n. 98, 2018. DOI: 10.17666/339803/2018.</w:t>
      </w:r>
    </w:p>
    <w:p w14:paraId="1A9C589E" w14:textId="77777777" w:rsidR="00B828C8" w:rsidRPr="00B828C8" w:rsidRDefault="00B828C8" w:rsidP="00B828C8">
      <w:pPr>
        <w:spacing w:line="360" w:lineRule="auto"/>
        <w:jc w:val="both"/>
      </w:pPr>
      <w:r w:rsidRPr="00B828C8">
        <w:t>DIAS, F.; PEREIRA, A. Métodos de precificação no artesanato: limites e possibilidades para o fortalecimento da produção local. Revista de Administração Pública e Gestão Social, v. 14, n. 2, p. 232–248, 2022.</w:t>
      </w:r>
    </w:p>
    <w:p w14:paraId="7B0075CB" w14:textId="77777777" w:rsidR="00B828C8" w:rsidRPr="00B828C8" w:rsidRDefault="00B828C8" w:rsidP="00B828C8">
      <w:pPr>
        <w:spacing w:line="360" w:lineRule="auto"/>
        <w:jc w:val="both"/>
      </w:pPr>
      <w:r w:rsidRPr="00B828C8">
        <w:t>FAVARETO, A. As estruturas sociais e a economia: há uma convergência entre abordagens sociológicas e econômicas recentes? In: XXIX ENCONTRO ANUAL DA ANPOCS. Caxambu-MG, 2005. Anais...</w:t>
      </w:r>
    </w:p>
    <w:p w14:paraId="5BB3E920" w14:textId="77777777" w:rsidR="00B828C8" w:rsidRPr="00B828C8" w:rsidRDefault="00B828C8" w:rsidP="00B828C8">
      <w:pPr>
        <w:spacing w:line="360" w:lineRule="auto"/>
        <w:jc w:val="both"/>
      </w:pPr>
      <w:r w:rsidRPr="00B828C8">
        <w:t>GARCIA-PARPET, M.-F. A sociologia da economia de Pierre Bourdieu. Sociologia &amp; Antropologia, v. 3, n. 5, p. 91–117, 2013. DOI: 10.1590/2238-38752013v315.</w:t>
      </w:r>
    </w:p>
    <w:p w14:paraId="20035E8C" w14:textId="77777777" w:rsidR="00B828C8" w:rsidRPr="00B828C8" w:rsidRDefault="00B828C8" w:rsidP="00B828C8">
      <w:pPr>
        <w:spacing w:line="360" w:lineRule="auto"/>
        <w:jc w:val="both"/>
      </w:pPr>
      <w:r w:rsidRPr="00B828C8">
        <w:t>GONÇALVES, L. A. S.; ALMEIDA, B. A.; SOUZA, C. Panorama das indicações geográficas no Brasil. Revista de Desenvolvimento Econômico, v. 21, n. 45, p. 122–140, 2019.</w:t>
      </w:r>
    </w:p>
    <w:p w14:paraId="3C4EE63E" w14:textId="77777777" w:rsidR="00B828C8" w:rsidRPr="00B828C8" w:rsidRDefault="00B828C8" w:rsidP="00B828C8">
      <w:pPr>
        <w:spacing w:line="360" w:lineRule="auto"/>
        <w:jc w:val="both"/>
      </w:pPr>
      <w:r w:rsidRPr="00B828C8">
        <w:t>MACHADO, F. Economia criativa e mediação cultural no Brasil: limites e desafios. Revista de Políticas Públicas, v. 27, n. 1, p. 33–54, 2023.</w:t>
      </w:r>
    </w:p>
    <w:p w14:paraId="39E3BA01" w14:textId="77777777" w:rsidR="00B828C8" w:rsidRPr="00B828C8" w:rsidRDefault="00B828C8" w:rsidP="00B828C8">
      <w:pPr>
        <w:spacing w:line="360" w:lineRule="auto"/>
        <w:jc w:val="both"/>
      </w:pPr>
      <w:r w:rsidRPr="00B828C8">
        <w:lastRenderedPageBreak/>
        <w:t>MELO, J. A. de. Mercado como construção social e campo: reflexões sobre a economia. In: XVIII ENANPUR – Encontro Nacional da ANPUR. Anais..., 2019.</w:t>
      </w:r>
    </w:p>
    <w:p w14:paraId="70639E43" w14:textId="77777777" w:rsidR="00B828C8" w:rsidRPr="00B828C8" w:rsidRDefault="00B828C8" w:rsidP="00B828C8">
      <w:pPr>
        <w:spacing w:line="360" w:lineRule="auto"/>
        <w:jc w:val="both"/>
      </w:pPr>
      <w:r w:rsidRPr="00B828C8">
        <w:t xml:space="preserve">MENDONÇA, C. Artesanato e turismo: entre valorização cultural e </w:t>
      </w:r>
      <w:proofErr w:type="spellStart"/>
      <w:r w:rsidRPr="00B828C8">
        <w:t>turistificação</w:t>
      </w:r>
      <w:proofErr w:type="spellEnd"/>
      <w:r w:rsidRPr="00B828C8">
        <w:t>. Revista Turismo em Análise, v. 28, n. 1, p. 78–95, 2017.</w:t>
      </w:r>
    </w:p>
    <w:p w14:paraId="38BB71BE" w14:textId="77777777" w:rsidR="00B828C8" w:rsidRPr="00B828C8" w:rsidRDefault="00B828C8" w:rsidP="00B828C8">
      <w:pPr>
        <w:spacing w:line="360" w:lineRule="auto"/>
        <w:jc w:val="both"/>
      </w:pPr>
      <w:r w:rsidRPr="00B828C8">
        <w:t>MILAGRES, C. S. F. O sistema socioecológico do Jalapão e os dilemas para o desenvolvimento regional. 2020. Tese (Doutorado) – Universidade Federal do Tocantins, Palmas, 2020.</w:t>
      </w:r>
    </w:p>
    <w:p w14:paraId="0A07542D" w14:textId="77777777" w:rsidR="00B828C8" w:rsidRPr="00B828C8" w:rsidRDefault="00B828C8" w:rsidP="00B828C8">
      <w:pPr>
        <w:spacing w:line="360" w:lineRule="auto"/>
        <w:jc w:val="both"/>
      </w:pPr>
      <w:r w:rsidRPr="00B828C8">
        <w:t xml:space="preserve">NATURATINS. Plano de Manejo Sustentável do Capim Dourado no Estado do Tocantins. Palmas: </w:t>
      </w:r>
      <w:proofErr w:type="spellStart"/>
      <w:r w:rsidRPr="00B828C8">
        <w:t>Naturatins</w:t>
      </w:r>
      <w:proofErr w:type="spellEnd"/>
      <w:r w:rsidRPr="00B828C8">
        <w:t>, 2023. Disponível em: http://naturatins.to.gov.br. Acesso em: 15 jul. 2024.</w:t>
      </w:r>
    </w:p>
    <w:p w14:paraId="56350721" w14:textId="77777777" w:rsidR="00B828C8" w:rsidRPr="00B828C8" w:rsidRDefault="00B828C8" w:rsidP="00B828C8">
      <w:pPr>
        <w:spacing w:line="360" w:lineRule="auto"/>
        <w:jc w:val="both"/>
      </w:pPr>
      <w:r w:rsidRPr="00B828C8">
        <w:t>REIS, A. C. F. Economia criativa como estratégia de desenvolvimento. São Paulo: Garimpo de Soluções, 2011.</w:t>
      </w:r>
    </w:p>
    <w:p w14:paraId="4B5F7373" w14:textId="77777777" w:rsidR="00B828C8" w:rsidRPr="00B828C8" w:rsidRDefault="00B828C8" w:rsidP="00B828C8">
      <w:pPr>
        <w:spacing w:line="360" w:lineRule="auto"/>
        <w:jc w:val="both"/>
      </w:pPr>
      <w:r w:rsidRPr="00B828C8">
        <w:t xml:space="preserve">RODRIGUES, W.; FREDRYCH, T. V. O dilema das comunidades tradicionais em unidades de conservação: o caso da comunidade </w:t>
      </w:r>
      <w:proofErr w:type="spellStart"/>
      <w:r w:rsidRPr="00B828C8">
        <w:t>Mumbuca</w:t>
      </w:r>
      <w:proofErr w:type="spellEnd"/>
      <w:r w:rsidRPr="00B828C8">
        <w:t xml:space="preserve"> no Parque Estadual do Jalapão. Boletim Goiano de Geografia, v. 33, n. 3, p. 469–486, 2013.</w:t>
      </w:r>
    </w:p>
    <w:p w14:paraId="27DCE349" w14:textId="77777777" w:rsidR="00B828C8" w:rsidRPr="00B828C8" w:rsidRDefault="00B828C8" w:rsidP="00B828C8">
      <w:pPr>
        <w:spacing w:line="360" w:lineRule="auto"/>
        <w:jc w:val="both"/>
      </w:pPr>
      <w:r w:rsidRPr="00B828C8">
        <w:t>SANO, E. E. et al. Estimativa da produção do capim dourado (</w:t>
      </w:r>
      <w:proofErr w:type="spellStart"/>
      <w:r w:rsidRPr="00B828C8">
        <w:t>Syngonanthus</w:t>
      </w:r>
      <w:proofErr w:type="spellEnd"/>
      <w:r w:rsidRPr="00B828C8">
        <w:t xml:space="preserve"> </w:t>
      </w:r>
      <w:proofErr w:type="spellStart"/>
      <w:r w:rsidRPr="00B828C8">
        <w:t>nitens</w:t>
      </w:r>
      <w:proofErr w:type="spellEnd"/>
      <w:r w:rsidRPr="00B828C8">
        <w:t>) para subsidiar o seu extrativismo socioeconômico sustentável no Parque Estadual do Jalapão, TO. Sociedade &amp; Natureza, v. 30, n. 3, p. 329–340, 2018. DOI: 10.14393/SN-v30n3-2018-12.</w:t>
      </w:r>
    </w:p>
    <w:p w14:paraId="60083F8F" w14:textId="77777777" w:rsidR="00B828C8" w:rsidRPr="00B828C8" w:rsidRDefault="00B828C8" w:rsidP="00B828C8">
      <w:pPr>
        <w:spacing w:line="360" w:lineRule="auto"/>
        <w:jc w:val="both"/>
      </w:pPr>
      <w:r w:rsidRPr="00B828C8">
        <w:t>SEBRAE-TO. Diagnóstico da cadeia produtiva do artesanato em capim dourado no Jalapão. Palmas: SEBRAE/TO, 2023. Disponível em: https://www.to.sebrae.com.br. Acesso em: 15 jul. 2024.</w:t>
      </w:r>
    </w:p>
    <w:p w14:paraId="377B3B33" w14:textId="77777777" w:rsidR="00B828C8" w:rsidRPr="00B828C8" w:rsidRDefault="00B828C8" w:rsidP="00B828C8">
      <w:pPr>
        <w:spacing w:line="360" w:lineRule="auto"/>
        <w:jc w:val="both"/>
      </w:pPr>
      <w:r w:rsidRPr="00B828C8">
        <w:t>VARGAS, V. Artesanato, cultura e identidade: desafios para o desenvolvimento sustentável. Revista Brasileira de Gestão e Desenvolvimento Regional, v. 12, n. 3, p. 226–248, 2016.</w:t>
      </w:r>
    </w:p>
    <w:p w14:paraId="7A12CA73" w14:textId="6C74D881" w:rsidR="0053021A" w:rsidRPr="00B828C8" w:rsidRDefault="0053021A" w:rsidP="00B828C8">
      <w:pPr>
        <w:spacing w:line="360" w:lineRule="auto"/>
        <w:jc w:val="both"/>
      </w:pPr>
    </w:p>
    <w:sectPr w:rsidR="0053021A" w:rsidRPr="00B828C8"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84EF0" w14:textId="77777777" w:rsidR="00B566EF" w:rsidRDefault="00B566EF" w:rsidP="0027518C">
      <w:r>
        <w:separator/>
      </w:r>
    </w:p>
  </w:endnote>
  <w:endnote w:type="continuationSeparator" w:id="0">
    <w:p w14:paraId="2F7BE2C4" w14:textId="77777777" w:rsidR="00B566EF" w:rsidRDefault="00B566EF"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AA973" w14:textId="77777777" w:rsidR="00B566EF" w:rsidRDefault="00B566EF" w:rsidP="0027518C">
      <w:r>
        <w:separator/>
      </w:r>
    </w:p>
  </w:footnote>
  <w:footnote w:type="continuationSeparator" w:id="0">
    <w:p w14:paraId="48C7399F" w14:textId="77777777" w:rsidR="00B566EF" w:rsidRDefault="00B566EF" w:rsidP="0027518C">
      <w:r>
        <w:continuationSeparator/>
      </w:r>
    </w:p>
  </w:footnote>
  <w:footnote w:id="1">
    <w:p w14:paraId="38887936" w14:textId="25DA8ECA" w:rsidR="00C93767" w:rsidRPr="0018293E" w:rsidRDefault="00C93767" w:rsidP="00C93767">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eastAsia="Arial" w:hAnsi="Avenir Book" w:cs="Arial"/>
        </w:rPr>
        <w:t>Universidade Federal do Tocantins</w:t>
      </w:r>
      <w:r w:rsidRPr="0018293E">
        <w:rPr>
          <w:rFonts w:ascii="Avenir Book" w:eastAsia="Arial" w:hAnsi="Avenir Book" w:cs="Arial"/>
        </w:rPr>
        <w:t xml:space="preserve">, </w:t>
      </w:r>
      <w:hyperlink r:id="rId1" w:history="1">
        <w:r w:rsidRPr="00AF3E14">
          <w:rPr>
            <w:rStyle w:val="Hyperlink"/>
            <w:rFonts w:ascii="Avenir Book" w:eastAsia="Arial" w:hAnsi="Avenir Book" w:cs="Arial"/>
          </w:rPr>
          <w:t>gisele.paiva@uft.edu.br</w:t>
        </w:r>
      </w:hyperlink>
    </w:p>
  </w:footnote>
  <w:footnote w:id="2">
    <w:p w14:paraId="669ED991" w14:textId="35BAAD6C" w:rsidR="00C93767" w:rsidRPr="0018293E" w:rsidRDefault="00C93767" w:rsidP="00C93767">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eastAsia="Arial" w:hAnsi="Avenir Book" w:cs="Arial"/>
        </w:rPr>
        <w:t>Universidade Federal do Tocantins</w:t>
      </w:r>
      <w:r w:rsidRPr="0018293E">
        <w:rPr>
          <w:rFonts w:ascii="Avenir Book" w:eastAsia="Arial" w:hAnsi="Avenir Book" w:cs="Arial"/>
        </w:rPr>
        <w:t>,</w:t>
      </w:r>
      <w:r w:rsidR="007E44FD" w:rsidRPr="007E44FD">
        <w:rPr>
          <w:rFonts w:ascii="Avenir Book" w:eastAsia="Arial" w:hAnsi="Avenir Book" w:cs="Arial"/>
          <w:lang w:val="pt-BR"/>
        </w:rPr>
        <w:t xml:space="preserve"> </w:t>
      </w:r>
      <w:hyperlink r:id="rId2" w:history="1">
        <w:r w:rsidR="007E44FD" w:rsidRPr="00AF3E14">
          <w:rPr>
            <w:rStyle w:val="Hyperlink"/>
            <w:rFonts w:ascii="Avenir Book" w:eastAsia="Arial" w:hAnsi="Avenir Book" w:cs="Arial"/>
            <w:lang w:val="pt-BR"/>
          </w:rPr>
          <w:t>thallyta.marques@mail.uft.edu.br</w:t>
        </w:r>
      </w:hyperlink>
      <w:r w:rsidR="007E44FD">
        <w:rPr>
          <w:rFonts w:ascii="Avenir Book" w:eastAsia="Arial" w:hAnsi="Avenir Book" w:cs="Arial"/>
          <w:lang w:val="pt-BR"/>
        </w:rPr>
        <w:t>,</w:t>
      </w:r>
      <w:r w:rsidRPr="0018293E">
        <w:rPr>
          <w:rFonts w:ascii="Avenir Book" w:eastAsia="Arial" w:hAnsi="Avenir Book" w:cs="Arial"/>
        </w:rPr>
        <w:t xml:space="preserve"> </w:t>
      </w:r>
      <w:hyperlink r:id="rId3" w:history="1">
        <w:r w:rsidRPr="00AF3E14">
          <w:rPr>
            <w:rStyle w:val="Hyperlink"/>
            <w:rFonts w:ascii="Avenir Book" w:eastAsia="Arial" w:hAnsi="Avenir Book" w:cs="Arial"/>
            <w:lang w:val="pt-BR"/>
          </w:rPr>
          <w:t>luan.philipe@mail.uft.edu.br</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7405A"/>
    <w:rsid w:val="000E5376"/>
    <w:rsid w:val="0020154B"/>
    <w:rsid w:val="00216EFF"/>
    <w:rsid w:val="0027518C"/>
    <w:rsid w:val="00295FBE"/>
    <w:rsid w:val="002B2423"/>
    <w:rsid w:val="0032757F"/>
    <w:rsid w:val="00340F2F"/>
    <w:rsid w:val="004906DE"/>
    <w:rsid w:val="00507B98"/>
    <w:rsid w:val="0053021A"/>
    <w:rsid w:val="00634370"/>
    <w:rsid w:val="00680A10"/>
    <w:rsid w:val="00692EEB"/>
    <w:rsid w:val="00733AFB"/>
    <w:rsid w:val="00757F24"/>
    <w:rsid w:val="007E44FD"/>
    <w:rsid w:val="008E7A76"/>
    <w:rsid w:val="00B566EF"/>
    <w:rsid w:val="00B61734"/>
    <w:rsid w:val="00B828C8"/>
    <w:rsid w:val="00C93767"/>
    <w:rsid w:val="00D31A9F"/>
    <w:rsid w:val="00D4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42EBCB"/>
  <w15:docId w15:val="{EE0441FF-4999-4307-A4AF-D80C278A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styleId="Textodebalo">
    <w:name w:val="Balloon Text"/>
    <w:basedOn w:val="Normal"/>
    <w:link w:val="TextodebaloChar"/>
    <w:uiPriority w:val="99"/>
    <w:semiHidden/>
    <w:unhideWhenUsed/>
    <w:rsid w:val="00B828C8"/>
    <w:rPr>
      <w:rFonts w:ascii="Tahoma" w:hAnsi="Tahoma" w:cs="Tahoma"/>
      <w:sz w:val="16"/>
      <w:szCs w:val="16"/>
    </w:rPr>
  </w:style>
  <w:style w:type="character" w:customStyle="1" w:styleId="TextodebaloChar">
    <w:name w:val="Texto de balão Char"/>
    <w:basedOn w:val="Fontepargpadro"/>
    <w:link w:val="Textodebalo"/>
    <w:uiPriority w:val="99"/>
    <w:semiHidden/>
    <w:rsid w:val="00B828C8"/>
    <w:rPr>
      <w:rFonts w:ascii="Tahoma" w:hAnsi="Tahoma" w:cs="Tahoma"/>
      <w:sz w:val="16"/>
      <w:szCs w:val="16"/>
    </w:rPr>
  </w:style>
  <w:style w:type="character" w:styleId="Hyperlink">
    <w:name w:val="Hyperlink"/>
    <w:basedOn w:val="Fontepargpadro"/>
    <w:uiPriority w:val="99"/>
    <w:unhideWhenUsed/>
    <w:rsid w:val="00C93767"/>
    <w:rPr>
      <w:color w:val="467886" w:themeColor="hyperlink"/>
      <w:u w:val="single"/>
    </w:rPr>
  </w:style>
  <w:style w:type="character" w:styleId="MenoPendente">
    <w:name w:val="Unresolved Mention"/>
    <w:basedOn w:val="Fontepargpadro"/>
    <w:uiPriority w:val="99"/>
    <w:semiHidden/>
    <w:unhideWhenUsed/>
    <w:rsid w:val="00C93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luan.philipe@mail.uft.edu.br" TargetMode="External"/><Relationship Id="rId2" Type="http://schemas.openxmlformats.org/officeDocument/2006/relationships/hyperlink" Target="mailto:thallyta.marques@mail.uft.edu.br" TargetMode="External"/><Relationship Id="rId1" Type="http://schemas.openxmlformats.org/officeDocument/2006/relationships/hyperlink" Target="mailto:gisele.paiva@uft.edu.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07386-EF1C-4178-9263-61CE087B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3908</Words>
  <Characters>21109</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gisele paiva</cp:lastModifiedBy>
  <cp:revision>2</cp:revision>
  <dcterms:created xsi:type="dcterms:W3CDTF">2025-05-12T12:21:00Z</dcterms:created>
  <dcterms:modified xsi:type="dcterms:W3CDTF">2025-05-12T12:21:00Z</dcterms:modified>
</cp:coreProperties>
</file>