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D3D0B" w14:textId="26767154" w:rsidR="00720B36" w:rsidRDefault="00A14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LEITURA DE MUNDO: EDUCAÇÃO POPULAR E O ENFRE</w:t>
      </w:r>
      <w:r w:rsidR="00FC30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TAMENTO DAS DESIGUALDADES EDUCACIONAIS NO ACESSO AO ENSINO SUPERIOR</w:t>
      </w:r>
    </w:p>
    <w:p w14:paraId="1FBBCC34" w14:textId="77777777" w:rsidR="00720B36" w:rsidRDefault="00720B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295AE74" w14:textId="0B146FA1" w:rsidR="00720B36" w:rsidRDefault="009168A3" w:rsidP="009168A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Gabriela Santos Leite¹</w:t>
      </w:r>
    </w:p>
    <w:p w14:paraId="43523729" w14:textId="609A4CA0" w:rsidR="00720B36" w:rsidRDefault="009168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¹</w:t>
      </w:r>
    </w:p>
    <w:p w14:paraId="441B0161" w14:textId="1A7A8360" w:rsidR="00720B36" w:rsidRDefault="009168A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gabrielaleite.geografia@gmail.com</w:t>
      </w:r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¹</w:t>
      </w:r>
    </w:p>
    <w:p w14:paraId="5B10BCC7" w14:textId="11951377" w:rsidR="00720B36" w:rsidRDefault="00262464" w:rsidP="005B55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Natielly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Vitória Sales Durães</w:t>
      </w:r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br/>
      </w:r>
      <w:proofErr w:type="spellStart"/>
      <w:r w:rsidR="005B55E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 w:rsidR="005B55E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5B55E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 w:rsidR="005B55E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 - </w:t>
      </w:r>
      <w:proofErr w:type="spellStart"/>
      <w:r w:rsidR="005B55E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²</w:t>
      </w:r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br/>
      </w:r>
      <w:r w:rsidR="005B55EF" w:rsidRP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natiellyduraes@gmail.com</w:t>
      </w:r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²</w:t>
      </w:r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br/>
        <w:t>Breno César Pereira Oliveira³</w:t>
      </w:r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br/>
      </w:r>
      <w:hyperlink r:id="rId6" w:history="1">
        <w:r w:rsidR="005B55EF" w:rsidRPr="005B55EF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>brenocesarpereira228@gmail.com</w:t>
        </w:r>
      </w:hyperlink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³</w:t>
      </w:r>
      <w:r w:rsidR="005B55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br/>
      </w:r>
      <w:proofErr w:type="spellStart"/>
      <w:r w:rsidR="005B55E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 w:rsidR="005B55E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5B55E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 w:rsidR="005B55E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 – Unimontes³</w:t>
      </w:r>
    </w:p>
    <w:p w14:paraId="3E026F77" w14:textId="77777777" w:rsidR="005B55EF" w:rsidRDefault="005B55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EED311" w14:textId="0C0A6527" w:rsidR="00720B36" w:rsidRPr="00215FB1" w:rsidRDefault="000A3313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 w:rsidRPr="00215FB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215FB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5B55EF" w:rsidRPr="00215FB1">
        <w:rPr>
          <w:rFonts w:ascii="Times New Roman" w:hAnsi="Times New Roman" w:cs="Times New Roman"/>
          <w:sz w:val="24"/>
          <w:szCs w:val="24"/>
        </w:rPr>
        <w:t xml:space="preserve"> 9- Processos Educativos dos Povos e Comunidades Tradicionais e Movimentos Sociais</w:t>
      </w:r>
    </w:p>
    <w:p w14:paraId="7F2426C9" w14:textId="7FB53E4B" w:rsidR="00720B36" w:rsidRPr="00215FB1" w:rsidRDefault="000A33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15F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A14E68" w:rsidRPr="00215F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14E68" w:rsidRPr="00215FB1">
        <w:rPr>
          <w:rFonts w:ascii="Times New Roman" w:hAnsi="Times New Roman" w:cs="Times New Roman"/>
          <w:sz w:val="24"/>
          <w:szCs w:val="24"/>
        </w:rPr>
        <w:t>Desigualdades Educacionais. Educação Popular. Ensino de Geografia.</w:t>
      </w:r>
    </w:p>
    <w:p w14:paraId="28F0F7A3" w14:textId="77777777" w:rsidR="00720B36" w:rsidRDefault="00720B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59038E" w14:textId="77777777" w:rsidR="00720B36" w:rsidRPr="00262464" w:rsidRDefault="000A3313" w:rsidP="002624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464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352DC5AE" w14:textId="77777777" w:rsidR="00720B36" w:rsidRPr="00262464" w:rsidRDefault="00720B36" w:rsidP="002624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0579EE" w14:textId="7674823F" w:rsidR="00720B36" w:rsidRPr="00262464" w:rsidRDefault="000A3313" w:rsidP="002624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246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Contextualização e justificativa </w:t>
      </w:r>
    </w:p>
    <w:p w14:paraId="06F30AF3" w14:textId="21D4D582" w:rsidR="00A14E68" w:rsidRPr="00215FB1" w:rsidRDefault="00C05A65" w:rsidP="00215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15FB1">
        <w:rPr>
          <w:rFonts w:ascii="Times New Roman" w:hAnsi="Times New Roman" w:cs="Times New Roman"/>
          <w:sz w:val="24"/>
          <w:szCs w:val="24"/>
        </w:rPr>
        <w:t>A preparação para o ingresso no ensino superior evidencia desigualdades educacionais estruturais no Brasil, especialmente entre estudantes da escola pública e de baixa renda, que enfrentam limitações no acesso a recursos pedagógicos e condições adequadas de estudo. Nesse contexto, o desempenho em exames seletivos relaciona-se diretamente às condições socioeconômicas dos sujeitos. Assim, iniciativas de caráter social, como o Projeto Leitura de Mundo, assumem relevância ao promover preparação gratuita e contribuir para a ampliação do acesso ao ensino superior, ainda que de forma parcial.</w:t>
      </w:r>
    </w:p>
    <w:p w14:paraId="029847DE" w14:textId="543A3D6B" w:rsidR="00C05A65" w:rsidRPr="00215FB1" w:rsidRDefault="000A3313" w:rsidP="00215FB1">
      <w:pPr>
        <w:pStyle w:val="NormalWeb"/>
        <w:jc w:val="both"/>
      </w:pPr>
      <w:r w:rsidRPr="00215FB1">
        <w:rPr>
          <w:b/>
        </w:rPr>
        <w:t>Problema norteador e objetivos</w:t>
      </w:r>
      <w:r w:rsidR="005B55EF" w:rsidRPr="00215FB1">
        <w:rPr>
          <w:b/>
        </w:rPr>
        <w:br/>
      </w:r>
      <w:r w:rsidR="00C05A65" w:rsidRPr="00215FB1">
        <w:t xml:space="preserve">Diante desse cenário, estabelece-se como problema norteador compreender de que maneira ações educativas dessa natureza podem contribuir para a redução das desigualdades no processo de preparação para o ensino superior. O objetivo geral consiste em analisar a experiência desenvolvida no projeto, evidenciando suas contribuições para estudantes em situação de vulnerabilidade social. </w:t>
      </w:r>
    </w:p>
    <w:p w14:paraId="5785C5C2" w14:textId="320C80AE" w:rsidR="00C05A65" w:rsidRPr="00215FB1" w:rsidRDefault="000A3313" w:rsidP="00215FB1">
      <w:pPr>
        <w:pStyle w:val="NormalWeb"/>
        <w:jc w:val="both"/>
      </w:pPr>
      <w:r w:rsidRPr="00215FB1">
        <w:rPr>
          <w:b/>
        </w:rPr>
        <w:t xml:space="preserve">Procedimentos </w:t>
      </w:r>
      <w:r w:rsidR="00FC30D2">
        <w:rPr>
          <w:b/>
        </w:rPr>
        <w:br/>
      </w:r>
      <w:r w:rsidR="00215FB1" w:rsidRPr="00215FB1">
        <w:t xml:space="preserve">A ação pedagógica ocorreu entre 30 de outubro e 1º de novembro de 2025, nos municípios de Boa Esperança, Cristais e Coqueiral (MG), envolvendo estudantes da rede pública. A metodologia baseou-se em aulas expositivas com revisão de conteúdos recorrentes em vestibulares e no ENEM, como cartografia, climatologia e geografia urbana. Foram utilizados slides com conceitos, mapas, imagens e resolução comentada de questões, visando não apenas à revisão de </w:t>
      </w:r>
      <w:proofErr w:type="spellStart"/>
      <w:r w:rsidR="00215FB1" w:rsidRPr="00215FB1">
        <w:t>conteúdos</w:t>
      </w:r>
      <w:proofErr w:type="spellEnd"/>
      <w:r w:rsidR="00215FB1" w:rsidRPr="00215FB1">
        <w:t>, mas também à familiarização com a lógica avaliativa.</w:t>
      </w:r>
    </w:p>
    <w:p w14:paraId="705908E8" w14:textId="24B15A05" w:rsidR="00720B36" w:rsidRPr="00215FB1" w:rsidRDefault="000A3313" w:rsidP="00215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15FB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Fundamentação teórica </w:t>
      </w:r>
    </w:p>
    <w:p w14:paraId="43C7BE25" w14:textId="4B928347" w:rsidR="00215FB1" w:rsidRDefault="00215FB1" w:rsidP="00215FB1">
      <w:pPr>
        <w:pStyle w:val="NormalWeb"/>
        <w:jc w:val="both"/>
      </w:pPr>
      <w:r>
        <w:lastRenderedPageBreak/>
        <w:t xml:space="preserve">A compreensão das desigualdades educacionais pode ser aprofundada a partir de </w:t>
      </w:r>
      <w:proofErr w:type="spellStart"/>
      <w:r>
        <w:t>Boneti</w:t>
      </w:r>
      <w:proofErr w:type="spellEnd"/>
      <w:r>
        <w:t xml:space="preserve"> (2013), que evidencia a construção histórica de padrões de “normalidade” social, nos quais o estilo de vida burguês se consolida como referência dominante, especialmente após a Revolução Industrial, articulando conhecimento científico e cultura como mecanismos de distinção social. Nesse contexto</w:t>
      </w:r>
      <w:r w:rsidR="00FC30D2">
        <w:t>, o projeto</w:t>
      </w:r>
      <w:r>
        <w:t xml:space="preserve"> </w:t>
      </w:r>
      <w:proofErr w:type="spellStart"/>
      <w:r>
        <w:t>contribue</w:t>
      </w:r>
      <w:proofErr w:type="spellEnd"/>
      <w:r>
        <w:t xml:space="preserve"> para ampliar o acesso a esses capitais, tensionando desigualdades historicamente produzidas. A discussão é ampliada por Vilela et al. (2012), ao compreenderem a juventude como um período de </w:t>
      </w:r>
      <w:proofErr w:type="spellStart"/>
      <w:r>
        <w:t>transitoriedade</w:t>
      </w:r>
      <w:r w:rsidR="00FC30D2">
        <w:t>marcado</w:t>
      </w:r>
      <w:proofErr w:type="spellEnd"/>
      <w:r>
        <w:t xml:space="preserve"> por decisões centrais relacionadas à formação e inserção no trabalho, no qual os processos seletivos para o ensino superior podem tanto ampliar quanto restringir oportunidades, conforme as condições de acesso à preparação educacional. Por fim, </w:t>
      </w:r>
      <w:proofErr w:type="spellStart"/>
      <w:r>
        <w:t>Travitzki</w:t>
      </w:r>
      <w:proofErr w:type="spellEnd"/>
      <w:r>
        <w:t xml:space="preserve"> (2016) destaca que o avanço educacional no Brasil depende da articulação entre políticas educativas e políticas sociais e redistributivas, sendo essas fundamentais para a promoção da equidade. Assim,</w:t>
      </w:r>
      <w:r w:rsidR="005154F6">
        <w:t xml:space="preserve"> </w:t>
      </w:r>
      <w:r>
        <w:t xml:space="preserve">iniciativas como </w:t>
      </w:r>
      <w:r w:rsidR="00FC30D2">
        <w:t>essa,</w:t>
      </w:r>
      <w:r>
        <w:t xml:space="preserve"> embora relevantes, são insuficientes</w:t>
      </w:r>
      <w:r w:rsidR="005154F6">
        <w:t>,</w:t>
      </w:r>
      <w:r>
        <w:t xml:space="preserve"> de forma isolada, reforçando a necessidade de políticas públicas estruturantes no enfrentamento das desigualdades educacionais.</w:t>
      </w:r>
    </w:p>
    <w:p w14:paraId="3A29C06B" w14:textId="0560DD4B" w:rsidR="00215FB1" w:rsidRPr="00215FB1" w:rsidRDefault="000A3313" w:rsidP="00215FB1">
      <w:pPr>
        <w:pStyle w:val="NormalWeb"/>
        <w:jc w:val="both"/>
      </w:pPr>
      <w:r w:rsidRPr="00215FB1">
        <w:rPr>
          <w:b/>
        </w:rPr>
        <w:t xml:space="preserve">Resultados </w:t>
      </w:r>
      <w:r w:rsidR="00262464" w:rsidRPr="00215FB1">
        <w:rPr>
          <w:b/>
        </w:rPr>
        <w:br/>
      </w:r>
      <w:r w:rsidR="00215FB1" w:rsidRPr="00215FB1">
        <w:t>Os resultados evidenciam elevado engajamento</w:t>
      </w:r>
      <w:r w:rsidR="00FC30D2">
        <w:t xml:space="preserve"> dos</w:t>
      </w:r>
      <w:r w:rsidR="00215FB1" w:rsidRPr="00215FB1">
        <w:t xml:space="preserve"> estudantes, indicando a pertinência da proposta. Destaca-se a eficácia da resolução orientada de questões na familiarização com exames. Entretanto, o tempo reduzido da intervenção revelou limitações frente às demandas formativas, evidenciando a complexidade das desigualdades educacionais. Ainda assim, o projeto contribuiu para ampliar as condições de preparação dos estudantes, refletindo-se inclusive em relatos de aprovação.</w:t>
      </w:r>
    </w:p>
    <w:p w14:paraId="54294F42" w14:textId="32EF87F2" w:rsidR="00215FB1" w:rsidRPr="00215FB1" w:rsidRDefault="000A3313" w:rsidP="00215FB1">
      <w:pPr>
        <w:pStyle w:val="NormalWeb"/>
        <w:jc w:val="both"/>
      </w:pPr>
      <w:r w:rsidRPr="00215FB1">
        <w:rPr>
          <w:b/>
        </w:rPr>
        <w:t xml:space="preserve">Relevância social </w:t>
      </w:r>
      <w:r w:rsidR="00FC30D2">
        <w:rPr>
          <w:b/>
        </w:rPr>
        <w:t xml:space="preserve">e </w:t>
      </w:r>
      <w:r w:rsidRPr="00215FB1">
        <w:rPr>
          <w:b/>
        </w:rPr>
        <w:t xml:space="preserve">relações com o eixo temático </w:t>
      </w:r>
      <w:r w:rsidR="00262464" w:rsidRPr="00215FB1">
        <w:rPr>
          <w:b/>
        </w:rPr>
        <w:br/>
      </w:r>
      <w:r w:rsidR="00215FB1" w:rsidRPr="00215FB1">
        <w:t xml:space="preserve">A experiência apresenta relevante impacto social ao democratizar o acesso ao conhecimento, fortalecer a autonomia e ampliar perspectivas de futuro dos jovens. Alinha-se ao eixo </w:t>
      </w:r>
      <w:r w:rsidR="00FC30D2">
        <w:t>supracitado</w:t>
      </w:r>
      <w:r w:rsidR="00215FB1" w:rsidRPr="00215FB1">
        <w:t xml:space="preserve"> ao promover inclusão, equidade e formação crítica, dialogando com demandas sociais</w:t>
      </w:r>
      <w:r w:rsidR="00FC30D2">
        <w:t>.</w:t>
      </w:r>
    </w:p>
    <w:p w14:paraId="37D17AEB" w14:textId="1074C1CA" w:rsidR="00215FB1" w:rsidRPr="00215FB1" w:rsidRDefault="000A3313" w:rsidP="00215FB1">
      <w:pPr>
        <w:pStyle w:val="NormalWeb"/>
        <w:jc w:val="both"/>
      </w:pPr>
      <w:r w:rsidRPr="00215FB1">
        <w:rPr>
          <w:b/>
        </w:rPr>
        <w:t>Considerações finais</w:t>
      </w:r>
      <w:r w:rsidR="00262464" w:rsidRPr="00215FB1">
        <w:rPr>
          <w:b/>
        </w:rPr>
        <w:br/>
      </w:r>
      <w:r w:rsidR="00215FB1" w:rsidRPr="00215FB1">
        <w:t xml:space="preserve">Conclui-se </w:t>
      </w:r>
      <w:r w:rsidR="00FC30D2">
        <w:t>que tais iniciativas são</w:t>
      </w:r>
      <w:r w:rsidR="00215FB1" w:rsidRPr="00215FB1">
        <w:t xml:space="preserve"> fundamentais no enfrentamento das desigualdades educacionais, embora insuficientes de forma isolada. Reforça-se a necessidade de políticas públicas contínuas e articuladas que promovam equidade no acesso e permanência no sistema educacional. Ademais, a experiência contribui para a formação docente crítica, ao evidenciar as relações entre educação, sociedade e desigualdade, fortalecendo o compromisso com uma educação mais justa e inclusiva.</w:t>
      </w:r>
    </w:p>
    <w:p w14:paraId="4B43A116" w14:textId="5C976A2F" w:rsidR="00720B36" w:rsidRPr="00215FB1" w:rsidRDefault="000A3313" w:rsidP="00215FB1">
      <w:pPr>
        <w:pStyle w:val="NormalWeb"/>
        <w:jc w:val="both"/>
        <w:rPr>
          <w:b/>
        </w:rPr>
      </w:pPr>
      <w:r w:rsidRPr="00215FB1">
        <w:rPr>
          <w:b/>
        </w:rPr>
        <w:t>Referências</w:t>
      </w:r>
    </w:p>
    <w:p w14:paraId="7C87B423" w14:textId="45392F12" w:rsidR="00720B36" w:rsidRPr="00215FB1" w:rsidRDefault="00E33A51" w:rsidP="00215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FB1">
        <w:rPr>
          <w:rFonts w:ascii="Times New Roman" w:hAnsi="Times New Roman" w:cs="Times New Roman"/>
          <w:color w:val="000000"/>
          <w:sz w:val="24"/>
          <w:szCs w:val="24"/>
        </w:rPr>
        <w:t xml:space="preserve">BONETI, Lindomar </w:t>
      </w:r>
      <w:proofErr w:type="spellStart"/>
      <w:r w:rsidRPr="00215FB1">
        <w:rPr>
          <w:rFonts w:ascii="Times New Roman" w:hAnsi="Times New Roman" w:cs="Times New Roman"/>
          <w:color w:val="000000"/>
          <w:sz w:val="24"/>
          <w:szCs w:val="24"/>
        </w:rPr>
        <w:t>Wessler</w:t>
      </w:r>
      <w:proofErr w:type="spellEnd"/>
      <w:r w:rsidRPr="00515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O debate sobre as desigualdades e diferenças sociais na educação no Brasil: significados e contradições</w:t>
      </w:r>
      <w:r w:rsidRPr="00215FB1">
        <w:rPr>
          <w:rFonts w:ascii="Times New Roman" w:hAnsi="Times New Roman" w:cs="Times New Roman"/>
          <w:color w:val="000000"/>
          <w:sz w:val="24"/>
          <w:szCs w:val="24"/>
        </w:rPr>
        <w:t>. </w:t>
      </w:r>
      <w:proofErr w:type="gramStart"/>
      <w:r w:rsidRPr="00215FB1">
        <w:rPr>
          <w:rFonts w:ascii="Times New Roman" w:hAnsi="Times New Roman" w:cs="Times New Roman"/>
          <w:color w:val="000000"/>
          <w:sz w:val="24"/>
          <w:szCs w:val="24"/>
        </w:rPr>
        <w:t xml:space="preserve">Perspectiva,  </w:t>
      </w:r>
      <w:proofErr w:type="spellStart"/>
      <w:r w:rsidRPr="00215FB1">
        <w:rPr>
          <w:rFonts w:ascii="Times New Roman" w:hAnsi="Times New Roman" w:cs="Times New Roman"/>
          <w:color w:val="000000"/>
          <w:sz w:val="24"/>
          <w:szCs w:val="24"/>
        </w:rPr>
        <w:t>Florianopolis</w:t>
      </w:r>
      <w:proofErr w:type="spellEnd"/>
      <w:proofErr w:type="gramEnd"/>
      <w:r w:rsidRPr="00215FB1">
        <w:rPr>
          <w:rFonts w:ascii="Times New Roman" w:hAnsi="Times New Roman" w:cs="Times New Roman"/>
          <w:color w:val="000000"/>
          <w:sz w:val="24"/>
          <w:szCs w:val="24"/>
        </w:rPr>
        <w:t xml:space="preserve"> ,  v. 31, n. 01, p. 261-282,  jun.  </w:t>
      </w:r>
      <w:proofErr w:type="gramStart"/>
      <w:r w:rsidRPr="00215FB1">
        <w:rPr>
          <w:rFonts w:ascii="Times New Roman" w:hAnsi="Times New Roman" w:cs="Times New Roman"/>
          <w:color w:val="000000"/>
          <w:sz w:val="24"/>
          <w:szCs w:val="24"/>
        </w:rPr>
        <w:t>2013 .</w:t>
      </w:r>
      <w:proofErr w:type="gramEnd"/>
      <w:r w:rsidRPr="00215FB1">
        <w:rPr>
          <w:rFonts w:ascii="Times New Roman" w:hAnsi="Times New Roman" w:cs="Times New Roman"/>
          <w:color w:val="000000"/>
          <w:sz w:val="24"/>
          <w:szCs w:val="24"/>
        </w:rPr>
        <w:t xml:space="preserve">   Disponível em &lt;http://educa.fcc.org.br/scielo.php?script=sci_arttext&amp;pid=S0102-54732013000100012&amp;lng=pt&amp;nrm=iso&gt;. </w:t>
      </w:r>
      <w:r w:rsidR="00215FB1" w:rsidRPr="00215FB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15FB1">
        <w:rPr>
          <w:rFonts w:ascii="Times New Roman" w:hAnsi="Times New Roman" w:cs="Times New Roman"/>
          <w:color w:val="000000"/>
          <w:sz w:val="24"/>
          <w:szCs w:val="24"/>
        </w:rPr>
        <w:t>cesso em</w:t>
      </w:r>
      <w:r w:rsidR="00215FB1" w:rsidRPr="00215FB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15F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15FB1">
        <w:rPr>
          <w:rFonts w:ascii="Times New Roman" w:hAnsi="Times New Roman" w:cs="Times New Roman"/>
          <w:color w:val="000000"/>
          <w:sz w:val="24"/>
          <w:szCs w:val="24"/>
        </w:rPr>
        <w:t>24  mar.</w:t>
      </w:r>
      <w:proofErr w:type="gramEnd"/>
      <w:r w:rsidRPr="00215FB1">
        <w:rPr>
          <w:rFonts w:ascii="Times New Roman" w:hAnsi="Times New Roman" w:cs="Times New Roman"/>
          <w:color w:val="000000"/>
          <w:sz w:val="24"/>
          <w:szCs w:val="24"/>
        </w:rPr>
        <w:t>  2026.</w:t>
      </w:r>
    </w:p>
    <w:p w14:paraId="7BF1AACA" w14:textId="4CCFCCB1" w:rsidR="00E77F50" w:rsidRPr="00215FB1" w:rsidRDefault="00E77F50" w:rsidP="00215FB1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215F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Fahel</w:t>
      </w:r>
      <w:proofErr w:type="spellEnd"/>
      <w:r w:rsidRPr="00215F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Murilo, et al., eds. </w:t>
      </w:r>
      <w:r w:rsidRPr="005154F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Desigualdades educacionais &amp; pobreza</w:t>
      </w:r>
      <w:r w:rsidRPr="005154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215F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Editora PUC Minas, 2013.</w:t>
      </w:r>
      <w:r w:rsidR="00215FB1" w:rsidRPr="00215F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5154F6" w:rsidRPr="005154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TRAVITZKI, R.; FERRÃO, ME; COUTO, AP </w:t>
      </w:r>
      <w:r w:rsidR="005154F6" w:rsidRPr="005154F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Desigualdades educacionais e socioeconômicas da população pré-universitária brasileira: um olhar a partir dos dados do ENEM</w:t>
      </w:r>
      <w:r w:rsidR="005154F6" w:rsidRPr="005154F6">
        <w:rPr>
          <w:rFonts w:ascii="Times New Roman" w:hAnsi="Times New Roman" w:cs="Times New Roman"/>
          <w:sz w:val="24"/>
          <w:szCs w:val="24"/>
          <w:shd w:val="clear" w:color="auto" w:fill="FFFFFF"/>
        </w:rPr>
        <w:t>. Arquivos de análise de políticas educacionais, </w:t>
      </w:r>
      <w:r w:rsidR="005154F6" w:rsidRPr="005154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[S. l.</w:t>
      </w:r>
      <w:proofErr w:type="gramStart"/>
      <w:r w:rsidR="005154F6" w:rsidRPr="005154F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]</w:t>
      </w:r>
      <w:r w:rsidR="005154F6" w:rsidRPr="005154F6">
        <w:rPr>
          <w:rFonts w:ascii="Times New Roman" w:hAnsi="Times New Roman" w:cs="Times New Roman"/>
          <w:sz w:val="24"/>
          <w:szCs w:val="24"/>
          <w:shd w:val="clear" w:color="auto" w:fill="FFFFFF"/>
        </w:rPr>
        <w:t> ,</w:t>
      </w:r>
      <w:proofErr w:type="gramEnd"/>
      <w:r w:rsidR="005154F6" w:rsidRPr="005154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 74, 2016. DOI: 10.14507/epaa.24.2199. Disponível em: https://epaa.asu.edu/index.php/epaa/article/view/2199. Acesso em: 24 mar. 2026.</w:t>
      </w:r>
    </w:p>
    <w:sectPr w:rsidR="00E77F50" w:rsidRPr="00215FB1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A7F2" w14:textId="77777777" w:rsidR="003B4D88" w:rsidRDefault="003B4D88">
      <w:pPr>
        <w:spacing w:line="240" w:lineRule="auto"/>
      </w:pPr>
      <w:r>
        <w:separator/>
      </w:r>
    </w:p>
  </w:endnote>
  <w:endnote w:type="continuationSeparator" w:id="0">
    <w:p w14:paraId="3F241E2C" w14:textId="77777777" w:rsidR="003B4D88" w:rsidRDefault="003B4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3E3C2" w14:textId="77777777" w:rsidR="003B4D88" w:rsidRDefault="003B4D88">
      <w:pPr>
        <w:spacing w:after="0"/>
      </w:pPr>
      <w:r>
        <w:separator/>
      </w:r>
    </w:p>
  </w:footnote>
  <w:footnote w:type="continuationSeparator" w:id="0">
    <w:p w14:paraId="51871CB9" w14:textId="77777777" w:rsidR="003B4D88" w:rsidRDefault="003B4D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701A" w14:textId="77777777" w:rsidR="00720B36" w:rsidRDefault="000A3313">
    <w:pPr>
      <w:pStyle w:val="Cabealho"/>
    </w:pPr>
    <w:r>
      <w:rPr>
        <w:noProof/>
      </w:rPr>
      <w:drawing>
        <wp:inline distT="0" distB="0" distL="114300" distR="114300" wp14:anchorId="07637521" wp14:editId="0D911BD4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A3313"/>
    <w:rsid w:val="000B16D9"/>
    <w:rsid w:val="00172A27"/>
    <w:rsid w:val="00215FB1"/>
    <w:rsid w:val="00262464"/>
    <w:rsid w:val="003B4D88"/>
    <w:rsid w:val="005154F6"/>
    <w:rsid w:val="005B55EF"/>
    <w:rsid w:val="00677F30"/>
    <w:rsid w:val="00720B36"/>
    <w:rsid w:val="00741E2B"/>
    <w:rsid w:val="007D4FB7"/>
    <w:rsid w:val="009168A3"/>
    <w:rsid w:val="00A14E68"/>
    <w:rsid w:val="00B82A8F"/>
    <w:rsid w:val="00C05A65"/>
    <w:rsid w:val="00E33A51"/>
    <w:rsid w:val="00E77F50"/>
    <w:rsid w:val="00FA2409"/>
    <w:rsid w:val="00FC30D2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DED6"/>
  <w15:docId w15:val="{EC77C193-1294-40B5-A4ED-EA4380FD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9168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9168A3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7D4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5B5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enocesarpereira228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887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Priscilla Caires Santana Afonso</cp:lastModifiedBy>
  <cp:revision>5</cp:revision>
  <dcterms:created xsi:type="dcterms:W3CDTF">2024-10-22T15:37:00Z</dcterms:created>
  <dcterms:modified xsi:type="dcterms:W3CDTF">2026-03-24T19:20:00Z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