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BDD" w:rsidRPr="009218A2" w:rsidRDefault="00085605">
      <w:pPr>
        <w:jc w:val="center"/>
        <w:rPr>
          <w:b/>
          <w:sz w:val="24"/>
          <w:szCs w:val="24"/>
        </w:rPr>
      </w:pPr>
      <w:r w:rsidRPr="009218A2">
        <w:rPr>
          <w:b/>
          <w:sz w:val="24"/>
          <w:szCs w:val="24"/>
        </w:rPr>
        <w:t>BINGO VERDE: UM JOGO DIDÁTICO PARA O ENSINO DE CIÊNCIAS</w:t>
      </w:r>
    </w:p>
    <w:p w:rsidR="00AB6BDD" w:rsidRDefault="00AB6BDD">
      <w:pPr>
        <w:jc w:val="center"/>
        <w:rPr>
          <w:b/>
          <w:sz w:val="24"/>
          <w:szCs w:val="24"/>
        </w:rPr>
      </w:pPr>
    </w:p>
    <w:p w:rsidR="00A650FE" w:rsidRPr="009218A2" w:rsidRDefault="00A650FE">
      <w:pPr>
        <w:jc w:val="center"/>
        <w:rPr>
          <w:b/>
          <w:sz w:val="24"/>
          <w:szCs w:val="24"/>
        </w:rPr>
      </w:pPr>
    </w:p>
    <w:p w:rsidR="00AB6BDD" w:rsidRPr="009218A2" w:rsidRDefault="00085605">
      <w:pPr>
        <w:jc w:val="center"/>
        <w:rPr>
          <w:sz w:val="24"/>
          <w:szCs w:val="24"/>
        </w:rPr>
      </w:pPr>
      <w:r w:rsidRPr="009218A2">
        <w:rPr>
          <w:sz w:val="24"/>
          <w:szCs w:val="24"/>
        </w:rPr>
        <w:t>Dehmy Jeanny Pedrosa de Barros</w:t>
      </w:r>
      <w:r w:rsidRPr="009218A2">
        <w:rPr>
          <w:sz w:val="24"/>
          <w:szCs w:val="24"/>
          <w:vertAlign w:val="superscript"/>
        </w:rPr>
        <w:t>1</w:t>
      </w:r>
      <w:r w:rsidRPr="009218A2">
        <w:rPr>
          <w:sz w:val="24"/>
          <w:szCs w:val="24"/>
        </w:rPr>
        <w:t>; Antonio Raiol Palheta Junior</w:t>
      </w:r>
      <w:r w:rsidRPr="009218A2">
        <w:rPr>
          <w:sz w:val="24"/>
          <w:szCs w:val="24"/>
          <w:vertAlign w:val="superscript"/>
        </w:rPr>
        <w:t>2</w:t>
      </w:r>
      <w:r w:rsidRPr="009218A2">
        <w:rPr>
          <w:sz w:val="24"/>
          <w:szCs w:val="24"/>
        </w:rPr>
        <w:t>; Arilson Silva da Silva</w:t>
      </w:r>
      <w:r w:rsidRPr="009218A2">
        <w:rPr>
          <w:sz w:val="24"/>
          <w:szCs w:val="24"/>
          <w:vertAlign w:val="superscript"/>
        </w:rPr>
        <w:t>3</w:t>
      </w:r>
      <w:r w:rsidRPr="009218A2">
        <w:rPr>
          <w:sz w:val="24"/>
          <w:szCs w:val="24"/>
        </w:rPr>
        <w:t xml:space="preserve">; </w:t>
      </w:r>
      <w:r w:rsidR="000F1843" w:rsidRPr="009218A2">
        <w:rPr>
          <w:sz w:val="24"/>
          <w:szCs w:val="24"/>
        </w:rPr>
        <w:t>Donizette Monteiro Machado</w:t>
      </w:r>
      <w:r w:rsidRPr="009218A2">
        <w:rPr>
          <w:sz w:val="24"/>
          <w:szCs w:val="24"/>
          <w:vertAlign w:val="superscript"/>
        </w:rPr>
        <w:t>4</w:t>
      </w:r>
      <w:r w:rsidRPr="009218A2">
        <w:rPr>
          <w:sz w:val="24"/>
          <w:szCs w:val="24"/>
        </w:rPr>
        <w:t xml:space="preserve">; </w:t>
      </w:r>
      <w:r w:rsidR="000F1843" w:rsidRPr="009218A2">
        <w:rPr>
          <w:sz w:val="24"/>
          <w:szCs w:val="24"/>
        </w:rPr>
        <w:t>Caio Renan Góes Serrão</w:t>
      </w:r>
      <w:r w:rsidRPr="009218A2">
        <w:rPr>
          <w:sz w:val="24"/>
          <w:szCs w:val="24"/>
          <w:vertAlign w:val="superscript"/>
        </w:rPr>
        <w:t>5</w:t>
      </w:r>
    </w:p>
    <w:p w:rsidR="00AB6BDD" w:rsidRDefault="00AB6BDD">
      <w:pPr>
        <w:spacing w:line="360" w:lineRule="auto"/>
        <w:jc w:val="center"/>
        <w:rPr>
          <w:sz w:val="24"/>
          <w:szCs w:val="24"/>
        </w:rPr>
      </w:pPr>
    </w:p>
    <w:p w:rsidR="00AB6BDD" w:rsidRPr="009218A2" w:rsidRDefault="00085605">
      <w:pPr>
        <w:pStyle w:val="Rodap"/>
        <w:jc w:val="center"/>
        <w:rPr>
          <w:sz w:val="24"/>
          <w:szCs w:val="24"/>
        </w:rPr>
      </w:pPr>
      <w:r w:rsidRPr="009218A2">
        <w:rPr>
          <w:sz w:val="24"/>
          <w:szCs w:val="24"/>
          <w:vertAlign w:val="superscript"/>
        </w:rPr>
        <w:t>1</w:t>
      </w:r>
      <w:r w:rsidRPr="009218A2">
        <w:rPr>
          <w:sz w:val="24"/>
          <w:szCs w:val="24"/>
        </w:rPr>
        <w:t xml:space="preserve"> Graduanda do Curso de Licenciatura em Ciências Naturais com Habilitação em Química. Universidade do Estado do Pará. E-mail: </w:t>
      </w:r>
      <w:hyperlink r:id="rId7">
        <w:r w:rsidRPr="009218A2">
          <w:rPr>
            <w:rStyle w:val="Hyperlink"/>
            <w:sz w:val="24"/>
            <w:szCs w:val="24"/>
          </w:rPr>
          <w:t>deh.jeanny09@gmail.com</w:t>
        </w:r>
      </w:hyperlink>
      <w:r w:rsidRPr="009218A2">
        <w:rPr>
          <w:sz w:val="24"/>
          <w:szCs w:val="24"/>
        </w:rPr>
        <w:t xml:space="preserve">  </w:t>
      </w:r>
    </w:p>
    <w:p w:rsidR="00AB6BDD" w:rsidRPr="009218A2" w:rsidRDefault="00085605">
      <w:pPr>
        <w:pStyle w:val="Rodap"/>
        <w:jc w:val="center"/>
        <w:rPr>
          <w:sz w:val="24"/>
          <w:szCs w:val="24"/>
        </w:rPr>
      </w:pPr>
      <w:r w:rsidRPr="009218A2">
        <w:rPr>
          <w:sz w:val="24"/>
          <w:szCs w:val="24"/>
          <w:vertAlign w:val="superscript"/>
        </w:rPr>
        <w:t xml:space="preserve">2 </w:t>
      </w:r>
      <w:r w:rsidRPr="009218A2">
        <w:rPr>
          <w:sz w:val="24"/>
          <w:szCs w:val="24"/>
        </w:rPr>
        <w:t xml:space="preserve">Graduando do Curso de Licenciatura em Ciências Naturais com Habilitação em Química. Universidade do Estado do Pará. E-mail: </w:t>
      </w:r>
      <w:hyperlink r:id="rId8">
        <w:r w:rsidRPr="009218A2">
          <w:rPr>
            <w:rStyle w:val="Hyperlink"/>
            <w:sz w:val="24"/>
            <w:szCs w:val="24"/>
          </w:rPr>
          <w:t>ajrayol@hotmail.com</w:t>
        </w:r>
      </w:hyperlink>
    </w:p>
    <w:p w:rsidR="00AB6BDD" w:rsidRPr="009218A2" w:rsidRDefault="00085605">
      <w:pPr>
        <w:pStyle w:val="Rodap"/>
        <w:jc w:val="center"/>
        <w:rPr>
          <w:rStyle w:val="Hyperlink"/>
          <w:sz w:val="24"/>
          <w:szCs w:val="24"/>
        </w:rPr>
      </w:pPr>
      <w:r w:rsidRPr="009218A2">
        <w:rPr>
          <w:sz w:val="24"/>
          <w:szCs w:val="24"/>
          <w:vertAlign w:val="superscript"/>
        </w:rPr>
        <w:t>3</w:t>
      </w:r>
      <w:r w:rsidRPr="009218A2">
        <w:rPr>
          <w:sz w:val="24"/>
          <w:szCs w:val="24"/>
        </w:rPr>
        <w:t xml:space="preserve"> Graduando do Curso de Licenciatura em Ciências Naturais com Habilitação em Química. Universidade do Estado do Pará. E-mail: </w:t>
      </w:r>
      <w:hyperlink r:id="rId9">
        <w:r w:rsidRPr="009218A2">
          <w:rPr>
            <w:rStyle w:val="Hyperlink"/>
            <w:sz w:val="24"/>
            <w:szCs w:val="24"/>
          </w:rPr>
          <w:t>ariquimica2015@hotmail.com</w:t>
        </w:r>
      </w:hyperlink>
    </w:p>
    <w:p w:rsidR="00AB6BDD" w:rsidRPr="009218A2" w:rsidRDefault="00085605">
      <w:pPr>
        <w:pStyle w:val="Rodap"/>
        <w:jc w:val="center"/>
        <w:rPr>
          <w:rStyle w:val="Hyperlink"/>
          <w:sz w:val="24"/>
          <w:szCs w:val="24"/>
        </w:rPr>
      </w:pPr>
      <w:r w:rsidRPr="009218A2">
        <w:rPr>
          <w:sz w:val="24"/>
          <w:szCs w:val="24"/>
          <w:vertAlign w:val="superscript"/>
        </w:rPr>
        <w:t>4</w:t>
      </w:r>
      <w:r w:rsidRPr="009218A2">
        <w:rPr>
          <w:sz w:val="24"/>
          <w:szCs w:val="24"/>
        </w:rPr>
        <w:t xml:space="preserve"> Graduand</w:t>
      </w:r>
      <w:r w:rsidR="000F1843" w:rsidRPr="009218A2">
        <w:rPr>
          <w:sz w:val="24"/>
          <w:szCs w:val="24"/>
        </w:rPr>
        <w:t>o</w:t>
      </w:r>
      <w:r w:rsidRPr="009218A2">
        <w:rPr>
          <w:sz w:val="24"/>
          <w:szCs w:val="24"/>
        </w:rPr>
        <w:t xml:space="preserve"> do Curso de Licenciatura em Ciências Naturais com Habilitação em Química. Universidade do Estado do Pará. E-mail:</w:t>
      </w:r>
      <w:r w:rsidR="00407B9F">
        <w:rPr>
          <w:rStyle w:val="Hyperlink"/>
          <w:sz w:val="24"/>
          <w:szCs w:val="24"/>
          <w:u w:val="none"/>
        </w:rPr>
        <w:t xml:space="preserve"> </w:t>
      </w:r>
      <w:r w:rsidR="000F1843" w:rsidRPr="009218A2">
        <w:rPr>
          <w:rStyle w:val="Hyperlink"/>
          <w:sz w:val="24"/>
          <w:szCs w:val="24"/>
        </w:rPr>
        <w:t>do-te@hotmail.com</w:t>
      </w:r>
    </w:p>
    <w:p w:rsidR="00AB6BDD" w:rsidRPr="009218A2" w:rsidRDefault="00085605">
      <w:pPr>
        <w:pStyle w:val="Rodap"/>
        <w:jc w:val="center"/>
        <w:rPr>
          <w:sz w:val="24"/>
          <w:szCs w:val="24"/>
        </w:rPr>
      </w:pPr>
      <w:r w:rsidRPr="009218A2">
        <w:rPr>
          <w:sz w:val="24"/>
          <w:szCs w:val="24"/>
          <w:vertAlign w:val="superscript"/>
        </w:rPr>
        <w:t>5</w:t>
      </w:r>
      <w:r w:rsidRPr="009218A2">
        <w:rPr>
          <w:sz w:val="24"/>
          <w:szCs w:val="24"/>
        </w:rPr>
        <w:t xml:space="preserve"> </w:t>
      </w:r>
      <w:r w:rsidR="000F1843" w:rsidRPr="009218A2">
        <w:rPr>
          <w:sz w:val="24"/>
          <w:szCs w:val="24"/>
        </w:rPr>
        <w:t>Mestre em Ciências Ambientais</w:t>
      </w:r>
      <w:r w:rsidRPr="009218A2">
        <w:rPr>
          <w:sz w:val="24"/>
          <w:szCs w:val="24"/>
        </w:rPr>
        <w:t xml:space="preserve">. </w:t>
      </w:r>
      <w:r w:rsidR="0095759E" w:rsidRPr="0095759E">
        <w:rPr>
          <w:sz w:val="24"/>
          <w:szCs w:val="24"/>
        </w:rPr>
        <w:t>Escola Superior da Amazônia</w:t>
      </w:r>
      <w:r w:rsidRPr="009218A2">
        <w:rPr>
          <w:sz w:val="24"/>
          <w:szCs w:val="24"/>
        </w:rPr>
        <w:t xml:space="preserve">. E-mail: </w:t>
      </w:r>
      <w:bookmarkStart w:id="0" w:name="_GoBack"/>
      <w:r w:rsidR="005E2E8B">
        <w:rPr>
          <w:rStyle w:val="Hyperlink"/>
          <w:sz w:val="24"/>
          <w:szCs w:val="24"/>
        </w:rPr>
        <w:fldChar w:fldCharType="begin"/>
      </w:r>
      <w:r w:rsidR="005E2E8B">
        <w:rPr>
          <w:rStyle w:val="Hyperlink"/>
          <w:sz w:val="24"/>
          <w:szCs w:val="24"/>
        </w:rPr>
        <w:instrText xml:space="preserve"> HYPERLINK "mailto:caioserrao@yahoo.com.br" </w:instrText>
      </w:r>
      <w:r w:rsidR="005E2E8B">
        <w:rPr>
          <w:rStyle w:val="Hyperlink"/>
          <w:sz w:val="24"/>
          <w:szCs w:val="24"/>
        </w:rPr>
        <w:fldChar w:fldCharType="separate"/>
      </w:r>
      <w:r w:rsidR="000F1843" w:rsidRPr="009218A2">
        <w:rPr>
          <w:rStyle w:val="Hyperlink"/>
          <w:sz w:val="24"/>
          <w:szCs w:val="24"/>
        </w:rPr>
        <w:t>caioserrao@yahoo.com.br</w:t>
      </w:r>
      <w:r w:rsidR="005E2E8B">
        <w:rPr>
          <w:rStyle w:val="Hyperlink"/>
          <w:sz w:val="24"/>
          <w:szCs w:val="24"/>
        </w:rPr>
        <w:fldChar w:fldCharType="end"/>
      </w:r>
      <w:bookmarkEnd w:id="0"/>
      <w:r w:rsidR="000F1843" w:rsidRPr="009218A2">
        <w:rPr>
          <w:sz w:val="24"/>
          <w:szCs w:val="24"/>
        </w:rPr>
        <w:t xml:space="preserve"> </w:t>
      </w:r>
      <w:r w:rsidRPr="009218A2">
        <w:rPr>
          <w:sz w:val="24"/>
          <w:szCs w:val="24"/>
        </w:rPr>
        <w:t xml:space="preserve"> </w:t>
      </w:r>
    </w:p>
    <w:p w:rsidR="00AB6BDD" w:rsidRPr="009218A2" w:rsidRDefault="00AB6BDD">
      <w:pPr>
        <w:pStyle w:val="Rodap"/>
        <w:jc w:val="center"/>
        <w:rPr>
          <w:sz w:val="24"/>
          <w:szCs w:val="24"/>
        </w:rPr>
      </w:pPr>
    </w:p>
    <w:p w:rsidR="00AB6BDD" w:rsidRPr="009218A2" w:rsidRDefault="00AB6BDD">
      <w:pPr>
        <w:jc w:val="center"/>
        <w:rPr>
          <w:b/>
          <w:sz w:val="24"/>
          <w:szCs w:val="24"/>
        </w:rPr>
      </w:pPr>
    </w:p>
    <w:p w:rsidR="00AB6BDD" w:rsidRPr="009218A2" w:rsidRDefault="00085605">
      <w:pPr>
        <w:jc w:val="center"/>
        <w:rPr>
          <w:b/>
          <w:sz w:val="24"/>
          <w:szCs w:val="24"/>
        </w:rPr>
      </w:pPr>
      <w:r w:rsidRPr="009218A2">
        <w:rPr>
          <w:b/>
          <w:sz w:val="24"/>
          <w:szCs w:val="24"/>
        </w:rPr>
        <w:t xml:space="preserve">RESUMO </w:t>
      </w:r>
    </w:p>
    <w:p w:rsidR="00AB6BDD" w:rsidRPr="009218A2" w:rsidRDefault="00085605">
      <w:pPr>
        <w:jc w:val="both"/>
        <w:rPr>
          <w:sz w:val="24"/>
          <w:szCs w:val="24"/>
        </w:rPr>
      </w:pPr>
      <w:r w:rsidRPr="009218A2">
        <w:rPr>
          <w:sz w:val="24"/>
          <w:szCs w:val="24"/>
        </w:rPr>
        <w:t>A atividade lúdica é uma alternativa para tornar o aprendizado mais simples e prazeroso, essa prática de ensino contribui para que as aulas não se tornem monótonas e desinteressantes, proporcionando aos alunos o prazer em aprender. Neste sentido, este estudo teve por objetivo utilizar o jogo didático “Bingo Verde” de modo a instigar a participação dos alunos junto a atividade desenvolvida em sala de aula, tornando desta forma a aula mais dinâmica e interessante, facilitando o processo de ensino-aprendizagem. O trabalho foi desenvolvido com 22 alunos do 7º ano, da E. M. E. F. “Benedito Thomaz Carneiro Quilombola”, localizada na comunidade de Pau Furado, zona rural do Município de Salvaterra, Marajó, Pará. A prática de intervenção teve seu andamento em quatro etapas: aplicação do questionário de entrada; abordagem teórica do tema “Características gerais do Reino Plantae”; atividade envolvendo o jogo didático Bingo Verde e aplicação do questionário de saída. Os estudantes relataram que a estratégia desenvolvida lhes proporcionou melhor aprendizado, pois puderam interagir entre si, se divertir e sobretudo adquirir informações acerca do Reino Plantae. O jogo Bingo Verde mostrou-se uma ferramenta válida para se trabalhar o conteúdo em questão, visto que os alunos participaram de forma ativa da atividade.</w:t>
      </w:r>
    </w:p>
    <w:p w:rsidR="00AB6BDD" w:rsidRPr="009218A2" w:rsidRDefault="00AB6BDD">
      <w:pPr>
        <w:jc w:val="both"/>
        <w:rPr>
          <w:b/>
          <w:sz w:val="24"/>
          <w:szCs w:val="24"/>
        </w:rPr>
      </w:pPr>
    </w:p>
    <w:p w:rsidR="00AB6BDD" w:rsidRPr="009218A2" w:rsidRDefault="00085605">
      <w:pPr>
        <w:jc w:val="both"/>
        <w:rPr>
          <w:sz w:val="24"/>
          <w:szCs w:val="24"/>
        </w:rPr>
      </w:pPr>
      <w:r w:rsidRPr="009218A2">
        <w:rPr>
          <w:b/>
          <w:sz w:val="24"/>
          <w:szCs w:val="24"/>
        </w:rPr>
        <w:t>Palavras-chave:</w:t>
      </w:r>
      <w:r w:rsidRPr="009218A2">
        <w:rPr>
          <w:sz w:val="24"/>
          <w:szCs w:val="24"/>
        </w:rPr>
        <w:t xml:space="preserve"> Atividade lúdica</w:t>
      </w:r>
      <w:r w:rsidR="00ED3F5E">
        <w:rPr>
          <w:sz w:val="24"/>
          <w:szCs w:val="24"/>
        </w:rPr>
        <w:t>.</w:t>
      </w:r>
      <w:r w:rsidRPr="009218A2">
        <w:rPr>
          <w:sz w:val="24"/>
          <w:szCs w:val="24"/>
        </w:rPr>
        <w:t xml:space="preserve"> Ensino-aprendizagem</w:t>
      </w:r>
      <w:r w:rsidR="00ED3F5E">
        <w:rPr>
          <w:sz w:val="24"/>
          <w:szCs w:val="24"/>
        </w:rPr>
        <w:t>.</w:t>
      </w:r>
      <w:r w:rsidRPr="009218A2">
        <w:rPr>
          <w:sz w:val="24"/>
          <w:szCs w:val="24"/>
        </w:rPr>
        <w:t xml:space="preserve"> Reino Plantae.</w:t>
      </w:r>
    </w:p>
    <w:p w:rsidR="00AB6BDD" w:rsidRPr="009218A2" w:rsidRDefault="00AB6BDD">
      <w:pPr>
        <w:jc w:val="center"/>
        <w:rPr>
          <w:sz w:val="24"/>
          <w:szCs w:val="24"/>
        </w:rPr>
      </w:pPr>
    </w:p>
    <w:p w:rsidR="00AB6BDD" w:rsidRPr="009218A2" w:rsidRDefault="00085605">
      <w:pPr>
        <w:jc w:val="both"/>
        <w:rPr>
          <w:sz w:val="24"/>
          <w:szCs w:val="24"/>
        </w:rPr>
      </w:pPr>
      <w:r w:rsidRPr="009218A2">
        <w:rPr>
          <w:b/>
          <w:sz w:val="24"/>
          <w:szCs w:val="24"/>
        </w:rPr>
        <w:t>Área de Interesse do Simpósio</w:t>
      </w:r>
      <w:r w:rsidRPr="009218A2">
        <w:rPr>
          <w:sz w:val="24"/>
          <w:szCs w:val="24"/>
        </w:rPr>
        <w:t xml:space="preserve">: </w:t>
      </w:r>
      <w:r w:rsidR="008B1824">
        <w:rPr>
          <w:sz w:val="24"/>
          <w:szCs w:val="24"/>
        </w:rPr>
        <w:t>Ensino de Ciências.</w:t>
      </w:r>
    </w:p>
    <w:p w:rsidR="00AB6BDD" w:rsidRDefault="00AB6BDD">
      <w:pPr>
        <w:jc w:val="both"/>
        <w:rPr>
          <w:i/>
          <w:color w:val="FF0000"/>
          <w:sz w:val="24"/>
          <w:szCs w:val="24"/>
        </w:rPr>
      </w:pPr>
    </w:p>
    <w:p w:rsidR="00A650FE" w:rsidRDefault="00A650FE">
      <w:pPr>
        <w:jc w:val="both"/>
        <w:rPr>
          <w:sz w:val="24"/>
          <w:szCs w:val="24"/>
        </w:rPr>
      </w:pPr>
    </w:p>
    <w:p w:rsidR="00AB6BDD" w:rsidRPr="009218A2" w:rsidRDefault="00085605">
      <w:pPr>
        <w:tabs>
          <w:tab w:val="left" w:pos="1290"/>
        </w:tabs>
        <w:spacing w:after="360"/>
        <w:jc w:val="both"/>
        <w:rPr>
          <w:color w:val="FF0000"/>
          <w:sz w:val="24"/>
          <w:szCs w:val="24"/>
        </w:rPr>
      </w:pPr>
      <w:r w:rsidRPr="009218A2">
        <w:rPr>
          <w:b/>
          <w:sz w:val="24"/>
          <w:szCs w:val="24"/>
        </w:rPr>
        <w:t>1. INTRODUÇÃO</w:t>
      </w:r>
    </w:p>
    <w:p w:rsidR="00AB6BDD" w:rsidRPr="009218A2" w:rsidRDefault="00085605">
      <w:pPr>
        <w:tabs>
          <w:tab w:val="left" w:pos="709"/>
        </w:tabs>
        <w:spacing w:line="360" w:lineRule="auto"/>
        <w:jc w:val="both"/>
        <w:rPr>
          <w:sz w:val="24"/>
          <w:szCs w:val="24"/>
        </w:rPr>
      </w:pPr>
      <w:r w:rsidRPr="009218A2">
        <w:rPr>
          <w:sz w:val="24"/>
          <w:szCs w:val="24"/>
        </w:rPr>
        <w:tab/>
        <w:t xml:space="preserve">O ensino de Ciências Naturais é fundamental para formação de cidadãos críticos, com aptidão de interpretar o mundo a sua volta, e a escola tem um papel importante na construção desses </w:t>
      </w:r>
      <w:r w:rsidRPr="009218A2">
        <w:rPr>
          <w:sz w:val="24"/>
          <w:szCs w:val="24"/>
        </w:rPr>
        <w:lastRenderedPageBreak/>
        <w:t>conhecimentos. Porém, alguns professores ainda utilizam somente o livro didático como recurso metodológico, tornando a aula cansativa e monótona, não despertando o interesse dos estudantes pela disciplina, que é considerada de elevada complexidade, exigindo formas de ensino mais elaboradas (SANTOS et al., 2015).</w:t>
      </w:r>
    </w:p>
    <w:p w:rsidR="00AB6BDD" w:rsidRPr="009218A2" w:rsidRDefault="00085605">
      <w:pPr>
        <w:tabs>
          <w:tab w:val="left" w:pos="709"/>
        </w:tabs>
        <w:spacing w:line="360" w:lineRule="auto"/>
        <w:ind w:firstLine="709"/>
        <w:jc w:val="both"/>
        <w:rPr>
          <w:sz w:val="24"/>
          <w:szCs w:val="24"/>
        </w:rPr>
      </w:pPr>
      <w:r w:rsidRPr="009218A2">
        <w:rPr>
          <w:sz w:val="24"/>
          <w:szCs w:val="24"/>
        </w:rPr>
        <w:t>Um dos grandes desafios enfrentados pelos docentes atualmente é a busca por novas metodologias para atraírem a atenção dos alunos e despertar neles o desejo de aprender, envolvendo-os de forma ativa no processo de ensino e aprendizagem (MAVIGNIER et al., 2014).</w:t>
      </w:r>
    </w:p>
    <w:p w:rsidR="00AB6BDD" w:rsidRPr="009218A2" w:rsidRDefault="00085605">
      <w:pPr>
        <w:tabs>
          <w:tab w:val="left" w:pos="709"/>
        </w:tabs>
        <w:spacing w:line="360" w:lineRule="auto"/>
        <w:ind w:firstLine="709"/>
        <w:jc w:val="both"/>
        <w:rPr>
          <w:sz w:val="24"/>
          <w:szCs w:val="24"/>
        </w:rPr>
      </w:pPr>
      <w:r w:rsidRPr="009218A2">
        <w:rPr>
          <w:sz w:val="24"/>
          <w:szCs w:val="24"/>
        </w:rPr>
        <w:t>Segundo Rocha, Pasqual e Ferreira (2012), a atividade lúdica é uma alternativa para tornar o aprendizado mais simples e prazeroso, essa prática de ensino contribui para que as aulas não se tornem monótonas e que os alunos não participem como se fosse um dever e sim com prazer em aprender. Dentre as atividades lúdicas, destacam-se os jogos, e de acordo com Miranda (2001), mediante o jogo didático, diversos objetivos podem ser alcançados, sendo relacionados à cognição (desenvolvimento da inteligência e da personalidade, fundamentais para a construção de conhecimentos); afeição (desenvolvimento da sensibilidade e atuação no sentido de construir laços de amizade e afetividade); socialização (simulação de vida em grupo); motivação (envolvimento da ação, do desfio e mobilização da curiosidade) e criatividade.</w:t>
      </w:r>
    </w:p>
    <w:p w:rsidR="00AB6BDD" w:rsidRPr="009218A2" w:rsidRDefault="00085605">
      <w:pPr>
        <w:tabs>
          <w:tab w:val="left" w:pos="709"/>
        </w:tabs>
        <w:spacing w:line="360" w:lineRule="auto"/>
        <w:ind w:firstLine="709"/>
        <w:jc w:val="both"/>
        <w:rPr>
          <w:sz w:val="24"/>
          <w:szCs w:val="24"/>
        </w:rPr>
      </w:pPr>
      <w:r w:rsidRPr="009218A2">
        <w:rPr>
          <w:sz w:val="24"/>
          <w:szCs w:val="24"/>
        </w:rPr>
        <w:t xml:space="preserve">Neste contexto, </w:t>
      </w:r>
      <w:bookmarkStart w:id="1" w:name="_Hlk528267962"/>
      <w:r w:rsidRPr="009218A2">
        <w:rPr>
          <w:sz w:val="24"/>
          <w:szCs w:val="24"/>
        </w:rPr>
        <w:t>este estudo teve por objetivo utilizar o jogo didático “Bingo Verde” de modo a instigar a participação dos alunos junto a atividade desenvolvida em sala de aula, tornando desta forma a aula mais dinâmica e interessante, facilitando o processo de ensino-aprendizagem.</w:t>
      </w:r>
      <w:bookmarkEnd w:id="1"/>
    </w:p>
    <w:p w:rsidR="00AB6BDD" w:rsidRPr="009218A2" w:rsidRDefault="00AB6BDD">
      <w:pPr>
        <w:tabs>
          <w:tab w:val="left" w:pos="709"/>
        </w:tabs>
        <w:spacing w:line="360" w:lineRule="auto"/>
        <w:ind w:firstLine="709"/>
        <w:jc w:val="both"/>
        <w:rPr>
          <w:sz w:val="24"/>
          <w:szCs w:val="24"/>
        </w:rPr>
      </w:pPr>
    </w:p>
    <w:p w:rsidR="00AB6BDD" w:rsidRPr="009218A2" w:rsidRDefault="00085605">
      <w:pPr>
        <w:tabs>
          <w:tab w:val="left" w:pos="1290"/>
        </w:tabs>
        <w:spacing w:after="360"/>
        <w:jc w:val="both"/>
        <w:rPr>
          <w:color w:val="FF0000"/>
          <w:sz w:val="24"/>
          <w:szCs w:val="24"/>
        </w:rPr>
      </w:pPr>
      <w:r w:rsidRPr="009218A2">
        <w:rPr>
          <w:b/>
          <w:sz w:val="24"/>
          <w:szCs w:val="24"/>
        </w:rPr>
        <w:t>2. MATERIAL E MÉTODOS</w:t>
      </w:r>
    </w:p>
    <w:p w:rsidR="00AB6BDD" w:rsidRPr="009218A2" w:rsidRDefault="00085605">
      <w:pPr>
        <w:tabs>
          <w:tab w:val="left" w:pos="709"/>
        </w:tabs>
        <w:spacing w:line="360" w:lineRule="auto"/>
        <w:ind w:firstLine="709"/>
        <w:jc w:val="both"/>
        <w:rPr>
          <w:sz w:val="24"/>
          <w:szCs w:val="24"/>
        </w:rPr>
      </w:pPr>
      <w:r w:rsidRPr="009218A2">
        <w:rPr>
          <w:sz w:val="24"/>
          <w:szCs w:val="24"/>
        </w:rPr>
        <w:t xml:space="preserve">O trabalho foi desenvolvido com 22 alunos do 7º ano, da E. M. E. F. “Benedito Thomaz Carneiro Quilombola”, localizada na comunidade de Pau Furado, zona rural do Município de Salvaterra, Marajó, Pará. </w:t>
      </w:r>
      <w:bookmarkStart w:id="2" w:name="_Hlk528268226"/>
      <w:r w:rsidRPr="009218A2">
        <w:rPr>
          <w:sz w:val="24"/>
          <w:szCs w:val="24"/>
        </w:rPr>
        <w:t>A prática de intervenção teve seu andamento em quatro etapas: aplicação do questionário de entrada; abordagem teórica do tema “Características gerais do Reino Plantae”; atividade envolvendo o jogo didático Bingo Verde e aplicação do questionário de saída, respectivamente.</w:t>
      </w:r>
      <w:bookmarkEnd w:id="2"/>
    </w:p>
    <w:p w:rsidR="00AB6BDD" w:rsidRPr="009218A2" w:rsidRDefault="00085605">
      <w:pPr>
        <w:tabs>
          <w:tab w:val="left" w:pos="709"/>
        </w:tabs>
        <w:spacing w:line="360" w:lineRule="auto"/>
        <w:ind w:firstLine="709"/>
        <w:jc w:val="both"/>
        <w:rPr>
          <w:sz w:val="24"/>
          <w:szCs w:val="24"/>
        </w:rPr>
      </w:pPr>
      <w:r w:rsidRPr="009218A2">
        <w:rPr>
          <w:sz w:val="24"/>
          <w:szCs w:val="24"/>
        </w:rPr>
        <w:t xml:space="preserve">O questionário de entrada conteve quatro perguntas, sendo duas abertas e duas fechadas, aonde se buscou averiguar: P.1) Quais recursos didáticos o professor de Ciências mais utiliza para </w:t>
      </w:r>
      <w:r w:rsidRPr="009218A2">
        <w:rPr>
          <w:sz w:val="24"/>
          <w:szCs w:val="24"/>
        </w:rPr>
        <w:lastRenderedPageBreak/>
        <w:t>ministrar suas aulas; P.2) O nível de interesse pelas aulas de Ciências; P.3) Se gostariam que as aulas de Ciências fossem mais dinâmicas; e, P.4) Como idealizavam que as aulas de Ciências fossem ministradas, de forma a lhes proporcionar maior aprendizagem.</w:t>
      </w:r>
    </w:p>
    <w:p w:rsidR="00AB6BDD" w:rsidRPr="009218A2" w:rsidRDefault="00085605">
      <w:pPr>
        <w:tabs>
          <w:tab w:val="left" w:pos="709"/>
        </w:tabs>
        <w:spacing w:line="360" w:lineRule="auto"/>
        <w:ind w:firstLine="709"/>
        <w:jc w:val="both"/>
        <w:rPr>
          <w:sz w:val="24"/>
          <w:szCs w:val="24"/>
        </w:rPr>
      </w:pPr>
      <w:r w:rsidRPr="009218A2">
        <w:rPr>
          <w:sz w:val="24"/>
          <w:szCs w:val="24"/>
        </w:rPr>
        <w:t xml:space="preserve">A abordagem teórica ao tema Características gerais do Reino Plantae foi iniciada após os estudantes responderem ao questionário. O assunto foi explicado de forma contextualizada, utilizando como exemplos do conteúdo, espécies vegetais presentes na comunidade a qual a escola está situada. </w:t>
      </w:r>
    </w:p>
    <w:p w:rsidR="00AB6BDD" w:rsidRPr="009218A2" w:rsidRDefault="00085605">
      <w:pPr>
        <w:tabs>
          <w:tab w:val="left" w:pos="709"/>
        </w:tabs>
        <w:spacing w:line="360" w:lineRule="auto"/>
        <w:ind w:firstLine="709"/>
        <w:jc w:val="both"/>
        <w:rPr>
          <w:sz w:val="24"/>
          <w:szCs w:val="24"/>
        </w:rPr>
      </w:pPr>
      <w:r w:rsidRPr="009218A2">
        <w:rPr>
          <w:sz w:val="24"/>
          <w:szCs w:val="24"/>
        </w:rPr>
        <w:t>Ao término da abordagem teórica, a turma foi dividida em cinco equipes para desenvolvimento da atividade envolvendo o jogo didático Bingo Verde. Na intervenção utilizou-se: 8 cartelas de bingo; placas-resposta (A, B, C e D) para cada grupo; 80 cartas-ponto distribuídas igualitariamente em pontuações 5, 10, 15 ou 20; 40 bolinhas de bingo (enumeradas de 1 a 40); globo de bingo e 20 cartas-pergunta (com pontuações de 5, 10, 15 ou 20 pts.).</w:t>
      </w:r>
    </w:p>
    <w:p w:rsidR="00AB6BDD" w:rsidRPr="009218A2" w:rsidRDefault="00AB6BDD">
      <w:pPr>
        <w:tabs>
          <w:tab w:val="left" w:pos="709"/>
        </w:tabs>
        <w:spacing w:line="360" w:lineRule="auto"/>
        <w:ind w:firstLine="709"/>
        <w:jc w:val="both"/>
        <w:rPr>
          <w:sz w:val="24"/>
          <w:szCs w:val="24"/>
        </w:rPr>
      </w:pPr>
    </w:p>
    <w:p w:rsidR="00AB6BDD" w:rsidRPr="009218A2" w:rsidRDefault="00085605" w:rsidP="00A650FE">
      <w:pPr>
        <w:tabs>
          <w:tab w:val="left" w:pos="709"/>
        </w:tabs>
        <w:spacing w:after="240"/>
        <w:jc w:val="center"/>
        <w:rPr>
          <w:sz w:val="22"/>
          <w:szCs w:val="22"/>
        </w:rPr>
      </w:pPr>
      <w:r w:rsidRPr="009218A2">
        <w:rPr>
          <w:sz w:val="22"/>
          <w:szCs w:val="22"/>
        </w:rPr>
        <w:t>Figura 1 – (A) Cartelas do jogo Bingo Verde; (B) carta-pergunta; (C) placas resposta; (D) cartas-ponto; (E) globo e bolinhas de bingo.</w:t>
      </w:r>
    </w:p>
    <w:p w:rsidR="00AB6BDD" w:rsidRPr="009218A2" w:rsidRDefault="00085605" w:rsidP="00A650FE">
      <w:pPr>
        <w:tabs>
          <w:tab w:val="left" w:pos="709"/>
        </w:tabs>
        <w:spacing w:line="360" w:lineRule="auto"/>
        <w:jc w:val="center"/>
        <w:rPr>
          <w:sz w:val="24"/>
          <w:szCs w:val="24"/>
        </w:rPr>
      </w:pPr>
      <w:r w:rsidRPr="009218A2">
        <w:rPr>
          <w:noProof/>
        </w:rPr>
        <w:drawing>
          <wp:inline distT="0" distB="0" distL="0" distR="0">
            <wp:extent cx="3913981" cy="2721680"/>
            <wp:effectExtent l="0" t="0" r="0" b="254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l="4211" b="7774"/>
                    <a:stretch>
                      <a:fillRect/>
                    </a:stretch>
                  </pic:blipFill>
                  <pic:spPr>
                    <a:xfrm>
                      <a:off x="0" y="0"/>
                      <a:ext cx="3946702" cy="2744433"/>
                    </a:xfrm>
                    <a:prstGeom prst="rect">
                      <a:avLst/>
                    </a:prstGeom>
                    <a:ln cap="flat">
                      <a:noFill/>
                    </a:ln>
                  </pic:spPr>
                </pic:pic>
              </a:graphicData>
            </a:graphic>
          </wp:inline>
        </w:drawing>
      </w:r>
    </w:p>
    <w:p w:rsidR="00AB6BDD" w:rsidRDefault="00085605" w:rsidP="00A650FE">
      <w:pPr>
        <w:tabs>
          <w:tab w:val="left" w:pos="709"/>
        </w:tabs>
        <w:spacing w:line="360" w:lineRule="auto"/>
        <w:jc w:val="center"/>
        <w:rPr>
          <w:sz w:val="22"/>
          <w:szCs w:val="22"/>
        </w:rPr>
      </w:pPr>
      <w:r w:rsidRPr="009218A2">
        <w:rPr>
          <w:sz w:val="22"/>
          <w:szCs w:val="22"/>
        </w:rPr>
        <w:t>Fonte: Autores (2018).</w:t>
      </w:r>
    </w:p>
    <w:p w:rsidR="00B63FE5" w:rsidRPr="009218A2" w:rsidRDefault="00B63FE5" w:rsidP="00A650FE">
      <w:pPr>
        <w:tabs>
          <w:tab w:val="left" w:pos="709"/>
        </w:tabs>
        <w:spacing w:line="360" w:lineRule="auto"/>
        <w:jc w:val="center"/>
        <w:rPr>
          <w:sz w:val="22"/>
          <w:szCs w:val="22"/>
        </w:rPr>
      </w:pPr>
    </w:p>
    <w:p w:rsidR="00AB6BDD" w:rsidRPr="009218A2" w:rsidRDefault="00085605">
      <w:pPr>
        <w:tabs>
          <w:tab w:val="left" w:pos="709"/>
        </w:tabs>
        <w:spacing w:line="360" w:lineRule="auto"/>
        <w:ind w:firstLine="709"/>
        <w:jc w:val="both"/>
        <w:rPr>
          <w:sz w:val="24"/>
          <w:szCs w:val="24"/>
        </w:rPr>
      </w:pPr>
      <w:r w:rsidRPr="009218A2">
        <w:rPr>
          <w:sz w:val="24"/>
          <w:szCs w:val="24"/>
        </w:rPr>
        <w:t xml:space="preserve">Andamento do jogo: cada grupo recebeu as placas-resposta e uma cartela de bingo, em seguida, foi sorteada uma bolinha do globo pelos aplicadores, e anunciado em voz alta o número contido nela, a cada bolinha sorteada, os alunos escolhiam uma carta-pergunta aleatoriamente para </w:t>
      </w:r>
      <w:r w:rsidRPr="009218A2">
        <w:rPr>
          <w:sz w:val="24"/>
          <w:szCs w:val="24"/>
        </w:rPr>
        <w:lastRenderedPageBreak/>
        <w:t xml:space="preserve">ser lida pelos aplicadores, após a leitura da pergunta, os grupos levantavam simultaneamente a placa-resposta com a alternativa que consideravam ser a correta, em acerto da resposta, a equipe recebia a carta-ponto correspondente ao valor da carta-pergunta, em caso de erro, o grupo poderia marcar na cartela o número da bola sorteada, no entanto, não recebia a carta-ponto. O jogo finalizou quando uns dos grupos completou duas fileiras na cartela de bingo (seja na vertical ou horizontal) e gritou “Bingo!”. A equipe que primeiro completou as duas fileiras ganhou 30 pts., e as que tiveram uma fileira formada ganharam 10 pts., o grupo vencedor foi o que apresentou maior pontuação ao termino do jogo, somando fileiras e cartas-ponto. </w:t>
      </w:r>
    </w:p>
    <w:p w:rsidR="00AB6BDD" w:rsidRPr="009218A2" w:rsidRDefault="00085605">
      <w:pPr>
        <w:spacing w:line="360" w:lineRule="auto"/>
        <w:ind w:firstLine="709"/>
        <w:jc w:val="both"/>
        <w:rPr>
          <w:sz w:val="24"/>
          <w:szCs w:val="24"/>
        </w:rPr>
      </w:pPr>
      <w:r w:rsidRPr="009218A2">
        <w:rPr>
          <w:sz w:val="24"/>
          <w:szCs w:val="24"/>
        </w:rPr>
        <w:t>Ao final da atividade foi aplicado o questionário saída, contendo duas perguntas fechadas e uma aberta acerca do jogo didático Bingo verde, aonde solicitou-se aos estudante que: P.1</w:t>
      </w:r>
      <w:r w:rsidRPr="009218A2">
        <w:rPr>
          <w:sz w:val="24"/>
          <w:szCs w:val="24"/>
          <w:vertAlign w:val="superscript"/>
        </w:rPr>
        <w:t>a</w:t>
      </w:r>
      <w:r w:rsidRPr="009218A2">
        <w:rPr>
          <w:sz w:val="24"/>
          <w:szCs w:val="24"/>
        </w:rPr>
        <w:t>) classificassem a utilização de jogos em relação as contribuição que estes trazem para os seus aprendizados; P.2</w:t>
      </w:r>
      <w:r w:rsidRPr="009218A2">
        <w:rPr>
          <w:sz w:val="24"/>
          <w:szCs w:val="24"/>
          <w:vertAlign w:val="superscript"/>
        </w:rPr>
        <w:t>a</w:t>
      </w:r>
      <w:r w:rsidRPr="009218A2">
        <w:rPr>
          <w:sz w:val="24"/>
          <w:szCs w:val="24"/>
        </w:rPr>
        <w:t>) Classificassem a relevância do jogo Bingo verde como estratégia de ensino e aprendizagem; e, P.3</w:t>
      </w:r>
      <w:r w:rsidRPr="009218A2">
        <w:rPr>
          <w:sz w:val="24"/>
          <w:szCs w:val="24"/>
          <w:vertAlign w:val="superscript"/>
        </w:rPr>
        <w:t>a</w:t>
      </w:r>
      <w:r w:rsidRPr="009218A2">
        <w:rPr>
          <w:sz w:val="24"/>
          <w:szCs w:val="24"/>
        </w:rPr>
        <w:t>) Delineassem uma comparação entra a estratégia envolvendo o jogo didático utilizado, com uma  aula em que foi utilizado somente o quadro e o pincel como recurso didático.</w:t>
      </w:r>
    </w:p>
    <w:p w:rsidR="00AB6BDD" w:rsidRPr="009218A2" w:rsidRDefault="00AB6BDD">
      <w:pPr>
        <w:tabs>
          <w:tab w:val="left" w:pos="709"/>
        </w:tabs>
        <w:spacing w:line="360" w:lineRule="auto"/>
        <w:ind w:firstLine="709"/>
        <w:jc w:val="both"/>
        <w:rPr>
          <w:sz w:val="24"/>
          <w:szCs w:val="24"/>
        </w:rPr>
      </w:pPr>
    </w:p>
    <w:p w:rsidR="00AB6BDD" w:rsidRPr="009218A2" w:rsidRDefault="00085605">
      <w:pPr>
        <w:tabs>
          <w:tab w:val="left" w:pos="1290"/>
        </w:tabs>
        <w:spacing w:after="360"/>
        <w:jc w:val="both"/>
        <w:rPr>
          <w:b/>
          <w:sz w:val="24"/>
          <w:szCs w:val="24"/>
        </w:rPr>
      </w:pPr>
      <w:r w:rsidRPr="009218A2">
        <w:rPr>
          <w:b/>
          <w:sz w:val="24"/>
          <w:szCs w:val="24"/>
        </w:rPr>
        <w:t>3. RESULTADOS E DISCUSSÃO</w:t>
      </w:r>
    </w:p>
    <w:p w:rsidR="00AB6BDD" w:rsidRPr="009218A2" w:rsidRDefault="00085605">
      <w:pPr>
        <w:tabs>
          <w:tab w:val="left" w:pos="709"/>
        </w:tabs>
        <w:spacing w:line="360" w:lineRule="auto"/>
        <w:jc w:val="both"/>
        <w:rPr>
          <w:color w:val="000000" w:themeColor="text1"/>
          <w:sz w:val="24"/>
          <w:szCs w:val="24"/>
        </w:rPr>
      </w:pPr>
      <w:r w:rsidRPr="009218A2">
        <w:rPr>
          <w:color w:val="000000" w:themeColor="text1"/>
          <w:sz w:val="24"/>
          <w:szCs w:val="24"/>
        </w:rPr>
        <w:tab/>
        <w:t xml:space="preserve">Com a P.1 do questionário de entrada, constatou-se os dados apresentados no Gráfico 1.  </w:t>
      </w:r>
    </w:p>
    <w:p w:rsidR="00AB6BDD" w:rsidRPr="009218A2" w:rsidRDefault="00AB6BDD">
      <w:pPr>
        <w:tabs>
          <w:tab w:val="left" w:pos="1290"/>
        </w:tabs>
        <w:spacing w:line="360" w:lineRule="auto"/>
        <w:jc w:val="both"/>
        <w:rPr>
          <w:color w:val="000000" w:themeColor="text1"/>
          <w:sz w:val="22"/>
          <w:szCs w:val="22"/>
        </w:rPr>
      </w:pPr>
    </w:p>
    <w:p w:rsidR="00AB6BDD" w:rsidRPr="009218A2" w:rsidRDefault="00085605">
      <w:pPr>
        <w:tabs>
          <w:tab w:val="left" w:pos="1290"/>
        </w:tabs>
        <w:spacing w:line="360" w:lineRule="auto"/>
        <w:jc w:val="both"/>
        <w:rPr>
          <w:color w:val="000000" w:themeColor="text1"/>
          <w:sz w:val="22"/>
          <w:szCs w:val="22"/>
        </w:rPr>
      </w:pPr>
      <w:r w:rsidRPr="009218A2">
        <w:rPr>
          <w:color w:val="000000" w:themeColor="text1"/>
          <w:sz w:val="22"/>
          <w:szCs w:val="22"/>
        </w:rPr>
        <w:t xml:space="preserve">Gráfico 1 – Recursos didáticos mais utilizado pelo professor de Ciências da turma. </w:t>
      </w:r>
    </w:p>
    <w:p w:rsidR="00AB6BDD" w:rsidRPr="009218A2" w:rsidRDefault="00085605">
      <w:pPr>
        <w:tabs>
          <w:tab w:val="left" w:pos="1290"/>
        </w:tabs>
        <w:jc w:val="center"/>
        <w:rPr>
          <w:color w:val="FF0000"/>
          <w:sz w:val="28"/>
          <w:szCs w:val="28"/>
        </w:rPr>
      </w:pPr>
      <w:r w:rsidRPr="009218A2">
        <w:rPr>
          <w:noProof/>
        </w:rPr>
        <w:drawing>
          <wp:inline distT="0" distB="0" distL="0" distR="0">
            <wp:extent cx="4465320" cy="2590800"/>
            <wp:effectExtent l="0" t="0" r="0" b="0"/>
            <wp:docPr id="17"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6BDD" w:rsidRPr="009218A2" w:rsidRDefault="00085605">
      <w:pPr>
        <w:tabs>
          <w:tab w:val="left" w:pos="1290"/>
        </w:tabs>
        <w:jc w:val="center"/>
        <w:rPr>
          <w:color w:val="000000" w:themeColor="text1"/>
          <w:sz w:val="22"/>
          <w:szCs w:val="22"/>
        </w:rPr>
      </w:pPr>
      <w:r w:rsidRPr="009218A2">
        <w:rPr>
          <w:color w:val="000000" w:themeColor="text1"/>
          <w:sz w:val="22"/>
          <w:szCs w:val="22"/>
        </w:rPr>
        <w:t>Fonte: Autores (2018).</w:t>
      </w:r>
    </w:p>
    <w:p w:rsidR="00AB6BDD" w:rsidRPr="009218A2" w:rsidRDefault="00085605">
      <w:pPr>
        <w:tabs>
          <w:tab w:val="left" w:pos="709"/>
        </w:tabs>
        <w:spacing w:line="360" w:lineRule="auto"/>
        <w:jc w:val="both"/>
        <w:rPr>
          <w:color w:val="000000" w:themeColor="text1"/>
          <w:sz w:val="24"/>
          <w:szCs w:val="24"/>
        </w:rPr>
      </w:pPr>
      <w:r w:rsidRPr="009218A2">
        <w:rPr>
          <w:color w:val="000000" w:themeColor="text1"/>
          <w:sz w:val="28"/>
          <w:szCs w:val="28"/>
        </w:rPr>
        <w:lastRenderedPageBreak/>
        <w:tab/>
      </w:r>
      <w:r w:rsidRPr="009218A2">
        <w:rPr>
          <w:color w:val="000000" w:themeColor="text1"/>
          <w:sz w:val="24"/>
          <w:szCs w:val="24"/>
        </w:rPr>
        <w:tab/>
        <w:t xml:space="preserve">Verifica-se no Gráfico 1 que os materiais mais utilizados pelo professor, segundo os estudantes, são: o livro didático e o quadro brando e pincel. </w:t>
      </w:r>
    </w:p>
    <w:p w:rsidR="00AB6BDD" w:rsidRPr="009218A2" w:rsidRDefault="00085605">
      <w:pPr>
        <w:tabs>
          <w:tab w:val="left" w:pos="709"/>
        </w:tabs>
        <w:spacing w:line="360" w:lineRule="auto"/>
        <w:ind w:firstLine="709"/>
        <w:jc w:val="both"/>
        <w:rPr>
          <w:color w:val="000000" w:themeColor="text1"/>
          <w:sz w:val="24"/>
          <w:szCs w:val="24"/>
        </w:rPr>
      </w:pPr>
      <w:r w:rsidRPr="009218A2">
        <w:rPr>
          <w:color w:val="000000" w:themeColor="text1"/>
          <w:sz w:val="24"/>
          <w:szCs w:val="24"/>
        </w:rPr>
        <w:t>Segundo Weintraub, Hawlitschek e João (2011), o método tradicional de ensino apresenta desvantagens, pois se torna difícil para o professor explicar a prática por meio de aulas exclusivamente expositivas, assim como para o aluno fica difícil pensar na aplicabilidade da teoria exposta.</w:t>
      </w:r>
    </w:p>
    <w:p w:rsidR="00AB6BDD" w:rsidRPr="009218A2" w:rsidRDefault="00085605">
      <w:pPr>
        <w:tabs>
          <w:tab w:val="left" w:pos="709"/>
        </w:tabs>
        <w:spacing w:line="360" w:lineRule="auto"/>
        <w:jc w:val="both"/>
        <w:rPr>
          <w:sz w:val="24"/>
          <w:szCs w:val="24"/>
        </w:rPr>
      </w:pPr>
      <w:r w:rsidRPr="009218A2">
        <w:rPr>
          <w:sz w:val="24"/>
          <w:szCs w:val="24"/>
        </w:rPr>
        <w:tab/>
        <w:t>A P.2 possibilitou verificar o interesse dos alunos com a disciplina de Ciências. Na figura 2 estão apresentados os dados levantados.</w:t>
      </w:r>
    </w:p>
    <w:p w:rsidR="00AB6BDD" w:rsidRPr="009218A2" w:rsidRDefault="00AB6BDD">
      <w:pPr>
        <w:tabs>
          <w:tab w:val="left" w:pos="709"/>
        </w:tabs>
        <w:spacing w:line="360" w:lineRule="auto"/>
        <w:jc w:val="both"/>
        <w:rPr>
          <w:sz w:val="24"/>
          <w:szCs w:val="24"/>
        </w:rPr>
      </w:pPr>
    </w:p>
    <w:p w:rsidR="00AB6BDD" w:rsidRPr="009218A2" w:rsidRDefault="00085605">
      <w:pPr>
        <w:tabs>
          <w:tab w:val="left" w:pos="709"/>
        </w:tabs>
        <w:spacing w:line="360" w:lineRule="auto"/>
        <w:jc w:val="center"/>
        <w:rPr>
          <w:sz w:val="22"/>
          <w:szCs w:val="22"/>
        </w:rPr>
      </w:pPr>
      <w:r w:rsidRPr="009218A2">
        <w:rPr>
          <w:sz w:val="22"/>
          <w:szCs w:val="22"/>
        </w:rPr>
        <w:t>Figura 2 – Interesse dos estudantes pela disciplina de Ciências.</w:t>
      </w:r>
    </w:p>
    <w:p w:rsidR="00AB6BDD" w:rsidRPr="009218A2" w:rsidRDefault="00085605">
      <w:pPr>
        <w:tabs>
          <w:tab w:val="left" w:pos="709"/>
        </w:tabs>
        <w:jc w:val="center"/>
        <w:rPr>
          <w:sz w:val="22"/>
          <w:szCs w:val="22"/>
        </w:rPr>
      </w:pPr>
      <w:r w:rsidRPr="009218A2">
        <w:rPr>
          <w:noProof/>
        </w:rPr>
        <w:drawing>
          <wp:inline distT="0" distB="0" distL="0" distR="0">
            <wp:extent cx="5097179" cy="2618460"/>
            <wp:effectExtent l="0" t="0" r="8255" b="0"/>
            <wp:docPr id="1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6729" cy="2623366"/>
                    </a:xfrm>
                    <a:prstGeom prst="rect">
                      <a:avLst/>
                    </a:prstGeom>
                    <a:ln cap="flat"/>
                  </pic:spPr>
                </pic:pic>
              </a:graphicData>
            </a:graphic>
          </wp:inline>
        </w:drawing>
      </w:r>
    </w:p>
    <w:p w:rsidR="00AB6BDD" w:rsidRPr="009218A2" w:rsidRDefault="00085605">
      <w:pPr>
        <w:jc w:val="center"/>
        <w:rPr>
          <w:sz w:val="22"/>
          <w:szCs w:val="22"/>
        </w:rPr>
      </w:pPr>
      <w:r w:rsidRPr="009218A2">
        <w:rPr>
          <w:sz w:val="22"/>
          <w:szCs w:val="22"/>
        </w:rPr>
        <w:t>Fonte: Autores (2018).</w:t>
      </w:r>
    </w:p>
    <w:p w:rsidR="00AB6BDD" w:rsidRPr="009218A2" w:rsidRDefault="00AB6BDD">
      <w:pPr>
        <w:spacing w:line="360" w:lineRule="auto"/>
        <w:ind w:firstLine="708"/>
        <w:jc w:val="both"/>
        <w:rPr>
          <w:sz w:val="24"/>
          <w:szCs w:val="24"/>
        </w:rPr>
      </w:pPr>
    </w:p>
    <w:p w:rsidR="00AB6BDD" w:rsidRPr="009218A2" w:rsidRDefault="00085605">
      <w:pPr>
        <w:spacing w:line="360" w:lineRule="auto"/>
        <w:ind w:firstLine="708"/>
        <w:jc w:val="both"/>
        <w:rPr>
          <w:sz w:val="24"/>
          <w:szCs w:val="24"/>
        </w:rPr>
      </w:pPr>
      <w:r w:rsidRPr="009218A2">
        <w:rPr>
          <w:sz w:val="24"/>
          <w:szCs w:val="24"/>
        </w:rPr>
        <w:t xml:space="preserve">Nota-se que a maioria (91%) dos estudantes demostram interesse pelas aulas de Ciências, com justificativas de que a matéria lhes proporciona descobertas. Os demais a consideram as vezes interessante, tendo-se como justificativas gerais, o longo tempo tomado pelo professor para as explicações teóricas, como mencionado na resposta. </w:t>
      </w:r>
    </w:p>
    <w:p w:rsidR="00AB6BDD" w:rsidRPr="009218A2" w:rsidRDefault="00085605">
      <w:pPr>
        <w:spacing w:line="360" w:lineRule="auto"/>
        <w:ind w:firstLine="708"/>
        <w:jc w:val="both"/>
        <w:rPr>
          <w:sz w:val="24"/>
          <w:szCs w:val="24"/>
        </w:rPr>
      </w:pPr>
      <w:r w:rsidRPr="009218A2">
        <w:rPr>
          <w:sz w:val="24"/>
          <w:szCs w:val="24"/>
        </w:rPr>
        <w:t xml:space="preserve">É necessário estimular os alunos para esse campo do saber, pois o domínio do conhecimento científico é o que impulsiona o desenvolvimento de um país. Além disso, possibilita também o conhecimento de sua própria vida e do mundo que o cerca (SANTOS </w:t>
      </w:r>
      <w:r w:rsidRPr="009218A2">
        <w:rPr>
          <w:i/>
          <w:sz w:val="24"/>
          <w:szCs w:val="24"/>
        </w:rPr>
        <w:t>et al</w:t>
      </w:r>
      <w:r w:rsidRPr="009218A2">
        <w:rPr>
          <w:sz w:val="24"/>
          <w:szCs w:val="24"/>
        </w:rPr>
        <w:t>., 2011).</w:t>
      </w:r>
    </w:p>
    <w:p w:rsidR="00AB6BDD" w:rsidRPr="009218A2" w:rsidRDefault="00085605">
      <w:pPr>
        <w:spacing w:line="360" w:lineRule="auto"/>
        <w:ind w:firstLine="708"/>
        <w:jc w:val="both"/>
        <w:rPr>
          <w:sz w:val="24"/>
          <w:szCs w:val="24"/>
        </w:rPr>
      </w:pPr>
      <w:r w:rsidRPr="009218A2">
        <w:rPr>
          <w:sz w:val="24"/>
          <w:szCs w:val="24"/>
        </w:rPr>
        <w:t xml:space="preserve">Em se tratando de as aulas de Ciências serem mais dinâmicas, indagação feita na P.3, 73% dos estudantes demarcaram sim, 23% escolheram a opção as vezes e 4% relataram não desejar ter </w:t>
      </w:r>
      <w:r w:rsidRPr="009218A2">
        <w:rPr>
          <w:sz w:val="24"/>
          <w:szCs w:val="24"/>
        </w:rPr>
        <w:lastRenderedPageBreak/>
        <w:t xml:space="preserve">aulas de Ciências de forma dinâmica. Estando a maioria em conformidade com Campos </w:t>
      </w:r>
      <w:r w:rsidRPr="009218A2">
        <w:rPr>
          <w:i/>
          <w:sz w:val="24"/>
          <w:szCs w:val="24"/>
        </w:rPr>
        <w:t>et al</w:t>
      </w:r>
      <w:r w:rsidRPr="009218A2">
        <w:rPr>
          <w:sz w:val="24"/>
          <w:szCs w:val="24"/>
        </w:rPr>
        <w:t>. (2003) que destaca que, a aprendizagem significativa é facilitada quando o conteúdo toma a forma de atividade lúdica, pois essa proporciona uma maneira mais interativa e divertida de aprendizado, além de possibilitar a proatividade do aluno.</w:t>
      </w:r>
    </w:p>
    <w:p w:rsidR="00AB6BDD" w:rsidRPr="009218A2" w:rsidRDefault="00085605">
      <w:pPr>
        <w:spacing w:line="360" w:lineRule="auto"/>
        <w:ind w:firstLine="708"/>
        <w:jc w:val="both"/>
        <w:rPr>
          <w:sz w:val="24"/>
          <w:szCs w:val="24"/>
        </w:rPr>
      </w:pPr>
      <w:r w:rsidRPr="009218A2">
        <w:rPr>
          <w:sz w:val="24"/>
          <w:szCs w:val="24"/>
        </w:rPr>
        <w:t>Com a P.4 verificou-se que os alunos desejam que suas aulas sejam ministradas de forma diferenciada, na tabela 1 tem-se a categorização das respostas redigidas pelos alunos acerca de como idealizam suas aulas de Ciências.</w:t>
      </w:r>
    </w:p>
    <w:p w:rsidR="00AB6BDD" w:rsidRPr="009218A2" w:rsidRDefault="00085605">
      <w:pPr>
        <w:spacing w:line="360" w:lineRule="auto"/>
        <w:ind w:firstLine="708"/>
        <w:rPr>
          <w:sz w:val="24"/>
          <w:szCs w:val="24"/>
        </w:rPr>
      </w:pPr>
      <w:r w:rsidRPr="009218A2">
        <w:rPr>
          <w:sz w:val="24"/>
          <w:szCs w:val="24"/>
        </w:rPr>
        <w:t xml:space="preserve"> </w:t>
      </w:r>
    </w:p>
    <w:p w:rsidR="00AB6BDD" w:rsidRPr="009218A2" w:rsidRDefault="00085605">
      <w:pPr>
        <w:spacing w:line="360" w:lineRule="auto"/>
        <w:rPr>
          <w:sz w:val="22"/>
          <w:szCs w:val="22"/>
        </w:rPr>
      </w:pPr>
      <w:r w:rsidRPr="009218A2">
        <w:rPr>
          <w:sz w:val="22"/>
          <w:szCs w:val="22"/>
        </w:rPr>
        <w:t xml:space="preserve">Tabela 1 – Estratégias de ensino idealizadas pelos estudantes para as aulas de Ciências. </w:t>
      </w:r>
    </w:p>
    <w:tbl>
      <w:tblPr>
        <w:tblStyle w:val="Tabelacomgrade"/>
        <w:tblW w:w="0" w:type="auto"/>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A0" w:firstRow="1" w:lastRow="0" w:firstColumn="1" w:lastColumn="0" w:noHBand="0" w:noVBand="1"/>
      </w:tblPr>
      <w:tblGrid>
        <w:gridCol w:w="2835"/>
        <w:gridCol w:w="4111"/>
        <w:gridCol w:w="2449"/>
      </w:tblGrid>
      <w:tr w:rsidR="00AB6BDD" w:rsidRPr="009218A2">
        <w:trPr>
          <w:trHeight w:val="363"/>
          <w:jc w:val="center"/>
        </w:trPr>
        <w:tc>
          <w:tcPr>
            <w:tcW w:w="9395" w:type="dxa"/>
            <w:gridSpan w:val="3"/>
            <w:tcBorders>
              <w:top w:val="single" w:sz="12" w:space="0" w:color="000000"/>
              <w:bottom w:val="single" w:sz="4" w:space="0" w:color="000000"/>
            </w:tcBorders>
            <w:shd w:val="clear" w:color="000000" w:fill="FFFFFF" w:themeFill="background1"/>
            <w:vAlign w:val="center"/>
          </w:tcPr>
          <w:p w:rsidR="00AB6BDD" w:rsidRPr="009218A2" w:rsidRDefault="00085605">
            <w:pPr>
              <w:jc w:val="center"/>
              <w:rPr>
                <w:b/>
              </w:rPr>
            </w:pPr>
            <w:r w:rsidRPr="009218A2">
              <w:rPr>
                <w:b/>
              </w:rPr>
              <w:t>Você quanto aluno, como g</w:t>
            </w:r>
            <w:r w:rsidR="000F1843" w:rsidRPr="009218A2">
              <w:rPr>
                <w:b/>
              </w:rPr>
              <w:t>o</w:t>
            </w:r>
            <w:r w:rsidRPr="009218A2">
              <w:rPr>
                <w:b/>
              </w:rPr>
              <w:t>staria que sua aula de ciências fosse ministrada?</w:t>
            </w:r>
          </w:p>
        </w:tc>
      </w:tr>
      <w:tr w:rsidR="00AB6BDD" w:rsidRPr="009218A2">
        <w:trPr>
          <w:jc w:val="center"/>
        </w:trPr>
        <w:tc>
          <w:tcPr>
            <w:tcW w:w="2835" w:type="dxa"/>
            <w:tcBorders>
              <w:top w:val="single" w:sz="4" w:space="0" w:color="000000"/>
              <w:bottom w:val="single" w:sz="12" w:space="0" w:color="000000"/>
              <w:right w:val="single" w:sz="4" w:space="0" w:color="000000"/>
            </w:tcBorders>
            <w:shd w:val="clear" w:color="000000" w:fill="FFFFFF" w:themeFill="background1"/>
            <w:vAlign w:val="center"/>
          </w:tcPr>
          <w:p w:rsidR="00AB6BDD" w:rsidRPr="009218A2" w:rsidRDefault="00085605">
            <w:pPr>
              <w:jc w:val="center"/>
              <w:rPr>
                <w:b/>
              </w:rPr>
            </w:pPr>
            <w:r w:rsidRPr="009218A2">
              <w:rPr>
                <w:b/>
              </w:rPr>
              <w:t>Categorização as respostas</w:t>
            </w:r>
          </w:p>
        </w:tc>
        <w:tc>
          <w:tcPr>
            <w:tcW w:w="4111" w:type="dxa"/>
            <w:tcBorders>
              <w:top w:val="single" w:sz="4" w:space="0" w:color="000000"/>
              <w:left w:val="single" w:sz="4" w:space="0" w:color="000000"/>
              <w:bottom w:val="single" w:sz="12" w:space="0" w:color="000000"/>
              <w:right w:val="single" w:sz="4" w:space="0" w:color="000000"/>
            </w:tcBorders>
            <w:shd w:val="clear" w:color="000000" w:fill="FFFFFF" w:themeFill="background1"/>
            <w:vAlign w:val="center"/>
          </w:tcPr>
          <w:p w:rsidR="00AB6BDD" w:rsidRPr="009218A2" w:rsidRDefault="00085605">
            <w:pPr>
              <w:jc w:val="center"/>
              <w:rPr>
                <w:b/>
              </w:rPr>
            </w:pPr>
            <w:r w:rsidRPr="009218A2">
              <w:rPr>
                <w:b/>
              </w:rPr>
              <w:t>Exemplo de respostas a pergunta</w:t>
            </w:r>
          </w:p>
        </w:tc>
        <w:tc>
          <w:tcPr>
            <w:tcW w:w="2449" w:type="dxa"/>
            <w:tcBorders>
              <w:top w:val="single" w:sz="4" w:space="0" w:color="000000"/>
              <w:left w:val="single" w:sz="4" w:space="0" w:color="000000"/>
              <w:bottom w:val="single" w:sz="12" w:space="0" w:color="000000"/>
            </w:tcBorders>
            <w:shd w:val="clear" w:color="000000" w:fill="FFFFFF" w:themeFill="background1"/>
            <w:vAlign w:val="center"/>
          </w:tcPr>
          <w:p w:rsidR="00AB6BDD" w:rsidRPr="009218A2" w:rsidRDefault="00085605">
            <w:pPr>
              <w:jc w:val="center"/>
              <w:rPr>
                <w:b/>
              </w:rPr>
            </w:pPr>
            <w:r w:rsidRPr="009218A2">
              <w:rPr>
                <w:b/>
              </w:rPr>
              <w:t>% de alunos dentro da categoria</w:t>
            </w:r>
          </w:p>
        </w:tc>
      </w:tr>
      <w:tr w:rsidR="00AB6BDD" w:rsidRPr="009218A2">
        <w:trPr>
          <w:jc w:val="center"/>
        </w:trPr>
        <w:tc>
          <w:tcPr>
            <w:tcW w:w="2835" w:type="dxa"/>
            <w:tcBorders>
              <w:top w:val="single" w:sz="12" w:space="0" w:color="000000"/>
              <w:right w:val="nil"/>
            </w:tcBorders>
            <w:shd w:val="clear" w:color="000000" w:fill="FFFFFF" w:themeFill="background1"/>
            <w:vAlign w:val="center"/>
          </w:tcPr>
          <w:p w:rsidR="00AB6BDD" w:rsidRPr="009218A2" w:rsidRDefault="00085605">
            <w:pPr>
              <w:jc w:val="center"/>
            </w:pPr>
            <w:r w:rsidRPr="009218A2">
              <w:t>Aulas práticas com realização de experimentos</w:t>
            </w:r>
          </w:p>
        </w:tc>
        <w:tc>
          <w:tcPr>
            <w:tcW w:w="4111" w:type="dxa"/>
            <w:tcBorders>
              <w:top w:val="single" w:sz="12" w:space="0" w:color="000000"/>
              <w:left w:val="nil"/>
              <w:right w:val="nil"/>
            </w:tcBorders>
            <w:shd w:val="clear" w:color="000000" w:fill="FFFFFF" w:themeFill="background1"/>
            <w:vAlign w:val="center"/>
          </w:tcPr>
          <w:p w:rsidR="00AB6BDD" w:rsidRPr="009218A2" w:rsidRDefault="00085605">
            <w:pPr>
              <w:jc w:val="center"/>
            </w:pPr>
            <w:r w:rsidRPr="009218A2">
              <w:t>“Gostaria que fosse mais prática com uso de experimentos.”</w:t>
            </w:r>
          </w:p>
        </w:tc>
        <w:tc>
          <w:tcPr>
            <w:tcW w:w="2449" w:type="dxa"/>
            <w:tcBorders>
              <w:top w:val="single" w:sz="12" w:space="0" w:color="000000"/>
              <w:left w:val="nil"/>
            </w:tcBorders>
            <w:shd w:val="clear" w:color="000000" w:fill="FFFFFF" w:themeFill="background1"/>
            <w:vAlign w:val="center"/>
          </w:tcPr>
          <w:p w:rsidR="00AB6BDD" w:rsidRPr="009218A2" w:rsidRDefault="00085605">
            <w:pPr>
              <w:jc w:val="center"/>
            </w:pPr>
            <w:r w:rsidRPr="009218A2">
              <w:t>27%</w:t>
            </w:r>
          </w:p>
        </w:tc>
      </w:tr>
      <w:tr w:rsidR="00AB6BDD" w:rsidRPr="009218A2">
        <w:trPr>
          <w:jc w:val="center"/>
        </w:trPr>
        <w:tc>
          <w:tcPr>
            <w:tcW w:w="2835" w:type="dxa"/>
            <w:tcBorders>
              <w:right w:val="nil"/>
            </w:tcBorders>
            <w:shd w:val="clear" w:color="000000" w:fill="FFFFFF" w:themeFill="background1"/>
            <w:vAlign w:val="center"/>
          </w:tcPr>
          <w:p w:rsidR="00AB6BDD" w:rsidRPr="009218A2" w:rsidRDefault="00085605">
            <w:pPr>
              <w:jc w:val="center"/>
            </w:pPr>
            <w:r w:rsidRPr="009218A2">
              <w:t>Aulas de campo</w:t>
            </w:r>
          </w:p>
        </w:tc>
        <w:tc>
          <w:tcPr>
            <w:tcW w:w="4111" w:type="dxa"/>
            <w:tcBorders>
              <w:left w:val="nil"/>
              <w:right w:val="nil"/>
            </w:tcBorders>
            <w:shd w:val="clear" w:color="000000" w:fill="FFFFFF" w:themeFill="background1"/>
            <w:vAlign w:val="center"/>
          </w:tcPr>
          <w:p w:rsidR="00AB6BDD" w:rsidRPr="009218A2" w:rsidRDefault="00085605">
            <w:pPr>
              <w:jc w:val="center"/>
            </w:pPr>
            <w:r w:rsidRPr="009218A2">
              <w:t>“Eu queria que as aulas de ciências fossem mais interessantes, com a gente indo mais vezes para aula de campo e etc.”</w:t>
            </w:r>
          </w:p>
        </w:tc>
        <w:tc>
          <w:tcPr>
            <w:tcW w:w="2449" w:type="dxa"/>
            <w:tcBorders>
              <w:left w:val="nil"/>
            </w:tcBorders>
            <w:shd w:val="clear" w:color="000000" w:fill="FFFFFF" w:themeFill="background1"/>
            <w:vAlign w:val="center"/>
          </w:tcPr>
          <w:p w:rsidR="00AB6BDD" w:rsidRPr="009218A2" w:rsidRDefault="00085605">
            <w:pPr>
              <w:jc w:val="center"/>
            </w:pPr>
            <w:r w:rsidRPr="009218A2">
              <w:t>14%</w:t>
            </w:r>
          </w:p>
        </w:tc>
      </w:tr>
      <w:tr w:rsidR="00AB6BDD" w:rsidRPr="009218A2">
        <w:trPr>
          <w:jc w:val="center"/>
        </w:trPr>
        <w:tc>
          <w:tcPr>
            <w:tcW w:w="2835" w:type="dxa"/>
            <w:tcBorders>
              <w:bottom w:val="single" w:sz="4" w:space="0" w:color="000000"/>
              <w:right w:val="nil"/>
            </w:tcBorders>
            <w:shd w:val="clear" w:color="000000" w:fill="FFFFFF" w:themeFill="background1"/>
            <w:vAlign w:val="center"/>
          </w:tcPr>
          <w:p w:rsidR="00AB6BDD" w:rsidRPr="009218A2" w:rsidRDefault="00085605">
            <w:pPr>
              <w:jc w:val="center"/>
            </w:pPr>
            <w:r w:rsidRPr="009218A2">
              <w:t>Uso de dinâmicas</w:t>
            </w:r>
          </w:p>
        </w:tc>
        <w:tc>
          <w:tcPr>
            <w:tcW w:w="4111" w:type="dxa"/>
            <w:tcBorders>
              <w:left w:val="nil"/>
              <w:bottom w:val="single" w:sz="4" w:space="0" w:color="000000"/>
              <w:right w:val="nil"/>
            </w:tcBorders>
            <w:shd w:val="clear" w:color="000000" w:fill="FFFFFF" w:themeFill="background1"/>
            <w:vAlign w:val="center"/>
          </w:tcPr>
          <w:p w:rsidR="00AB6BDD" w:rsidRPr="009218A2" w:rsidRDefault="00085605">
            <w:pPr>
              <w:jc w:val="center"/>
            </w:pPr>
            <w:r w:rsidRPr="009218A2">
              <w:t>“Eu queria que o professor escrevesse menos e realizasse mais dinâmicas com os alunos.”</w:t>
            </w:r>
          </w:p>
        </w:tc>
        <w:tc>
          <w:tcPr>
            <w:tcW w:w="2449" w:type="dxa"/>
            <w:tcBorders>
              <w:left w:val="nil"/>
              <w:bottom w:val="single" w:sz="4" w:space="0" w:color="000000"/>
            </w:tcBorders>
            <w:shd w:val="clear" w:color="000000" w:fill="FFFFFF" w:themeFill="background1"/>
            <w:vAlign w:val="center"/>
          </w:tcPr>
          <w:p w:rsidR="00AB6BDD" w:rsidRPr="009218A2" w:rsidRDefault="00085605">
            <w:pPr>
              <w:jc w:val="center"/>
            </w:pPr>
            <w:r w:rsidRPr="009218A2">
              <w:t>9%</w:t>
            </w:r>
          </w:p>
        </w:tc>
      </w:tr>
      <w:tr w:rsidR="00AB6BDD" w:rsidRPr="009218A2">
        <w:trPr>
          <w:jc w:val="center"/>
        </w:trPr>
        <w:tc>
          <w:tcPr>
            <w:tcW w:w="2835" w:type="dxa"/>
            <w:tcBorders>
              <w:bottom w:val="single" w:sz="4" w:space="0" w:color="000000"/>
              <w:right w:val="nil"/>
            </w:tcBorders>
            <w:shd w:val="clear" w:color="000000" w:fill="FFFFFF" w:themeFill="background1"/>
            <w:vAlign w:val="center"/>
          </w:tcPr>
          <w:p w:rsidR="00AB6BDD" w:rsidRPr="009218A2" w:rsidRDefault="00085605">
            <w:pPr>
              <w:jc w:val="center"/>
            </w:pPr>
            <w:r w:rsidRPr="009218A2">
              <w:t>Recursos diversificados</w:t>
            </w:r>
          </w:p>
        </w:tc>
        <w:tc>
          <w:tcPr>
            <w:tcW w:w="4111" w:type="dxa"/>
            <w:tcBorders>
              <w:left w:val="nil"/>
              <w:bottom w:val="single" w:sz="4" w:space="0" w:color="000000"/>
              <w:right w:val="nil"/>
            </w:tcBorders>
            <w:shd w:val="clear" w:color="000000" w:fill="FFFFFF" w:themeFill="background1"/>
            <w:vAlign w:val="center"/>
          </w:tcPr>
          <w:p w:rsidR="00AB6BDD" w:rsidRPr="009218A2" w:rsidRDefault="00085605">
            <w:pPr>
              <w:jc w:val="center"/>
            </w:pPr>
            <w:r w:rsidRPr="009218A2">
              <w:t>“Eu gostaria que tivesse mais aula de campo e com mais experimentação e uso de data-show.”</w:t>
            </w:r>
          </w:p>
        </w:tc>
        <w:tc>
          <w:tcPr>
            <w:tcW w:w="2449" w:type="dxa"/>
            <w:tcBorders>
              <w:left w:val="nil"/>
              <w:bottom w:val="single" w:sz="4" w:space="0" w:color="000000"/>
            </w:tcBorders>
            <w:shd w:val="clear" w:color="000000" w:fill="FFFFFF" w:themeFill="background1"/>
            <w:vAlign w:val="center"/>
          </w:tcPr>
          <w:p w:rsidR="00AB6BDD" w:rsidRPr="009218A2" w:rsidRDefault="00085605">
            <w:pPr>
              <w:jc w:val="center"/>
            </w:pPr>
            <w:r w:rsidRPr="009218A2">
              <w:t>32%</w:t>
            </w:r>
          </w:p>
        </w:tc>
      </w:tr>
      <w:tr w:rsidR="00AB6BDD" w:rsidRPr="009218A2">
        <w:trPr>
          <w:jc w:val="center"/>
        </w:trPr>
        <w:tc>
          <w:tcPr>
            <w:tcW w:w="2835" w:type="dxa"/>
            <w:tcBorders>
              <w:top w:val="single" w:sz="4" w:space="0" w:color="000000"/>
              <w:bottom w:val="single" w:sz="12" w:space="0" w:color="000000"/>
              <w:right w:val="nil"/>
            </w:tcBorders>
            <w:shd w:val="clear" w:color="000000" w:fill="FFFFFF" w:themeFill="background1"/>
            <w:vAlign w:val="center"/>
          </w:tcPr>
          <w:p w:rsidR="00AB6BDD" w:rsidRPr="009218A2" w:rsidRDefault="00085605">
            <w:pPr>
              <w:jc w:val="center"/>
            </w:pPr>
            <w:r w:rsidRPr="009218A2">
              <w:t>Não deixaram claro como desejavam que as aulas de ciências fossem ministradas</w:t>
            </w:r>
          </w:p>
        </w:tc>
        <w:tc>
          <w:tcPr>
            <w:tcW w:w="4111" w:type="dxa"/>
            <w:tcBorders>
              <w:top w:val="single" w:sz="4" w:space="0" w:color="000000"/>
              <w:left w:val="nil"/>
              <w:bottom w:val="single" w:sz="12" w:space="0" w:color="000000"/>
              <w:right w:val="nil"/>
            </w:tcBorders>
            <w:shd w:val="clear" w:color="000000" w:fill="FFFFFF" w:themeFill="background1"/>
            <w:vAlign w:val="center"/>
          </w:tcPr>
          <w:p w:rsidR="00AB6BDD" w:rsidRPr="009218A2" w:rsidRDefault="00085605">
            <w:pPr>
              <w:jc w:val="center"/>
            </w:pPr>
            <w:r w:rsidRPr="009218A2">
              <w:t>“Eu gostaria que o professor apresentasse um grupo de plantas.”</w:t>
            </w:r>
          </w:p>
        </w:tc>
        <w:tc>
          <w:tcPr>
            <w:tcW w:w="2449" w:type="dxa"/>
            <w:tcBorders>
              <w:top w:val="single" w:sz="4" w:space="0" w:color="000000"/>
              <w:left w:val="nil"/>
              <w:bottom w:val="single" w:sz="12" w:space="0" w:color="000000"/>
            </w:tcBorders>
            <w:shd w:val="clear" w:color="000000" w:fill="FFFFFF" w:themeFill="background1"/>
            <w:vAlign w:val="center"/>
          </w:tcPr>
          <w:p w:rsidR="00AB6BDD" w:rsidRPr="009218A2" w:rsidRDefault="00085605">
            <w:pPr>
              <w:jc w:val="center"/>
            </w:pPr>
            <w:r w:rsidRPr="009218A2">
              <w:t>18%</w:t>
            </w:r>
          </w:p>
        </w:tc>
      </w:tr>
    </w:tbl>
    <w:p w:rsidR="00AB6BDD" w:rsidRPr="009218A2" w:rsidRDefault="00085605">
      <w:pPr>
        <w:spacing w:before="120"/>
        <w:jc w:val="both"/>
        <w:rPr>
          <w:sz w:val="22"/>
          <w:szCs w:val="22"/>
        </w:rPr>
      </w:pPr>
      <w:r w:rsidRPr="009218A2">
        <w:rPr>
          <w:sz w:val="22"/>
          <w:szCs w:val="22"/>
        </w:rPr>
        <w:t>Fonte: Autores (2018).</w:t>
      </w:r>
    </w:p>
    <w:p w:rsidR="00AB6BDD" w:rsidRPr="009218A2" w:rsidRDefault="00AB6BDD">
      <w:pPr>
        <w:spacing w:before="120"/>
        <w:jc w:val="both"/>
        <w:rPr>
          <w:sz w:val="22"/>
          <w:szCs w:val="22"/>
        </w:rPr>
      </w:pPr>
    </w:p>
    <w:p w:rsidR="00AB6BDD" w:rsidRPr="009218A2" w:rsidRDefault="00085605">
      <w:pPr>
        <w:spacing w:before="120" w:line="360" w:lineRule="auto"/>
        <w:ind w:firstLine="708"/>
        <w:jc w:val="both"/>
        <w:rPr>
          <w:sz w:val="24"/>
          <w:szCs w:val="24"/>
        </w:rPr>
      </w:pPr>
      <w:r w:rsidRPr="009218A2">
        <w:rPr>
          <w:sz w:val="24"/>
          <w:szCs w:val="24"/>
        </w:rPr>
        <w:t>No questionário de saída, os alunos avaliaram com base em seus conhecimentos já vivenciados, a utilização de jogos como forma de ensinar conteúdos científicos, e especificamente o jogo Bingo Verde que fora desenvolvido junto a eles, como forma de atividade complementar ao conteúdo Reino Plantae abordado em sala de aula. Na tabela 2 estão apresentadas as avaliações feitas pelos alunos para a P.1ª e P.2ª do questionário de saída.</w:t>
      </w:r>
    </w:p>
    <w:p w:rsidR="00AB6BDD" w:rsidRDefault="00AB6BDD">
      <w:pPr>
        <w:spacing w:before="120" w:line="360" w:lineRule="auto"/>
        <w:ind w:firstLine="708"/>
        <w:jc w:val="both"/>
        <w:rPr>
          <w:sz w:val="22"/>
          <w:szCs w:val="22"/>
        </w:rPr>
      </w:pPr>
    </w:p>
    <w:p w:rsidR="00B63FE5" w:rsidRPr="009218A2" w:rsidRDefault="00B63FE5">
      <w:pPr>
        <w:spacing w:before="120" w:line="360" w:lineRule="auto"/>
        <w:ind w:firstLine="708"/>
        <w:jc w:val="both"/>
        <w:rPr>
          <w:sz w:val="22"/>
          <w:szCs w:val="22"/>
        </w:rPr>
      </w:pPr>
    </w:p>
    <w:p w:rsidR="00AB6BDD" w:rsidRPr="009218A2" w:rsidRDefault="00085605" w:rsidP="00B63FE5">
      <w:pPr>
        <w:spacing w:after="120"/>
        <w:rPr>
          <w:sz w:val="22"/>
          <w:szCs w:val="22"/>
        </w:rPr>
      </w:pPr>
      <w:r w:rsidRPr="009218A2">
        <w:rPr>
          <w:sz w:val="22"/>
          <w:szCs w:val="22"/>
        </w:rPr>
        <w:lastRenderedPageBreak/>
        <w:t>Tabela 2 – Avaliação dos alunos acerca da utilização de jogos como estratégia de ensino, especificando o jogo didático Bingo Verde.</w:t>
      </w:r>
    </w:p>
    <w:tbl>
      <w:tblPr>
        <w:tblStyle w:val="Tabelacomgrade"/>
        <w:tblW w:w="9356" w:type="dxa"/>
        <w:jc w:val="center"/>
        <w:tblBorders>
          <w:top w:val="single" w:sz="4" w:space="0" w:color="000000"/>
          <w:left w:val="nil"/>
          <w:bottom w:val="single" w:sz="4" w:space="0" w:color="000000"/>
          <w:right w:val="nil"/>
          <w:insideH w:val="single" w:sz="4" w:space="0" w:color="000000"/>
          <w:insideV w:val="nil"/>
        </w:tblBorders>
        <w:tblLayout w:type="fixed"/>
        <w:tblLook w:val="04A0" w:firstRow="1" w:lastRow="0" w:firstColumn="1" w:lastColumn="0" w:noHBand="0" w:noVBand="1"/>
      </w:tblPr>
      <w:tblGrid>
        <w:gridCol w:w="567"/>
        <w:gridCol w:w="4384"/>
        <w:gridCol w:w="1134"/>
        <w:gridCol w:w="1134"/>
        <w:gridCol w:w="1134"/>
        <w:gridCol w:w="1003"/>
      </w:tblGrid>
      <w:tr w:rsidR="00AB6BDD" w:rsidRPr="009218A2" w:rsidTr="00A650FE">
        <w:trPr>
          <w:jc w:val="center"/>
        </w:trPr>
        <w:tc>
          <w:tcPr>
            <w:tcW w:w="4951" w:type="dxa"/>
            <w:gridSpan w:val="2"/>
            <w:vMerge w:val="restart"/>
            <w:tcBorders>
              <w:top w:val="single" w:sz="12" w:space="0" w:color="auto"/>
              <w:bottom w:val="single" w:sz="12" w:space="0" w:color="auto"/>
              <w:right w:val="single" w:sz="4" w:space="0" w:color="000000"/>
            </w:tcBorders>
            <w:vAlign w:val="center"/>
          </w:tcPr>
          <w:p w:rsidR="00AB6BDD" w:rsidRPr="009218A2" w:rsidRDefault="00085605">
            <w:pPr>
              <w:jc w:val="center"/>
              <w:rPr>
                <w:b/>
              </w:rPr>
            </w:pPr>
            <w:r w:rsidRPr="009218A2">
              <w:rPr>
                <w:b/>
              </w:rPr>
              <w:t>Questionário de saída: P.1ª e P.2ª</w:t>
            </w:r>
          </w:p>
        </w:tc>
        <w:tc>
          <w:tcPr>
            <w:tcW w:w="4405" w:type="dxa"/>
            <w:gridSpan w:val="4"/>
            <w:tcBorders>
              <w:top w:val="single" w:sz="12" w:space="0" w:color="auto"/>
              <w:left w:val="single" w:sz="4" w:space="0" w:color="000000"/>
              <w:bottom w:val="single" w:sz="4" w:space="0" w:color="000000"/>
            </w:tcBorders>
            <w:vAlign w:val="center"/>
          </w:tcPr>
          <w:p w:rsidR="00AB6BDD" w:rsidRPr="009218A2" w:rsidRDefault="00085605">
            <w:pPr>
              <w:jc w:val="center"/>
              <w:rPr>
                <w:b/>
              </w:rPr>
            </w:pPr>
            <w:r w:rsidRPr="009218A2">
              <w:rPr>
                <w:b/>
              </w:rPr>
              <w:t xml:space="preserve">Classificação </w:t>
            </w:r>
          </w:p>
        </w:tc>
      </w:tr>
      <w:tr w:rsidR="00AB6BDD" w:rsidRPr="009218A2" w:rsidTr="00A650FE">
        <w:trPr>
          <w:jc w:val="center"/>
        </w:trPr>
        <w:tc>
          <w:tcPr>
            <w:tcW w:w="4951" w:type="dxa"/>
            <w:gridSpan w:val="2"/>
            <w:vMerge/>
            <w:tcBorders>
              <w:top w:val="single" w:sz="8" w:space="0" w:color="auto"/>
              <w:bottom w:val="single" w:sz="12" w:space="0" w:color="auto"/>
              <w:right w:val="single" w:sz="4" w:space="0" w:color="000000"/>
            </w:tcBorders>
            <w:vAlign w:val="center"/>
          </w:tcPr>
          <w:p w:rsidR="00AB6BDD" w:rsidRPr="009218A2" w:rsidRDefault="00AB6BDD"/>
        </w:tc>
        <w:tc>
          <w:tcPr>
            <w:tcW w:w="1134" w:type="dxa"/>
            <w:tcBorders>
              <w:left w:val="single" w:sz="4" w:space="0" w:color="000000"/>
              <w:bottom w:val="single" w:sz="12" w:space="0" w:color="auto"/>
            </w:tcBorders>
            <w:vAlign w:val="center"/>
          </w:tcPr>
          <w:p w:rsidR="00AB6BDD" w:rsidRPr="009218A2" w:rsidRDefault="00085605">
            <w:pPr>
              <w:jc w:val="center"/>
            </w:pPr>
            <w:r w:rsidRPr="009218A2">
              <w:t>Ótimo (a)</w:t>
            </w:r>
          </w:p>
        </w:tc>
        <w:tc>
          <w:tcPr>
            <w:tcW w:w="1134" w:type="dxa"/>
            <w:tcBorders>
              <w:bottom w:val="single" w:sz="12" w:space="0" w:color="auto"/>
            </w:tcBorders>
            <w:vAlign w:val="center"/>
          </w:tcPr>
          <w:p w:rsidR="00AB6BDD" w:rsidRPr="009218A2" w:rsidRDefault="00085605">
            <w:pPr>
              <w:jc w:val="center"/>
            </w:pPr>
            <w:r w:rsidRPr="009218A2">
              <w:t>Boa (m)</w:t>
            </w:r>
          </w:p>
        </w:tc>
        <w:tc>
          <w:tcPr>
            <w:tcW w:w="1134" w:type="dxa"/>
            <w:tcBorders>
              <w:bottom w:val="single" w:sz="12" w:space="0" w:color="auto"/>
            </w:tcBorders>
            <w:vAlign w:val="center"/>
          </w:tcPr>
          <w:p w:rsidR="00AB6BDD" w:rsidRPr="009218A2" w:rsidRDefault="00085605">
            <w:pPr>
              <w:jc w:val="center"/>
            </w:pPr>
            <w:r w:rsidRPr="009218A2">
              <w:t>Regular</w:t>
            </w:r>
          </w:p>
        </w:tc>
        <w:tc>
          <w:tcPr>
            <w:tcW w:w="1003" w:type="dxa"/>
            <w:tcBorders>
              <w:bottom w:val="single" w:sz="12" w:space="0" w:color="auto"/>
            </w:tcBorders>
            <w:vAlign w:val="center"/>
          </w:tcPr>
          <w:p w:rsidR="00AB6BDD" w:rsidRPr="009218A2" w:rsidRDefault="00085605">
            <w:pPr>
              <w:jc w:val="center"/>
            </w:pPr>
            <w:r w:rsidRPr="009218A2">
              <w:t>Ruim</w:t>
            </w:r>
          </w:p>
        </w:tc>
      </w:tr>
      <w:tr w:rsidR="00AB6BDD" w:rsidRPr="009218A2" w:rsidTr="00A650FE">
        <w:trPr>
          <w:jc w:val="center"/>
        </w:trPr>
        <w:tc>
          <w:tcPr>
            <w:tcW w:w="567" w:type="dxa"/>
            <w:tcBorders>
              <w:top w:val="single" w:sz="12" w:space="0" w:color="auto"/>
              <w:bottom w:val="single" w:sz="4" w:space="0" w:color="000000"/>
              <w:right w:val="single" w:sz="4" w:space="0" w:color="000000"/>
            </w:tcBorders>
            <w:vAlign w:val="center"/>
          </w:tcPr>
          <w:p w:rsidR="00AB6BDD" w:rsidRPr="009218A2" w:rsidRDefault="00085605">
            <w:pPr>
              <w:jc w:val="center"/>
            </w:pPr>
            <w:r w:rsidRPr="009218A2">
              <w:t>P.1ª</w:t>
            </w:r>
          </w:p>
        </w:tc>
        <w:tc>
          <w:tcPr>
            <w:tcW w:w="4384" w:type="dxa"/>
            <w:tcBorders>
              <w:top w:val="single" w:sz="12" w:space="0" w:color="auto"/>
              <w:bottom w:val="single" w:sz="4" w:space="0" w:color="000000"/>
              <w:right w:val="single" w:sz="4" w:space="0" w:color="000000"/>
            </w:tcBorders>
            <w:vAlign w:val="center"/>
          </w:tcPr>
          <w:p w:rsidR="00AB6BDD" w:rsidRPr="009218A2" w:rsidRDefault="00085605">
            <w:pPr>
              <w:jc w:val="center"/>
            </w:pPr>
            <w:r w:rsidRPr="009218A2">
              <w:t>Utilizar jogos como forma de exercitar o conteúdo aprendido em sala de aula é visto por você como uma estratégia de ensino:</w:t>
            </w:r>
          </w:p>
        </w:tc>
        <w:tc>
          <w:tcPr>
            <w:tcW w:w="1134" w:type="dxa"/>
            <w:tcBorders>
              <w:top w:val="single" w:sz="12" w:space="0" w:color="auto"/>
              <w:left w:val="single" w:sz="4" w:space="0" w:color="000000"/>
              <w:bottom w:val="single" w:sz="4" w:space="0" w:color="000000"/>
            </w:tcBorders>
            <w:vAlign w:val="center"/>
          </w:tcPr>
          <w:p w:rsidR="00AB6BDD" w:rsidRPr="009218A2" w:rsidRDefault="00085605">
            <w:pPr>
              <w:jc w:val="center"/>
            </w:pPr>
            <w:r w:rsidRPr="009218A2">
              <w:t>41, 0%</w:t>
            </w:r>
          </w:p>
        </w:tc>
        <w:tc>
          <w:tcPr>
            <w:tcW w:w="1134" w:type="dxa"/>
            <w:tcBorders>
              <w:top w:val="single" w:sz="12" w:space="0" w:color="auto"/>
              <w:bottom w:val="single" w:sz="4" w:space="0" w:color="000000"/>
            </w:tcBorders>
            <w:vAlign w:val="center"/>
          </w:tcPr>
          <w:p w:rsidR="00AB6BDD" w:rsidRPr="009218A2" w:rsidRDefault="00085605">
            <w:pPr>
              <w:jc w:val="center"/>
            </w:pPr>
            <w:r w:rsidRPr="009218A2">
              <w:t>41,0%</w:t>
            </w:r>
          </w:p>
        </w:tc>
        <w:tc>
          <w:tcPr>
            <w:tcW w:w="1134" w:type="dxa"/>
            <w:tcBorders>
              <w:top w:val="single" w:sz="12" w:space="0" w:color="auto"/>
              <w:bottom w:val="single" w:sz="4" w:space="0" w:color="000000"/>
            </w:tcBorders>
            <w:vAlign w:val="center"/>
          </w:tcPr>
          <w:p w:rsidR="00AB6BDD" w:rsidRPr="009218A2" w:rsidRDefault="00085605">
            <w:pPr>
              <w:jc w:val="center"/>
            </w:pPr>
            <w:r w:rsidRPr="009218A2">
              <w:t>18,0%</w:t>
            </w:r>
          </w:p>
        </w:tc>
        <w:tc>
          <w:tcPr>
            <w:tcW w:w="1003" w:type="dxa"/>
            <w:tcBorders>
              <w:top w:val="single" w:sz="12" w:space="0" w:color="auto"/>
              <w:bottom w:val="single" w:sz="4" w:space="0" w:color="000000"/>
            </w:tcBorders>
            <w:vAlign w:val="center"/>
          </w:tcPr>
          <w:p w:rsidR="00AB6BDD" w:rsidRPr="009218A2" w:rsidRDefault="00085605">
            <w:pPr>
              <w:jc w:val="center"/>
            </w:pPr>
            <w:r w:rsidRPr="009218A2">
              <w:t>-</w:t>
            </w:r>
          </w:p>
        </w:tc>
      </w:tr>
      <w:tr w:rsidR="00AB6BDD" w:rsidRPr="009218A2" w:rsidTr="00A650FE">
        <w:trPr>
          <w:jc w:val="center"/>
        </w:trPr>
        <w:tc>
          <w:tcPr>
            <w:tcW w:w="567" w:type="dxa"/>
            <w:tcBorders>
              <w:bottom w:val="single" w:sz="12" w:space="0" w:color="auto"/>
              <w:right w:val="single" w:sz="4" w:space="0" w:color="000000"/>
            </w:tcBorders>
            <w:vAlign w:val="center"/>
          </w:tcPr>
          <w:p w:rsidR="00AB6BDD" w:rsidRPr="009218A2" w:rsidRDefault="00085605">
            <w:pPr>
              <w:jc w:val="center"/>
            </w:pPr>
            <w:r w:rsidRPr="009218A2">
              <w:t>P.2ª</w:t>
            </w:r>
          </w:p>
        </w:tc>
        <w:tc>
          <w:tcPr>
            <w:tcW w:w="4384" w:type="dxa"/>
            <w:tcBorders>
              <w:bottom w:val="single" w:sz="12" w:space="0" w:color="auto"/>
              <w:right w:val="single" w:sz="4" w:space="0" w:color="000000"/>
            </w:tcBorders>
            <w:vAlign w:val="center"/>
          </w:tcPr>
          <w:p w:rsidR="00AB6BDD" w:rsidRPr="009218A2" w:rsidRDefault="00085605">
            <w:pPr>
              <w:jc w:val="center"/>
            </w:pPr>
            <w:r w:rsidRPr="009218A2">
              <w:t>Como você classifica o jogo Bingo Verde em relação a sua utilização no ensino e aprendizagem do conteúdo abordado na aula.</w:t>
            </w:r>
          </w:p>
        </w:tc>
        <w:tc>
          <w:tcPr>
            <w:tcW w:w="1134" w:type="dxa"/>
            <w:tcBorders>
              <w:left w:val="single" w:sz="4" w:space="0" w:color="000000"/>
              <w:bottom w:val="single" w:sz="12" w:space="0" w:color="auto"/>
            </w:tcBorders>
            <w:vAlign w:val="center"/>
          </w:tcPr>
          <w:p w:rsidR="00AB6BDD" w:rsidRPr="009218A2" w:rsidRDefault="00085605">
            <w:pPr>
              <w:jc w:val="center"/>
            </w:pPr>
            <w:r w:rsidRPr="009218A2">
              <w:t>45,5%</w:t>
            </w:r>
          </w:p>
        </w:tc>
        <w:tc>
          <w:tcPr>
            <w:tcW w:w="1134" w:type="dxa"/>
            <w:tcBorders>
              <w:bottom w:val="single" w:sz="12" w:space="0" w:color="auto"/>
            </w:tcBorders>
            <w:vAlign w:val="center"/>
          </w:tcPr>
          <w:p w:rsidR="00AB6BDD" w:rsidRPr="009218A2" w:rsidRDefault="00085605">
            <w:pPr>
              <w:jc w:val="center"/>
            </w:pPr>
            <w:r w:rsidRPr="009218A2">
              <w:t>45,5%</w:t>
            </w:r>
          </w:p>
        </w:tc>
        <w:tc>
          <w:tcPr>
            <w:tcW w:w="1134" w:type="dxa"/>
            <w:tcBorders>
              <w:bottom w:val="single" w:sz="12" w:space="0" w:color="auto"/>
            </w:tcBorders>
            <w:vAlign w:val="center"/>
          </w:tcPr>
          <w:p w:rsidR="00AB6BDD" w:rsidRPr="009218A2" w:rsidRDefault="00085605">
            <w:pPr>
              <w:jc w:val="center"/>
            </w:pPr>
            <w:r w:rsidRPr="009218A2">
              <w:t>9,0%</w:t>
            </w:r>
          </w:p>
        </w:tc>
        <w:tc>
          <w:tcPr>
            <w:tcW w:w="1003" w:type="dxa"/>
            <w:tcBorders>
              <w:bottom w:val="single" w:sz="12" w:space="0" w:color="auto"/>
            </w:tcBorders>
            <w:vAlign w:val="center"/>
          </w:tcPr>
          <w:p w:rsidR="00AB6BDD" w:rsidRPr="009218A2" w:rsidRDefault="00085605">
            <w:pPr>
              <w:jc w:val="center"/>
            </w:pPr>
            <w:r w:rsidRPr="009218A2">
              <w:t>-</w:t>
            </w:r>
          </w:p>
        </w:tc>
      </w:tr>
    </w:tbl>
    <w:p w:rsidR="00AB6BDD" w:rsidRPr="009218A2" w:rsidRDefault="00085605">
      <w:pPr>
        <w:spacing w:before="120"/>
        <w:jc w:val="both"/>
        <w:rPr>
          <w:sz w:val="22"/>
          <w:szCs w:val="22"/>
        </w:rPr>
      </w:pPr>
      <w:r w:rsidRPr="009218A2">
        <w:rPr>
          <w:sz w:val="22"/>
          <w:szCs w:val="22"/>
        </w:rPr>
        <w:t>Fonte: Autores (2018).</w:t>
      </w:r>
    </w:p>
    <w:p w:rsidR="00AB6BDD" w:rsidRPr="009218A2" w:rsidRDefault="00AB6BDD">
      <w:pPr>
        <w:spacing w:line="360" w:lineRule="auto"/>
        <w:rPr>
          <w:sz w:val="24"/>
          <w:szCs w:val="24"/>
        </w:rPr>
      </w:pPr>
    </w:p>
    <w:p w:rsidR="00AB6BDD" w:rsidRPr="009218A2" w:rsidRDefault="00085605">
      <w:pPr>
        <w:spacing w:line="360" w:lineRule="auto"/>
        <w:ind w:firstLine="708"/>
        <w:jc w:val="both"/>
        <w:rPr>
          <w:sz w:val="24"/>
          <w:szCs w:val="24"/>
        </w:rPr>
      </w:pPr>
      <w:r w:rsidRPr="009218A2">
        <w:rPr>
          <w:sz w:val="24"/>
          <w:szCs w:val="24"/>
        </w:rPr>
        <w:t>Nota-se que os alunos têm apareço por metodologias de ensino que envolvam jogos didáticos, uma vez que a maioria considerou a utilização deste tipo de ferramenta metodológica como ótima ou boa. Com relação ao jogo Bingo Verde, um percentual maior aprovou sua utilização no ensino do conteúdo Reino Plantae.</w:t>
      </w:r>
    </w:p>
    <w:p w:rsidR="00AB6BDD" w:rsidRPr="009218A2" w:rsidRDefault="00085605">
      <w:pPr>
        <w:spacing w:line="360" w:lineRule="auto"/>
        <w:ind w:firstLine="708"/>
        <w:jc w:val="both"/>
        <w:rPr>
          <w:sz w:val="24"/>
          <w:szCs w:val="24"/>
        </w:rPr>
      </w:pPr>
      <w:r w:rsidRPr="009218A2">
        <w:rPr>
          <w:sz w:val="24"/>
          <w:szCs w:val="24"/>
        </w:rPr>
        <w:t xml:space="preserve">Na análise da P.3ª, aonde solicitou-se que os estudantes comparassem a metodologia de ensino envolvendo o jogo Bingo Verde com uma aula em que fora utilizado somente o quadro e o pincel, de modo geral </w:t>
      </w:r>
      <w:bookmarkStart w:id="3" w:name="_Hlk528268382"/>
      <w:r w:rsidRPr="009218A2">
        <w:rPr>
          <w:sz w:val="24"/>
          <w:szCs w:val="24"/>
        </w:rPr>
        <w:t>os estudantes relataram que a estratégia envolvendo o jogo didático lhes proporcionou melhor aprendizado, pois puderam interagir entre si, se divertir e sobre tudo adquirir informações acerca do Reino Plantae.</w:t>
      </w:r>
      <w:bookmarkEnd w:id="3"/>
    </w:p>
    <w:p w:rsidR="00AB6BDD" w:rsidRPr="009218A2" w:rsidRDefault="00085605">
      <w:pPr>
        <w:spacing w:line="360" w:lineRule="auto"/>
        <w:ind w:firstLine="708"/>
        <w:jc w:val="both"/>
        <w:rPr>
          <w:sz w:val="24"/>
          <w:szCs w:val="24"/>
        </w:rPr>
      </w:pPr>
      <w:r w:rsidRPr="009218A2">
        <w:rPr>
          <w:sz w:val="24"/>
          <w:szCs w:val="24"/>
        </w:rPr>
        <w:t>Segundo Jann e Leite (2010), o jogo é uma atividade lúdica que proporciona momentos de alegria, interação, descontração e possibilita ao participante o desenvolvimento humano. Considerando tais aspectos, a atividade de jogar também traz diferentes possibilidades ao processo de ensino e aprendizagem.</w:t>
      </w:r>
    </w:p>
    <w:p w:rsidR="00AB6BDD" w:rsidRPr="009218A2" w:rsidRDefault="00AB6BDD">
      <w:pPr>
        <w:rPr>
          <w:sz w:val="24"/>
          <w:szCs w:val="24"/>
        </w:rPr>
      </w:pPr>
    </w:p>
    <w:p w:rsidR="00AB6BDD" w:rsidRPr="009218A2" w:rsidRDefault="00085605">
      <w:pPr>
        <w:tabs>
          <w:tab w:val="left" w:pos="1290"/>
        </w:tabs>
        <w:spacing w:after="360"/>
        <w:jc w:val="both"/>
        <w:rPr>
          <w:b/>
          <w:sz w:val="24"/>
          <w:szCs w:val="24"/>
        </w:rPr>
      </w:pPr>
      <w:r w:rsidRPr="009218A2">
        <w:rPr>
          <w:b/>
          <w:sz w:val="24"/>
          <w:szCs w:val="24"/>
        </w:rPr>
        <w:t xml:space="preserve">4. CONCLUSÃO </w:t>
      </w:r>
    </w:p>
    <w:p w:rsidR="00AB6BDD" w:rsidRPr="009218A2" w:rsidRDefault="00085605">
      <w:pPr>
        <w:tabs>
          <w:tab w:val="left" w:pos="1290"/>
        </w:tabs>
        <w:spacing w:line="360" w:lineRule="auto"/>
        <w:ind w:firstLine="709"/>
        <w:jc w:val="both"/>
        <w:rPr>
          <w:sz w:val="24"/>
          <w:szCs w:val="24"/>
        </w:rPr>
      </w:pPr>
      <w:r w:rsidRPr="009218A2">
        <w:rPr>
          <w:sz w:val="24"/>
          <w:szCs w:val="24"/>
        </w:rPr>
        <w:t>Para se alcançar bons resultados no processo de ensino-aprendizagem é necessário que o professor adote metodologias diversificadas em sala de aula, como a utilização de jogos didáticos, visto que estes instigam a participação dos alunos, tornando a aula mais dinâmica e interessante, contribuindo para a construção do conhecimento.</w:t>
      </w:r>
    </w:p>
    <w:p w:rsidR="00AB6BDD" w:rsidRPr="009218A2" w:rsidRDefault="00085605">
      <w:pPr>
        <w:tabs>
          <w:tab w:val="left" w:pos="1290"/>
        </w:tabs>
        <w:spacing w:line="360" w:lineRule="auto"/>
        <w:ind w:firstLine="709"/>
        <w:jc w:val="both"/>
        <w:rPr>
          <w:sz w:val="24"/>
          <w:szCs w:val="24"/>
        </w:rPr>
      </w:pPr>
      <w:r w:rsidRPr="009218A2">
        <w:rPr>
          <w:sz w:val="24"/>
          <w:szCs w:val="24"/>
        </w:rPr>
        <w:t xml:space="preserve">O jogo Bingo Verde mostrou-se uma ferramenta válida para se trabalhar o conteúdo Reino Plantea, visto que os alunos participaram de forma ativa da atividade, demostrando interesse em </w:t>
      </w:r>
      <w:r w:rsidRPr="009218A2">
        <w:rPr>
          <w:sz w:val="24"/>
          <w:szCs w:val="24"/>
        </w:rPr>
        <w:lastRenderedPageBreak/>
        <w:t>responder aos questionamentos de forma correta para que pontuassem e vencessem o jogo. Sendo assim, por meio da competitividade saldável que a dinâmica ofereceu, os estudantes puderam adquirir mais conhecimento a respeito do assunto abordado.</w:t>
      </w:r>
    </w:p>
    <w:p w:rsidR="00AB6BDD" w:rsidRPr="009218A2" w:rsidRDefault="00085605">
      <w:pPr>
        <w:tabs>
          <w:tab w:val="left" w:pos="1290"/>
        </w:tabs>
        <w:spacing w:line="360" w:lineRule="auto"/>
        <w:ind w:firstLine="709"/>
        <w:jc w:val="both"/>
        <w:rPr>
          <w:sz w:val="24"/>
          <w:szCs w:val="24"/>
        </w:rPr>
      </w:pPr>
      <w:r w:rsidRPr="009218A2">
        <w:rPr>
          <w:sz w:val="24"/>
          <w:szCs w:val="24"/>
        </w:rPr>
        <w:t>Por tanto, por meio da atividade, tornou-se notório que a utilização de dinâmicas no ensino é uma alternativa eficiente para auxiliar o professor na ministração de suas aulas, visto que o jogo cooperou para um maior aprendizado por parte dos estudantes.</w:t>
      </w:r>
    </w:p>
    <w:p w:rsidR="00AB6BDD" w:rsidRPr="009218A2" w:rsidRDefault="00AB6BDD">
      <w:pPr>
        <w:tabs>
          <w:tab w:val="left" w:pos="1290"/>
        </w:tabs>
        <w:jc w:val="both"/>
        <w:rPr>
          <w:b/>
          <w:sz w:val="24"/>
          <w:szCs w:val="24"/>
        </w:rPr>
      </w:pPr>
    </w:p>
    <w:p w:rsidR="00AB6BDD" w:rsidRPr="009218A2" w:rsidRDefault="00085605">
      <w:pPr>
        <w:tabs>
          <w:tab w:val="left" w:pos="1290"/>
        </w:tabs>
        <w:spacing w:after="360"/>
        <w:jc w:val="both"/>
        <w:rPr>
          <w:color w:val="FF0000"/>
          <w:sz w:val="24"/>
          <w:szCs w:val="24"/>
        </w:rPr>
      </w:pPr>
      <w:r w:rsidRPr="009218A2">
        <w:rPr>
          <w:b/>
          <w:sz w:val="24"/>
          <w:szCs w:val="24"/>
        </w:rPr>
        <w:t>REFERÊNCIAS</w:t>
      </w:r>
    </w:p>
    <w:p w:rsidR="00AB6BDD" w:rsidRPr="009218A2" w:rsidRDefault="00085605">
      <w:pPr>
        <w:tabs>
          <w:tab w:val="left" w:pos="709"/>
        </w:tabs>
        <w:jc w:val="both"/>
        <w:rPr>
          <w:sz w:val="24"/>
          <w:szCs w:val="24"/>
        </w:rPr>
      </w:pPr>
      <w:r w:rsidRPr="009218A2">
        <w:rPr>
          <w:sz w:val="24"/>
          <w:szCs w:val="24"/>
        </w:rPr>
        <w:t xml:space="preserve">AHMED, J.; SHIVHARE, U.S.; SINGH, P. Colour kinetics and rheology of coriander leaf puree and storage characteristics of the paste. </w:t>
      </w:r>
      <w:r w:rsidRPr="009218A2">
        <w:rPr>
          <w:b/>
          <w:sz w:val="24"/>
          <w:szCs w:val="24"/>
        </w:rPr>
        <w:t>Food Chemistry</w:t>
      </w:r>
      <w:r w:rsidRPr="009218A2">
        <w:rPr>
          <w:sz w:val="24"/>
          <w:szCs w:val="24"/>
        </w:rPr>
        <w:t>, v. 84, n. 4, p. 605-611, 2004.</w:t>
      </w:r>
    </w:p>
    <w:p w:rsidR="00AB6BDD" w:rsidRPr="009218A2" w:rsidRDefault="00AB6BDD">
      <w:pPr>
        <w:tabs>
          <w:tab w:val="left" w:pos="709"/>
        </w:tabs>
        <w:jc w:val="both"/>
        <w:rPr>
          <w:sz w:val="24"/>
          <w:szCs w:val="24"/>
        </w:rPr>
      </w:pPr>
    </w:p>
    <w:p w:rsidR="00AB6BDD" w:rsidRPr="009218A2" w:rsidRDefault="00085605">
      <w:pPr>
        <w:tabs>
          <w:tab w:val="left" w:pos="709"/>
        </w:tabs>
        <w:jc w:val="both"/>
        <w:rPr>
          <w:sz w:val="24"/>
          <w:szCs w:val="24"/>
        </w:rPr>
      </w:pPr>
      <w:r w:rsidRPr="009218A2">
        <w:rPr>
          <w:sz w:val="24"/>
          <w:szCs w:val="24"/>
        </w:rPr>
        <w:t xml:space="preserve">CAMPOS, L. M. L.; FELICIO, A. K. C.; BORTOLOTTO, T. M. A produção de jogos didáticos para o ensino de Ciências e Biologia: uma proposta para favorecer a aprendizagem. </w:t>
      </w:r>
      <w:r w:rsidRPr="009218A2">
        <w:rPr>
          <w:b/>
          <w:sz w:val="24"/>
          <w:szCs w:val="24"/>
        </w:rPr>
        <w:t>Caderno dos Núcleos de Ensino</w:t>
      </w:r>
      <w:r w:rsidRPr="009218A2">
        <w:rPr>
          <w:sz w:val="24"/>
          <w:szCs w:val="24"/>
        </w:rPr>
        <w:t>, p. 35-48, 2003.</w:t>
      </w:r>
    </w:p>
    <w:p w:rsidR="00AB6BDD" w:rsidRPr="009218A2" w:rsidRDefault="00AB6BDD">
      <w:pPr>
        <w:tabs>
          <w:tab w:val="left" w:pos="709"/>
        </w:tabs>
        <w:jc w:val="both"/>
        <w:rPr>
          <w:sz w:val="24"/>
          <w:szCs w:val="24"/>
        </w:rPr>
      </w:pPr>
    </w:p>
    <w:p w:rsidR="00AB6BDD" w:rsidRPr="009218A2" w:rsidRDefault="00085605">
      <w:pPr>
        <w:tabs>
          <w:tab w:val="left" w:pos="709"/>
        </w:tabs>
        <w:jc w:val="both"/>
        <w:rPr>
          <w:sz w:val="24"/>
          <w:szCs w:val="24"/>
        </w:rPr>
      </w:pPr>
      <w:r w:rsidRPr="009218A2">
        <w:rPr>
          <w:sz w:val="24"/>
          <w:szCs w:val="24"/>
        </w:rPr>
        <w:t xml:space="preserve">JANN, P. N.; LEITE, M. F. Jogo do DNA: um instrumento pedagógico para o ensino de ciências e biologia. </w:t>
      </w:r>
      <w:r w:rsidRPr="009218A2">
        <w:rPr>
          <w:b/>
          <w:sz w:val="24"/>
          <w:szCs w:val="24"/>
        </w:rPr>
        <w:t>Ciência &amp; Cognição</w:t>
      </w:r>
      <w:r w:rsidRPr="009218A2">
        <w:rPr>
          <w:sz w:val="24"/>
          <w:szCs w:val="24"/>
        </w:rPr>
        <w:t>, v. 15, p. 282-293, 2010.</w:t>
      </w:r>
    </w:p>
    <w:p w:rsidR="00AB6BDD" w:rsidRPr="009218A2" w:rsidRDefault="00AB6BDD">
      <w:pPr>
        <w:tabs>
          <w:tab w:val="left" w:pos="709"/>
        </w:tabs>
        <w:jc w:val="both"/>
        <w:rPr>
          <w:sz w:val="24"/>
          <w:szCs w:val="24"/>
        </w:rPr>
      </w:pPr>
    </w:p>
    <w:p w:rsidR="00AB6BDD" w:rsidRPr="009218A2" w:rsidRDefault="00085605">
      <w:pPr>
        <w:tabs>
          <w:tab w:val="left" w:pos="709"/>
        </w:tabs>
        <w:jc w:val="both"/>
        <w:rPr>
          <w:sz w:val="24"/>
          <w:szCs w:val="24"/>
        </w:rPr>
      </w:pPr>
      <w:r w:rsidRPr="009218A2">
        <w:rPr>
          <w:sz w:val="24"/>
          <w:szCs w:val="24"/>
        </w:rPr>
        <w:t xml:space="preserve">MAVIGNIER, R. D.; SILVA, F. D. R.; FERNANDES, S. M. A.; SILVA, R. D. S.; MOURA, S. M. M. Bingo vegetal: atividade lúdica para a fixação de conteúdos de botânica. </w:t>
      </w:r>
      <w:r w:rsidRPr="009218A2">
        <w:rPr>
          <w:b/>
          <w:sz w:val="24"/>
          <w:szCs w:val="24"/>
        </w:rPr>
        <w:t>Revista da SBEnBio</w:t>
      </w:r>
      <w:r w:rsidRPr="009218A2">
        <w:rPr>
          <w:sz w:val="24"/>
          <w:szCs w:val="24"/>
        </w:rPr>
        <w:t>, n. 7, 2014.</w:t>
      </w:r>
    </w:p>
    <w:p w:rsidR="00AB6BDD" w:rsidRPr="009218A2" w:rsidRDefault="00AB6BDD">
      <w:pPr>
        <w:tabs>
          <w:tab w:val="left" w:pos="709"/>
        </w:tabs>
        <w:jc w:val="both"/>
        <w:rPr>
          <w:sz w:val="24"/>
          <w:szCs w:val="24"/>
        </w:rPr>
      </w:pPr>
    </w:p>
    <w:p w:rsidR="00AB6BDD" w:rsidRPr="009218A2" w:rsidRDefault="00085605">
      <w:pPr>
        <w:tabs>
          <w:tab w:val="left" w:pos="709"/>
        </w:tabs>
        <w:jc w:val="both"/>
        <w:rPr>
          <w:sz w:val="24"/>
          <w:szCs w:val="24"/>
        </w:rPr>
      </w:pPr>
      <w:r w:rsidRPr="009218A2">
        <w:rPr>
          <w:sz w:val="24"/>
          <w:szCs w:val="24"/>
        </w:rPr>
        <w:t xml:space="preserve">MIRANDA, S. No fascínio do jogo, a alegria de aprender. </w:t>
      </w:r>
      <w:r w:rsidRPr="009218A2">
        <w:rPr>
          <w:b/>
          <w:sz w:val="24"/>
          <w:szCs w:val="24"/>
        </w:rPr>
        <w:t>Ciência Hoje</w:t>
      </w:r>
      <w:r w:rsidRPr="009218A2">
        <w:rPr>
          <w:sz w:val="24"/>
          <w:szCs w:val="24"/>
        </w:rPr>
        <w:t>, v.28, p. 64-66, 2001.</w:t>
      </w:r>
    </w:p>
    <w:p w:rsidR="00AB6BDD" w:rsidRPr="009218A2" w:rsidRDefault="00AB6BDD">
      <w:pPr>
        <w:tabs>
          <w:tab w:val="left" w:pos="709"/>
        </w:tabs>
        <w:jc w:val="both"/>
        <w:rPr>
          <w:sz w:val="24"/>
          <w:szCs w:val="24"/>
        </w:rPr>
      </w:pPr>
    </w:p>
    <w:p w:rsidR="00AB6BDD" w:rsidRPr="009218A2" w:rsidRDefault="00085605">
      <w:pPr>
        <w:tabs>
          <w:tab w:val="left" w:pos="709"/>
        </w:tabs>
        <w:jc w:val="both"/>
        <w:rPr>
          <w:sz w:val="24"/>
          <w:szCs w:val="24"/>
        </w:rPr>
      </w:pPr>
      <w:bookmarkStart w:id="4" w:name="_Hlk528228117"/>
      <w:r w:rsidRPr="009218A2">
        <w:rPr>
          <w:sz w:val="24"/>
          <w:szCs w:val="24"/>
        </w:rPr>
        <w:t>ROCHA, M. S. P. M. L.; PASQUAL, M. L.; FERREIRA</w:t>
      </w:r>
      <w:bookmarkEnd w:id="4"/>
      <w:r w:rsidRPr="009218A2">
        <w:rPr>
          <w:sz w:val="24"/>
          <w:szCs w:val="24"/>
        </w:rPr>
        <w:t xml:space="preserve">, M. C. Brincadeiras no ensino fundamental: pistas para a formação de professoras. </w:t>
      </w:r>
      <w:r w:rsidRPr="009218A2">
        <w:rPr>
          <w:b/>
          <w:sz w:val="24"/>
          <w:szCs w:val="24"/>
        </w:rPr>
        <w:t>Educação Real</w:t>
      </w:r>
      <w:r w:rsidRPr="009218A2">
        <w:rPr>
          <w:sz w:val="24"/>
          <w:szCs w:val="24"/>
        </w:rPr>
        <w:t>, v. 37, n. 1, p. 213-231, 2012.</w:t>
      </w:r>
    </w:p>
    <w:p w:rsidR="00AB6BDD" w:rsidRPr="009218A2" w:rsidRDefault="00AB6BDD">
      <w:pPr>
        <w:tabs>
          <w:tab w:val="left" w:pos="709"/>
        </w:tabs>
        <w:jc w:val="both"/>
        <w:rPr>
          <w:sz w:val="24"/>
          <w:szCs w:val="24"/>
        </w:rPr>
      </w:pPr>
    </w:p>
    <w:p w:rsidR="0095759E" w:rsidRDefault="0095759E" w:rsidP="0095759E">
      <w:pPr>
        <w:tabs>
          <w:tab w:val="left" w:pos="709"/>
        </w:tabs>
        <w:jc w:val="both"/>
        <w:rPr>
          <w:sz w:val="24"/>
          <w:szCs w:val="24"/>
        </w:rPr>
      </w:pPr>
      <w:r w:rsidRPr="009218A2">
        <w:rPr>
          <w:sz w:val="24"/>
          <w:szCs w:val="24"/>
        </w:rPr>
        <w:t xml:space="preserve">SANTOS, A. C.; CANEVER, C. F.; GIASSI, M. G.; FROTA, P. R. O. A importância do ensino de ciências na percepção de alunos de escolas da rede pública municipal de Criciúma – SC. </w:t>
      </w:r>
      <w:r w:rsidRPr="009218A2">
        <w:rPr>
          <w:b/>
          <w:sz w:val="24"/>
          <w:szCs w:val="24"/>
        </w:rPr>
        <w:t>Revista Univap</w:t>
      </w:r>
      <w:r w:rsidRPr="009218A2">
        <w:rPr>
          <w:sz w:val="24"/>
          <w:szCs w:val="24"/>
        </w:rPr>
        <w:t>, v. 17, n. 30, 2011.</w:t>
      </w:r>
    </w:p>
    <w:p w:rsidR="0095759E" w:rsidRPr="009218A2" w:rsidRDefault="0095759E" w:rsidP="0095759E">
      <w:pPr>
        <w:tabs>
          <w:tab w:val="left" w:pos="709"/>
        </w:tabs>
        <w:jc w:val="both"/>
        <w:rPr>
          <w:sz w:val="24"/>
          <w:szCs w:val="24"/>
        </w:rPr>
      </w:pPr>
    </w:p>
    <w:p w:rsidR="00AB6BDD" w:rsidRPr="009218A2" w:rsidRDefault="00085605">
      <w:pPr>
        <w:tabs>
          <w:tab w:val="left" w:pos="709"/>
        </w:tabs>
        <w:jc w:val="both"/>
        <w:rPr>
          <w:sz w:val="24"/>
          <w:szCs w:val="24"/>
        </w:rPr>
      </w:pPr>
      <w:r w:rsidRPr="009218A2">
        <w:rPr>
          <w:sz w:val="24"/>
          <w:szCs w:val="24"/>
        </w:rPr>
        <w:t>SANTOS, C. J. S.; BRASILEIRO, S. G. S.; LIMA, C. M.; MACIEL, A.; SOUZA, R. D. Ensino de Ciências: Novas abordagens metodológicas para o ensino fundamental</w:t>
      </w:r>
      <w:r w:rsidRPr="009218A2">
        <w:rPr>
          <w:b/>
          <w:sz w:val="24"/>
          <w:szCs w:val="24"/>
        </w:rPr>
        <w:t>. Revista Monografias Ambientais</w:t>
      </w:r>
      <w:r w:rsidRPr="009218A2">
        <w:rPr>
          <w:sz w:val="24"/>
          <w:szCs w:val="24"/>
        </w:rPr>
        <w:t>, v. 14, p. 217-227, 2015.</w:t>
      </w:r>
    </w:p>
    <w:p w:rsidR="00AB6BDD" w:rsidRPr="009218A2" w:rsidRDefault="00AB6BDD">
      <w:pPr>
        <w:tabs>
          <w:tab w:val="left" w:pos="709"/>
        </w:tabs>
        <w:jc w:val="both"/>
        <w:rPr>
          <w:sz w:val="24"/>
          <w:szCs w:val="24"/>
        </w:rPr>
      </w:pPr>
    </w:p>
    <w:p w:rsidR="00AB6BDD" w:rsidRPr="009218A2" w:rsidRDefault="00085605">
      <w:pPr>
        <w:tabs>
          <w:tab w:val="left" w:pos="709"/>
        </w:tabs>
        <w:jc w:val="both"/>
        <w:rPr>
          <w:sz w:val="24"/>
          <w:szCs w:val="24"/>
        </w:rPr>
      </w:pPr>
      <w:r w:rsidRPr="009218A2">
        <w:rPr>
          <w:sz w:val="24"/>
          <w:szCs w:val="24"/>
        </w:rPr>
        <w:t xml:space="preserve">WEINTRAUB, M.; HAWLITSCHEK, P.; JOÃO, S. M. A. Jogo educacional sobre avaliação em fisioterapia: uma nova abordagem acadêmica. </w:t>
      </w:r>
      <w:r w:rsidRPr="009218A2">
        <w:rPr>
          <w:b/>
          <w:sz w:val="24"/>
          <w:szCs w:val="24"/>
        </w:rPr>
        <w:t>Fisioterapia e Pesquisa</w:t>
      </w:r>
      <w:r w:rsidRPr="009218A2">
        <w:rPr>
          <w:sz w:val="24"/>
          <w:szCs w:val="24"/>
        </w:rPr>
        <w:t>, v. 18, n. 3, p. 280-286, 2011.</w:t>
      </w:r>
    </w:p>
    <w:sectPr w:rsidR="00AB6BDD" w:rsidRPr="009218A2">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8B" w:rsidRDefault="005E2E8B">
      <w:r>
        <w:separator/>
      </w:r>
    </w:p>
  </w:endnote>
  <w:endnote w:type="continuationSeparator" w:id="0">
    <w:p w:rsidR="005E2E8B" w:rsidRDefault="005E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anumGothic">
    <w:charset w:val="00"/>
    <w:family w:val="auto"/>
    <w:pitch w:val="variable"/>
    <w:sig w:usb0="A00002EF"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BDD" w:rsidRDefault="00085605">
    <w:pPr>
      <w:pStyle w:val="Rodap"/>
    </w:pPr>
    <w:r>
      <w:rPr>
        <w:noProof/>
      </w:rPr>
      <w:drawing>
        <wp:inline distT="0" distB="0" distL="0" distR="0">
          <wp:extent cx="5867400" cy="581025"/>
          <wp:effectExtent l="0" t="0" r="0" b="9525"/>
          <wp:docPr id="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orage/emulated/0/.polaris_temp/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68035" cy="581660"/>
                  </a:xfrm>
                  <a:prstGeom prst="rect">
                    <a:avLst/>
                  </a:prstGeom>
                  <a:noFill/>
                  <a:ln cap="flat">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8B" w:rsidRDefault="005E2E8B">
      <w:r>
        <w:separator/>
      </w:r>
    </w:p>
  </w:footnote>
  <w:footnote w:type="continuationSeparator" w:id="0">
    <w:p w:rsidR="005E2E8B" w:rsidRDefault="005E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BDD" w:rsidRDefault="00085605">
    <w:pPr>
      <w:pStyle w:val="Cabealho"/>
      <w:pBdr>
        <w:bottom w:val="single" w:sz="4" w:space="1" w:color="000000"/>
      </w:pBdr>
    </w:pPr>
    <w:r>
      <w:rPr>
        <w:noProof/>
      </w:rPr>
      <mc:AlternateContent>
        <mc:Choice Requires="wps">
          <w:drawing>
            <wp:anchor distT="0" distB="0" distL="114300" distR="114300" simplePos="0" relativeHeight="251624962" behindDoc="0" locked="0" layoutInCell="1" allowOverlap="1">
              <wp:simplePos x="0" y="0"/>
              <wp:positionH relativeFrom="column">
                <wp:posOffset>2973075</wp:posOffset>
              </wp:positionH>
              <wp:positionV relativeFrom="paragraph">
                <wp:posOffset>-153674</wp:posOffset>
              </wp:positionV>
              <wp:extent cx="3030220" cy="418465"/>
              <wp:effectExtent l="0" t="0" r="3175" b="190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855" cy="419100"/>
                      </a:xfrm>
                      <a:prstGeom prst="rect">
                        <a:avLst/>
                      </a:prstGeom>
                      <a:noFill/>
                      <a:ln cap="flat">
                        <a:noFill/>
                      </a:ln>
                    </wps:spPr>
                    <wps:txbx>
                      <w:txbxContent>
                        <w:p w:rsidR="00AB6BDD" w:rsidRDefault="00085605">
                          <w:pPr>
                            <w:pStyle w:val="Rodap"/>
                            <w:spacing w:line="276" w:lineRule="auto"/>
                            <w:jc w:val="right"/>
                          </w:pPr>
                          <w:r>
                            <w:t>Belém (PA), 28 a 30 de novembro de 2018</w:t>
                          </w:r>
                        </w:p>
                        <w:p w:rsidR="00AB6BDD" w:rsidRDefault="00085605">
                          <w:pPr>
                            <w:pStyle w:val="Rodap"/>
                            <w:tabs>
                              <w:tab w:val="left" w:pos="3802"/>
                              <w:tab w:val="center" w:pos="4535"/>
                            </w:tabs>
                            <w:spacing w:line="276" w:lineRule="auto"/>
                            <w:jc w:val="right"/>
                          </w:pPr>
                          <w:r>
                            <w:t>ISSN 2316-7637</w:t>
                          </w:r>
                        </w:p>
                        <w:p w:rsidR="00AB6BDD" w:rsidRDefault="00AB6BDD">
                          <w:pPr>
                            <w:pStyle w:val="Rodap"/>
                            <w:tabs>
                              <w:tab w:val="left" w:pos="3802"/>
                              <w:tab w:val="center" w:pos="4535"/>
                            </w:tabs>
                            <w:spacing w:line="276" w:lineRule="auto"/>
                            <w:jc w:val="right"/>
                            <w:rPr>
                              <w:i/>
                            </w:rPr>
                          </w:pP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249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fzPAIAAHAEAAAOAAAAZHJzL2Uyb0RvYy54bWysVEtv2zAMvg/YfxB0X+y8ttaIU2QpMgwI&#10;2gJt0TMjy7ExWdQkJXb360fJThp0Ow27yKL48fmRXtx0jWJHaV2NOufjUcqZ1AKLWu9z/vy0+XTF&#10;mfOgC1CoZc5fpeM3y48fFq3J5AQrVIW0jJxol7Um55X3JksSJyrZgBuhkZqUJdoGPIl2nxQWWvLe&#10;qGSSpp+TFm1hLArpHL3e9kq+jP7LUgp/X5ZOeqZyTrn5eNp47sKZLBeQ7S2YqhZDGvAPWTRQawp6&#10;dnULHtjB1n+4amph0WHpRwKbBMuyFjLWQNWM03fVPFZgZKyFmuPMuU3u/7kVd8cHy+oi51PONDRE&#10;0RrqDlgh2ZPsPLJJ6FFrXEbQR0Ng333FjriO9TqzRfHDESS5wPQGjtChJ11pm/ClahkZEg2v59ZT&#10;CCbocZpO06v5nDNButn4epxGbpI3a2Od/yaxYeGSc0vUxgzguHU+xIfsBAnBNG5qpSK9SjMBNFul&#10;gt7krCMbpYfU+2xDEb7bdUPNOyxeqWSL/eA4IzY1hd+C8w9gaVKoGJp+f09HqbDNOQ43ziq0v/72&#10;HvBEIGk5a2nycu5+HsBKztR3TdRej2ezMKpRmM2/TEiwl5rdpUYfmjXScI9pz4yI14D36nQtLTYv&#10;tCSrEJVUoAXFzrk/Xde+3wdaMiFXqwg6GFvvKzIgtzSoBvxWPxoRdKG5odFP3QtYM7Dhicc7PM0r&#10;ZO9I6bFDo/ueDgKNdaRuWMGwN5dyRL39KJa/AQAA//8DAFBLAwQUAAYACAAAACEAo1Pph94AAAAK&#10;AQAADwAAAGRycy9kb3ducmV2LnhtbEyPwU7DMAyG70i8Q2QkbluyKhtbaTohEFcQg03iljVeW9E4&#10;VZOt5e0xJ7jZ+j/9/lxsJ9+JCw6xDWRgMVcgkKrgWqoNfLw/z9YgYrLkbBcIDXxjhG15fVXY3IWR&#10;3vCyS7XgEoq5NdCk1OdSxqpBb+M89EicncLgbeJ1qKUb7MjlvpOZUivpbUt8obE9PjZYfe3O3sD+&#10;5fR50Oq1fvLLfgyTkuQ30pjbm+nhHkTCKf3B8KvP6lCy0zGcyUXRGdCrdcaogVmmeWBio5caxJGj&#10;xR3IspD/Xyh/AAAA//8DAFBLAQItABQABgAIAAAAIQC2gziS/gAAAOEBAAATAAAAAAAAAAAAAAAA&#10;AAAAAABbQ29udGVudF9UeXBlc10ueG1sUEsBAi0AFAAGAAgAAAAhADj9If/WAAAAlAEAAAsAAAAA&#10;AAAAAAAAAAAALwEAAF9yZWxzLy5yZWxzUEsBAi0AFAAGAAgAAAAhABRih/M8AgAAcAQAAA4AAAAA&#10;AAAAAAAAAAAALgIAAGRycy9lMm9Eb2MueG1sUEsBAi0AFAAGAAgAAAAhAKNT6YfeAAAACgEAAA8A&#10;AAAAAAAAAAAAAAAAlgQAAGRycy9kb3ducmV2LnhtbFBLBQYAAAAABAAEAPMAAAChBQAAAAA=&#10;" filled="f" stroked="f">
              <v:textbox>
                <w:txbxContent>
                  <w:p w:rsidR="00AB6BDD" w:rsidRDefault="00085605">
                    <w:pPr>
                      <w:pStyle w:val="Rodap"/>
                      <w:spacing w:line="276" w:lineRule="auto"/>
                      <w:jc w:val="right"/>
                    </w:pPr>
                    <w:r>
                      <w:t>Belém (PA), 28 a 30 de novembro de 2018</w:t>
                    </w:r>
                  </w:p>
                  <w:p w:rsidR="00AB6BDD" w:rsidRDefault="00085605">
                    <w:pPr>
                      <w:pStyle w:val="Rodap"/>
                      <w:tabs>
                        <w:tab w:val="left" w:pos="3802"/>
                        <w:tab w:val="center" w:pos="4535"/>
                      </w:tabs>
                      <w:spacing w:line="276" w:lineRule="auto"/>
                      <w:jc w:val="right"/>
                    </w:pPr>
                    <w:r>
                      <w:t>ISSN 2316-7637</w:t>
                    </w:r>
                  </w:p>
                  <w:p w:rsidR="00AB6BDD" w:rsidRDefault="00AB6BDD">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0" distB="0" distL="114300" distR="114300" simplePos="0" relativeHeight="251624959" behindDoc="1" locked="0" layoutInCell="1" allowOverlap="1">
              <wp:simplePos x="0" y="0"/>
              <wp:positionH relativeFrom="column">
                <wp:posOffset>-329569</wp:posOffset>
              </wp:positionH>
              <wp:positionV relativeFrom="paragraph">
                <wp:posOffset>-258449</wp:posOffset>
              </wp:positionV>
              <wp:extent cx="2388870" cy="635"/>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635"/>
                      </a:xfrm>
                      <a:prstGeom prst="rect">
                        <a:avLst/>
                      </a:prstGeom>
                      <a:solidFill>
                        <a:prstClr val="white"/>
                      </a:solidFill>
                      <a:ln cap="flat">
                        <a:noFill/>
                      </a:ln>
                    </wps:spPr>
                    <wps:txbx>
                      <w:txbxContent>
                        <w:p w:rsidR="00AB6BDD" w:rsidRDefault="00085605">
                          <w:r>
                            <w:rPr>
                              <w:noProof/>
                            </w:rPr>
                            <w:drawing>
                              <wp:inline distT="0" distB="0" distL="0" distR="0">
                                <wp:extent cx="1786255" cy="565150"/>
                                <wp:effectExtent l="0" t="0" r="5080" b="635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86890" cy="565785"/>
                                        </a:xfrm>
                                        <a:prstGeom prst="rect">
                                          <a:avLst/>
                                        </a:prstGeom>
                                        <a:noFill/>
                                        <a:ln cap="flat">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8.1pt;height:.05pt;z-index:-25169152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r9VgIAAKoEAAAOAAAAZHJzL2Uyb0RvYy54bWysVMFuGjEQvVfqP1i+lwUCaYJYIkqUqhJK&#10;IkGU8+D1sla9Htc27KZf37F3SWjaU9WLsXee33jem2F+09aaHaXzCk3OR4MhZ9IILJTZ5/xpe/fp&#10;ijMfwBSg0cicv0jPbxYfP8wbO5NjrFAX0jEiMX7W2JxXIdhZlnlRyRr8AK00FCzR1RDo6PZZ4aAh&#10;9lpn4+HwMmvQFdahkN7T19suyBeJvyylCA9l6WVgOuf0tpBWl9ZdXLPFHGZ7B7ZSon8G/MMralCG&#10;kr5S3UIAdnDqD6paCYceyzAQWGdYlkrIVANVMxq+q2ZTgZWpFhLH21eZ/P+jFffHR8dUkfMpZwZq&#10;smgFqgVWSLaVbUA2jho11s8IurEEDu0XbMnrVK+3axTfPUGyM0x3wRM6atKWro6/VC2ji2TDy6v0&#10;lIIJ+ji+uLqeDukNgmKXF9OYNHu7ap0PXyXWLG5y7sjXlB6Oax866AkSM3nUqrhTWsdDDKy0Y0eg&#10;HmgqFWRP/htKGyaAGrDU0FEbjAQdtzZ9fV1JsdLQ7tqk2+ikzw6LF5LHYddk3oo7RanX4MMjOOoq&#10;KpwmJTzQUmpsco79jrMK3c+/fY94MpuinDXUpTn3Pw7gJGf6m6E2uB5NJrGt02Ey/TymgzuP7M4j&#10;5lCvkEQY0UxakbYRH/RpWzqsn2mgljErhcAIyp3zcNquQjc7NJBCLpcJdLBO7Su6QLTU1BbC2mys&#10;iLGT/Nv2GZztzQvk+T2eehtm7zzssMlFuzwEciEZHDXvFO6toIFILdIPb5y483NCvf3FLH4BAAD/&#10;/wMAUEsDBBQABgAIAAAAIQCjtkhK4AAAAAsBAAAPAAAAZHJzL2Rvd25yZXYueG1sTI9NT4NAEIbv&#10;Jv6HzZh4Me0CrVWRpalfF2+tmHicwhRQdpaw2xb99Y5e9DYfT955JluOtlMHGnzr2EA8jUARl65q&#10;uTZQvDxNrkH5gFxh55gMfJKHZX56kmFauSOv6bAJtZIQ9ikaaELoU6192ZBFP3U9sex2brAYpB1q&#10;XQ14lHDb6SSKFtpiy3KhwZ7uGyo/Nntr4OuueFg9XoR4l4S35HVtn4vyHY05PxtXt6ACjeEPhh99&#10;UYdcnLZuz5VXnYHJZXwjqBTz6AqUELNkPgO1/Z0sQOeZ/v9D/g0AAP//AwBQSwECLQAUAAYACAAA&#10;ACEAtoM4kv4AAADhAQAAEwAAAAAAAAAAAAAAAAAAAAAAW0NvbnRlbnRfVHlwZXNdLnhtbFBLAQIt&#10;ABQABgAIAAAAIQA4/SH/1gAAAJQBAAALAAAAAAAAAAAAAAAAAC8BAABfcmVscy8ucmVsc1BLAQIt&#10;ABQABgAIAAAAIQAwxer9VgIAAKoEAAAOAAAAAAAAAAAAAAAAAC4CAABkcnMvZTJvRG9jLnhtbFBL&#10;AQItABQABgAIAAAAIQCjtkhK4AAAAAsBAAAPAAAAAAAAAAAAAAAAALAEAABkcnMvZG93bnJldi54&#10;bWxQSwUGAAAAAAQABADzAAAAvQUAAAAA&#10;" stroked="f">
              <v:textbox style="mso-fit-shape-to-text:t">
                <w:txbxContent>
                  <w:p w:rsidR="00AB6BDD" w:rsidRDefault="00085605">
                    <w:r>
                      <w:rPr>
                        <w:noProof/>
                      </w:rPr>
                      <w:drawing>
                        <wp:inline distT="0" distB="0" distL="0" distR="0">
                          <wp:extent cx="1786255" cy="565150"/>
                          <wp:effectExtent l="0" t="0" r="5080" b="635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86890" cy="565785"/>
                                  </a:xfrm>
                                  <a:prstGeom prst="rect">
                                    <a:avLst/>
                                  </a:prstGeom>
                                  <a:noFill/>
                                  <a:ln cap="flat">
                                    <a:noFill/>
                                  </a:ln>
                                </pic:spPr>
                              </pic:pic>
                            </a:graphicData>
                          </a:graphic>
                        </wp:inline>
                      </w:drawing>
                    </w:r>
                  </w:p>
                </w:txbxContent>
              </v:textbox>
            </v:shape>
          </w:pict>
        </mc:Fallback>
      </mc:AlternateContent>
    </w:r>
    <w:r>
      <w:t xml:space="preserve">el </w:t>
    </w:r>
  </w:p>
  <w:p w:rsidR="00AB6BDD" w:rsidRDefault="00AB6BDD">
    <w:pPr>
      <w:pStyle w:val="Cabealho"/>
      <w:pBdr>
        <w:bottom w:val="single" w:sz="4" w:space="1" w:color="000000"/>
      </w:pBdr>
    </w:pPr>
  </w:p>
  <w:p w:rsidR="00AB6BDD" w:rsidRDefault="00AB6BDD">
    <w:pPr>
      <w:pStyle w:val="Cabealho"/>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85AE22B"/>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5708730D"/>
    <w:lvl w:ilvl="0" w:tplc="F7C60DF4">
      <w:start w:val="1"/>
      <w:numFmt w:val="bullet"/>
      <w:lvlText w:val="·"/>
      <w:lvlJc w:val="left"/>
      <w:pPr>
        <w:ind w:left="720" w:hanging="360"/>
      </w:pPr>
      <w:rPr>
        <w:rFonts w:ascii="Symbol" w:eastAsia="Symbol" w:hAnsi="Symbol"/>
        <w:w w:val="100"/>
        <w:sz w:val="20"/>
        <w:szCs w:val="20"/>
        <w:shd w:val="clear" w:color="auto" w:fill="auto"/>
      </w:rPr>
    </w:lvl>
    <w:lvl w:ilvl="1" w:tplc="8FD2E1DC">
      <w:start w:val="1"/>
      <w:numFmt w:val="bullet"/>
      <w:lvlText w:val="o"/>
      <w:lvlJc w:val="left"/>
      <w:pPr>
        <w:ind w:left="1440" w:hanging="360"/>
      </w:pPr>
      <w:rPr>
        <w:rFonts w:ascii="Courier New" w:eastAsia="Courier New" w:hAnsi="Courier New"/>
        <w:w w:val="100"/>
        <w:sz w:val="20"/>
        <w:szCs w:val="20"/>
        <w:shd w:val="clear" w:color="auto" w:fill="auto"/>
      </w:rPr>
    </w:lvl>
    <w:lvl w:ilvl="2" w:tplc="3CAAA14A">
      <w:start w:val="1"/>
      <w:numFmt w:val="bullet"/>
      <w:lvlText w:val="§"/>
      <w:lvlJc w:val="left"/>
      <w:pPr>
        <w:ind w:left="2160" w:hanging="360"/>
      </w:pPr>
      <w:rPr>
        <w:rFonts w:ascii="Wingdings" w:eastAsia="Wingdings" w:hAnsi="Wingdings"/>
        <w:w w:val="100"/>
        <w:sz w:val="20"/>
        <w:szCs w:val="20"/>
        <w:shd w:val="clear" w:color="auto" w:fill="auto"/>
      </w:rPr>
    </w:lvl>
    <w:lvl w:ilvl="3" w:tplc="0CBCC76C">
      <w:start w:val="1"/>
      <w:numFmt w:val="bullet"/>
      <w:lvlText w:val="·"/>
      <w:lvlJc w:val="left"/>
      <w:pPr>
        <w:ind w:left="2880" w:hanging="360"/>
      </w:pPr>
      <w:rPr>
        <w:rFonts w:ascii="Symbol" w:eastAsia="Symbol" w:hAnsi="Symbol"/>
        <w:w w:val="100"/>
        <w:sz w:val="20"/>
        <w:szCs w:val="20"/>
        <w:shd w:val="clear" w:color="auto" w:fill="auto"/>
      </w:rPr>
    </w:lvl>
    <w:lvl w:ilvl="4" w:tplc="1A440EEA">
      <w:start w:val="1"/>
      <w:numFmt w:val="bullet"/>
      <w:lvlText w:val="o"/>
      <w:lvlJc w:val="left"/>
      <w:pPr>
        <w:ind w:left="3600" w:hanging="360"/>
      </w:pPr>
      <w:rPr>
        <w:rFonts w:ascii="Courier New" w:eastAsia="Courier New" w:hAnsi="Courier New"/>
        <w:w w:val="100"/>
        <w:sz w:val="20"/>
        <w:szCs w:val="20"/>
        <w:shd w:val="clear" w:color="auto" w:fill="auto"/>
      </w:rPr>
    </w:lvl>
    <w:lvl w:ilvl="5" w:tplc="704C7E76">
      <w:start w:val="1"/>
      <w:numFmt w:val="bullet"/>
      <w:lvlText w:val="§"/>
      <w:lvlJc w:val="left"/>
      <w:pPr>
        <w:ind w:left="4320" w:hanging="360"/>
      </w:pPr>
      <w:rPr>
        <w:rFonts w:ascii="Wingdings" w:eastAsia="Wingdings" w:hAnsi="Wingdings"/>
        <w:w w:val="100"/>
        <w:sz w:val="20"/>
        <w:szCs w:val="20"/>
        <w:shd w:val="clear" w:color="auto" w:fill="auto"/>
      </w:rPr>
    </w:lvl>
    <w:lvl w:ilvl="6" w:tplc="E5024492">
      <w:start w:val="1"/>
      <w:numFmt w:val="bullet"/>
      <w:lvlText w:val="·"/>
      <w:lvlJc w:val="left"/>
      <w:pPr>
        <w:ind w:left="5040" w:hanging="360"/>
      </w:pPr>
      <w:rPr>
        <w:rFonts w:ascii="Symbol" w:eastAsia="Symbol" w:hAnsi="Symbol"/>
        <w:w w:val="100"/>
        <w:sz w:val="20"/>
        <w:szCs w:val="20"/>
        <w:shd w:val="clear" w:color="auto" w:fill="auto"/>
      </w:rPr>
    </w:lvl>
    <w:lvl w:ilvl="7" w:tplc="1CA8B692">
      <w:start w:val="1"/>
      <w:numFmt w:val="bullet"/>
      <w:lvlText w:val="o"/>
      <w:lvlJc w:val="left"/>
      <w:pPr>
        <w:ind w:left="5760" w:hanging="360"/>
      </w:pPr>
      <w:rPr>
        <w:rFonts w:ascii="Courier New" w:eastAsia="Courier New" w:hAnsi="Courier New"/>
        <w:w w:val="100"/>
        <w:sz w:val="20"/>
        <w:szCs w:val="20"/>
        <w:shd w:val="clear" w:color="auto" w:fill="auto"/>
      </w:rPr>
    </w:lvl>
    <w:lvl w:ilvl="8" w:tplc="A3A6816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00000003"/>
    <w:multiLevelType w:val="multilevel"/>
    <w:tmpl w:val="683C7A4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4.%3."/>
      <w:lvlJc w:val="left"/>
      <w:pPr>
        <w:ind w:left="1224" w:hanging="504"/>
      </w:pPr>
      <w:rPr>
        <w:rFonts w:ascii="Times New Roman" w:eastAsia="Times New Roman" w:hAnsi="Times New Roman"/>
        <w:w w:val="100"/>
        <w:sz w:val="20"/>
        <w:szCs w:val="20"/>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4B70D6"/>
    <w:multiLevelType w:val="hybridMultilevel"/>
    <w:tmpl w:val="604363B6"/>
    <w:lvl w:ilvl="0" w:tplc="BC883D58">
      <w:start w:val="1"/>
      <w:numFmt w:val="decimal"/>
      <w:lvlText w:val="(%1)"/>
      <w:lvlJc w:val="left"/>
      <w:pPr>
        <w:ind w:left="720" w:hanging="360"/>
      </w:pPr>
    </w:lvl>
    <w:lvl w:ilvl="1" w:tplc="B8644E2A">
      <w:start w:val="1"/>
      <w:numFmt w:val="lowerLetter"/>
      <w:lvlText w:val="%2."/>
      <w:lvlJc w:val="left"/>
      <w:pPr>
        <w:ind w:left="1440" w:hanging="360"/>
      </w:pPr>
    </w:lvl>
    <w:lvl w:ilvl="2" w:tplc="0B227916">
      <w:start w:val="1"/>
      <w:numFmt w:val="lowerRoman"/>
      <w:lvlText w:val="%3."/>
      <w:lvlJc w:val="right"/>
      <w:pPr>
        <w:ind w:left="2160" w:hanging="180"/>
      </w:pPr>
    </w:lvl>
    <w:lvl w:ilvl="3" w:tplc="A3FED70C">
      <w:start w:val="1"/>
      <w:numFmt w:val="decimal"/>
      <w:lvlText w:val="%4."/>
      <w:lvlJc w:val="left"/>
      <w:pPr>
        <w:ind w:left="2880" w:hanging="360"/>
      </w:pPr>
    </w:lvl>
    <w:lvl w:ilvl="4" w:tplc="77A43378">
      <w:start w:val="1"/>
      <w:numFmt w:val="lowerLetter"/>
      <w:lvlText w:val="%5."/>
      <w:lvlJc w:val="left"/>
      <w:pPr>
        <w:ind w:left="3600" w:hanging="360"/>
      </w:pPr>
    </w:lvl>
    <w:lvl w:ilvl="5" w:tplc="071875B0">
      <w:start w:val="1"/>
      <w:numFmt w:val="lowerRoman"/>
      <w:lvlText w:val="%6."/>
      <w:lvlJc w:val="right"/>
      <w:pPr>
        <w:ind w:left="4320" w:hanging="180"/>
      </w:pPr>
    </w:lvl>
    <w:lvl w:ilvl="6" w:tplc="506A713E">
      <w:start w:val="1"/>
      <w:numFmt w:val="decimal"/>
      <w:lvlText w:val="%7."/>
      <w:lvlJc w:val="left"/>
      <w:pPr>
        <w:ind w:left="5040" w:hanging="360"/>
      </w:pPr>
    </w:lvl>
    <w:lvl w:ilvl="7" w:tplc="E5684E2C">
      <w:start w:val="1"/>
      <w:numFmt w:val="lowerLetter"/>
      <w:lvlText w:val="%8."/>
      <w:lvlJc w:val="left"/>
      <w:pPr>
        <w:ind w:left="5760" w:hanging="360"/>
      </w:pPr>
    </w:lvl>
    <w:lvl w:ilvl="8" w:tplc="7A720BEC">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DD"/>
    <w:rsid w:val="00085605"/>
    <w:rsid w:val="000F1843"/>
    <w:rsid w:val="001F56ED"/>
    <w:rsid w:val="00407B9F"/>
    <w:rsid w:val="005E2E8B"/>
    <w:rsid w:val="0080666E"/>
    <w:rsid w:val="008B1824"/>
    <w:rsid w:val="009218A2"/>
    <w:rsid w:val="0095759E"/>
    <w:rsid w:val="00A36F56"/>
    <w:rsid w:val="00A650FE"/>
    <w:rsid w:val="00AB6BDD"/>
    <w:rsid w:val="00B63FE5"/>
    <w:rsid w:val="00ED3F5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72B7E"/>
  <w15:docId w15:val="{45EFC6F8-62E3-4614-9097-F2254CAB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26"/>
    <w:qFormat/>
    <w:pPr>
      <w:ind w:left="720"/>
    </w:pPr>
    <w:rPr>
      <w:rFonts w:ascii="Calibri" w:eastAsia="Calibri" w:hAnsi="Calibri"/>
      <w:sz w:val="22"/>
      <w:szCs w:val="22"/>
    </w:rPr>
  </w:style>
  <w:style w:type="table" w:styleId="Tabelacomgrade">
    <w:name w:val="Table Grid"/>
    <w:basedOn w:val="Tabelanormal"/>
    <w:uiPriority w:val="37"/>
    <w:rPr>
      <w:rFonts w:ascii="NanumGothic" w:hAnsi="Nanum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Pr>
      <w:sz w:val="24"/>
      <w:szCs w:val="24"/>
    </w:rPr>
  </w:style>
  <w:style w:type="character" w:customStyle="1" w:styleId="CorpodetextoChar">
    <w:name w:val="Corpo de texto Char"/>
    <w:link w:val="Corpodetexto"/>
    <w:rPr>
      <w:rFonts w:ascii="Times New Roman" w:eastAsia="Times New Roman" w:hAnsi="Times New Roman"/>
      <w:w w:val="100"/>
      <w:sz w:val="24"/>
      <w:szCs w:val="24"/>
      <w:shd w:val="clear" w:color="auto" w:fill="auto"/>
    </w:rPr>
  </w:style>
  <w:style w:type="paragraph" w:styleId="Corpodetexto3">
    <w:name w:val="Body Text 3"/>
    <w:basedOn w:val="Normal"/>
    <w:link w:val="Corpodetexto3Char"/>
    <w:pPr>
      <w:jc w:val="both"/>
    </w:pPr>
    <w:rPr>
      <w:sz w:val="24"/>
      <w:szCs w:val="24"/>
    </w:rPr>
  </w:style>
  <w:style w:type="character" w:customStyle="1" w:styleId="Corpodetexto3Char">
    <w:name w:val="Corpo de texto 3 Char"/>
    <w:link w:val="Corpodetexto3"/>
    <w:rPr>
      <w:rFonts w:ascii="Times New Roman" w:eastAsia="Times New Roman" w:hAnsi="Times New Roman"/>
      <w:w w:val="100"/>
      <w:sz w:val="24"/>
      <w:szCs w:val="24"/>
      <w:shd w:val="clear" w:color="auto" w:fill="auto"/>
    </w:rPr>
  </w:style>
  <w:style w:type="character" w:styleId="Hyperlink">
    <w:name w:val="Hyperlink"/>
    <w:unhideWhenUsed/>
    <w:rPr>
      <w:color w:val="0000FF"/>
      <w:w w:val="100"/>
      <w:sz w:val="20"/>
      <w:szCs w:val="20"/>
      <w:u w:val="single"/>
      <w:shd w:val="clear" w:color="auto" w:fill="auto"/>
    </w:rPr>
  </w:style>
  <w:style w:type="paragraph" w:styleId="Cabealho">
    <w:name w:val="header"/>
    <w:basedOn w:val="Normal"/>
    <w:link w:val="CabealhoChar"/>
    <w:unhideWhenUsed/>
    <w:pPr>
      <w:tabs>
        <w:tab w:val="center" w:pos="4252"/>
        <w:tab w:val="right" w:pos="8504"/>
      </w:tabs>
    </w:pPr>
  </w:style>
  <w:style w:type="character" w:customStyle="1" w:styleId="CabealhoChar">
    <w:name w:val="Cabeçalho Char"/>
    <w:link w:val="Cabealho"/>
    <w:rPr>
      <w:rFonts w:ascii="Times New Roman" w:eastAsia="Times New Roman" w:hAnsi="Times New Roman"/>
      <w:w w:val="100"/>
      <w:sz w:val="20"/>
      <w:szCs w:val="20"/>
      <w:shd w:val="clear" w:color="auto" w:fill="auto"/>
    </w:rPr>
  </w:style>
  <w:style w:type="paragraph" w:styleId="Rodap">
    <w:name w:val="footer"/>
    <w:basedOn w:val="Normal"/>
    <w:link w:val="RodapChar"/>
    <w:unhideWhenUsed/>
    <w:pPr>
      <w:tabs>
        <w:tab w:val="center" w:pos="4252"/>
        <w:tab w:val="right" w:pos="8504"/>
      </w:tabs>
    </w:pPr>
  </w:style>
  <w:style w:type="character" w:customStyle="1" w:styleId="RodapChar">
    <w:name w:val="Rodapé Char"/>
    <w:link w:val="Rodap"/>
    <w:rPr>
      <w:rFonts w:ascii="Times New Roman" w:eastAsia="Times New Roman" w:hAnsi="Times New Roman"/>
      <w:w w:val="100"/>
      <w:sz w:val="20"/>
      <w:szCs w:val="20"/>
      <w:shd w:val="clear" w:color="auto" w:fill="auto"/>
    </w:rPr>
  </w:style>
  <w:style w:type="paragraph" w:styleId="Textodebalo">
    <w:name w:val="Balloon Text"/>
    <w:basedOn w:val="Normal"/>
    <w:link w:val="TextodebaloChar"/>
    <w:semiHidden/>
    <w:unhideWhenUsed/>
    <w:rPr>
      <w:rFonts w:ascii="Tahoma" w:eastAsia="Tahoma" w:hAnsi="Tahoma"/>
      <w:sz w:val="16"/>
      <w:szCs w:val="16"/>
    </w:rPr>
  </w:style>
  <w:style w:type="character" w:customStyle="1" w:styleId="TextodebaloChar">
    <w:name w:val="Texto de balão Char"/>
    <w:link w:val="Textodebalo"/>
    <w:semiHidden/>
    <w:rPr>
      <w:rFonts w:ascii="Tahoma" w:eastAsia="Tahoma" w:hAnsi="Tahoma"/>
      <w:w w:val="100"/>
      <w:sz w:val="16"/>
      <w:szCs w:val="16"/>
      <w:shd w:val="clear" w:color="auto" w:fill="auto"/>
    </w:rPr>
  </w:style>
  <w:style w:type="paragraph" w:styleId="Textodenotaderodap">
    <w:name w:val="footnote text"/>
    <w:basedOn w:val="Normal"/>
    <w:link w:val="TextodenotaderodapChar"/>
    <w:semiHidden/>
    <w:unhideWhenUsed/>
    <w:rPr>
      <w:rFonts w:ascii="Calibri" w:eastAsia="Calibri" w:hAnsi="Calibri"/>
    </w:rPr>
  </w:style>
  <w:style w:type="character" w:customStyle="1" w:styleId="TextodenotaderodapChar">
    <w:name w:val="Texto de nota de rodapé Char"/>
    <w:link w:val="Textodenotaderodap"/>
    <w:semiHidden/>
    <w:rPr>
      <w:w w:val="100"/>
      <w:sz w:val="20"/>
      <w:szCs w:val="20"/>
      <w:shd w:val="clear" w:color="auto" w:fill="auto"/>
    </w:rPr>
  </w:style>
  <w:style w:type="character" w:styleId="Refdenotaderodap">
    <w:name w:val="footnote reference"/>
    <w:semiHidden/>
    <w:unhideWhenUsed/>
    <w:rPr>
      <w:w w:val="100"/>
      <w:sz w:val="20"/>
      <w:szCs w:val="20"/>
      <w:shd w:val="clear" w:color="auto" w:fill="auto"/>
      <w:vertAlign w:val="superscript"/>
    </w:rPr>
  </w:style>
  <w:style w:type="paragraph" w:customStyle="1" w:styleId="Default">
    <w:name w:val="Default"/>
    <w:rPr>
      <w:rFonts w:ascii="NanumGothic" w:eastAsia="Calibri" w:hAnsi="NanumGothic"/>
      <w:color w:val="000000"/>
      <w:sz w:val="24"/>
      <w:szCs w:val="24"/>
    </w:rPr>
  </w:style>
  <w:style w:type="paragraph" w:styleId="Legenda">
    <w:name w:val="caption"/>
    <w:basedOn w:val="Normal"/>
    <w:next w:val="Normal"/>
    <w:unhideWhenUsed/>
    <w:qFormat/>
    <w:rPr>
      <w:rFonts w:ascii="Calibri" w:eastAsia="Calibri" w:hAnsi="Calibri"/>
      <w:i/>
      <w:color w:val="1F497D"/>
      <w:sz w:val="18"/>
      <w:szCs w:val="18"/>
    </w:rPr>
  </w:style>
  <w:style w:type="table" w:customStyle="1" w:styleId="Tabelacomgrade1">
    <w:name w:val="Tabela com grade1"/>
    <w:basedOn w:val="Tabelanormal"/>
    <w:next w:val="Tabelacomgra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semiHidden/>
    <w:unhideWhenUsed/>
    <w:rPr>
      <w:color w:val="605E5C"/>
      <w:w w:val="100"/>
      <w:sz w:val="20"/>
      <w:szCs w:val="20"/>
      <w:shd w:val="clear" w:color="000000"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rayol@hot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h.jeanny09@gmail.com"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riquimica2015@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abc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nchor="ctr" anchorCtr="1"/>
          <a:lstStyle/>
          <a:p>
            <a:pPr>
              <a:defRPr sz="1050" b="1" i="0" u="none" baseline="0">
                <a:solidFill>
                  <a:srgbClr val="000000"/>
                </a:solidFill>
                <a:latin typeface="NanumGothic"/>
                <a:ea typeface="NanumGothic"/>
              </a:defRPr>
            </a:pPr>
            <a:r>
              <a:rPr lang="ko-KR" altLang="en-US" sz="1050" b="1" i="0" u="none" baseline="0">
                <a:solidFill>
                  <a:srgbClr val="000000"/>
                </a:solidFill>
                <a:latin typeface="NanumGothic"/>
                <a:ea typeface="NanumGothic"/>
              </a:rPr>
              <a:t>Quais recursos didáticos seu professor de ciências mais utiliza?</a:t>
            </a:r>
          </a:p>
        </c:rich>
      </c:tx>
      <c:overlay val="0"/>
      <c:spPr>
        <a:noFill/>
        <a:ln>
          <a:noFill/>
          <a:round/>
        </a:ln>
      </c:spPr>
    </c:title>
    <c:autoTitleDeleted val="0"/>
    <c:plotArea>
      <c:layout/>
      <c:barChart>
        <c:barDir val="bar"/>
        <c:grouping val="clustered"/>
        <c:varyColors val="0"/>
        <c:ser>
          <c:idx val="0"/>
          <c:order val="0"/>
          <c:spPr>
            <a:solidFill>
              <a:srgbClr val="000000"/>
            </a:solidFill>
            <a:ln>
              <a:noFill/>
              <a:round/>
            </a:ln>
          </c:spPr>
          <c:invertIfNegative val="0"/>
          <c:dLbls>
            <c:spPr>
              <a:noFill/>
              <a:ln>
                <a:noFill/>
              </a:ln>
              <a:effectLst/>
            </c:spPr>
            <c:txPr>
              <a:bodyPr rot="0" vert="horz" anchor="ctr" anchorCtr="1"/>
              <a:lstStyle/>
              <a:p>
                <a:pPr>
                  <a:defRPr sz="900" b="0" i="0" u="none" baseline="0">
                    <a:solidFill>
                      <a:srgbClr val="000000"/>
                    </a:solidFill>
                    <a:latin typeface="Arial"/>
                    <a:ea typeface="Arial"/>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[]Planilha1!$A$8:$A$14</c:f>
              <c:strCache>
                <c:ptCount val="7"/>
                <c:pt idx="0">
                  <c:v>Outros</c:v>
                </c:pt>
                <c:pt idx="1">
                  <c:v>Experimentação</c:v>
                </c:pt>
                <c:pt idx="2">
                  <c:v>Data-show</c:v>
                </c:pt>
                <c:pt idx="3">
                  <c:v>Modelagem </c:v>
                </c:pt>
                <c:pt idx="4">
                  <c:v>Jogos</c:v>
                </c:pt>
                <c:pt idx="5">
                  <c:v>Quadro branco e pincel</c:v>
                </c:pt>
                <c:pt idx="6">
                  <c:v>Livro</c:v>
                </c:pt>
              </c:strCache>
            </c:strRef>
          </c:cat>
          <c:val>
            <c:numRef>
              <c:f>[]Planilha1!$B$8:$B$14</c:f>
              <c:numCache>
                <c:formatCode>General</c:formatCode>
                <c:ptCount val="7"/>
                <c:pt idx="0">
                  <c:v>2</c:v>
                </c:pt>
                <c:pt idx="1">
                  <c:v>0</c:v>
                </c:pt>
                <c:pt idx="2">
                  <c:v>1</c:v>
                </c:pt>
                <c:pt idx="3">
                  <c:v>0</c:v>
                </c:pt>
                <c:pt idx="4">
                  <c:v>5</c:v>
                </c:pt>
                <c:pt idx="5">
                  <c:v>21</c:v>
                </c:pt>
                <c:pt idx="6">
                  <c:v>22</c:v>
                </c:pt>
              </c:numCache>
            </c:numRef>
          </c:val>
          <c:extLst>
            <c:ext xmlns:c16="http://schemas.microsoft.com/office/drawing/2014/chart" uri="{C3380CC4-5D6E-409C-BE32-E72D297353CC}">
              <c16:uniqueId val="{00000000-934C-4B30-9613-E9266E8F3B43}"/>
            </c:ext>
          </c:extLst>
        </c:ser>
        <c:dLbls>
          <c:showLegendKey val="0"/>
          <c:showVal val="0"/>
          <c:showCatName val="0"/>
          <c:showSerName val="0"/>
          <c:showPercent val="0"/>
          <c:showBubbleSize val="0"/>
        </c:dLbls>
        <c:gapWidth val="150"/>
        <c:overlap val="-25"/>
        <c:axId val="1111"/>
        <c:axId val="2222"/>
      </c:barChart>
      <c:catAx>
        <c:axId val="1111"/>
        <c:scaling>
          <c:orientation val="minMax"/>
        </c:scaling>
        <c:delete val="0"/>
        <c:axPos val="l"/>
        <c:title>
          <c:tx>
            <c:rich>
              <a:bodyPr rot="-5400000" vert="horz" anchor="ctr" anchorCtr="1"/>
              <a:lstStyle/>
              <a:p>
                <a:pPr>
                  <a:defRPr sz="900" b="0" i="0" u="none" baseline="0">
                    <a:solidFill>
                      <a:sysClr val="windowText" lastClr="000000"/>
                    </a:solidFill>
                    <a:latin typeface="NanumGothic"/>
                    <a:ea typeface="NanumGothic"/>
                  </a:defRPr>
                </a:pPr>
                <a:r>
                  <a:rPr lang="ko-KR" altLang="en-US" sz="900" b="0" i="0" u="none" baseline="0">
                    <a:solidFill>
                      <a:sysClr val="windowText" lastClr="000000"/>
                    </a:solidFill>
                    <a:latin typeface="NanumGothic"/>
                    <a:ea typeface="NanumGothic"/>
                  </a:rPr>
                  <a:t>Recursos didáticos listados </a:t>
                </a:r>
              </a:p>
            </c:rich>
          </c:tx>
          <c:overlay val="0"/>
          <c:spPr>
            <a:noFill/>
            <a:ln>
              <a:noFill/>
              <a:round/>
            </a:ln>
          </c:spPr>
        </c:title>
        <c:numFmt formatCode="General" sourceLinked="0"/>
        <c:majorTickMark val="none"/>
        <c:minorTickMark val="none"/>
        <c:tickLblPos val="nextTo"/>
        <c:spPr>
          <a:noFill/>
          <a:ln w="9525" cap="flat">
            <a:solidFill>
              <a:srgbClr val="000000"/>
            </a:solidFill>
            <a:round/>
          </a:ln>
        </c:spPr>
        <c:txPr>
          <a:bodyPr/>
          <a:lstStyle/>
          <a:p>
            <a:pPr>
              <a:defRPr sz="1000" b="0" i="0" u="none" baseline="0">
                <a:solidFill>
                  <a:srgbClr val="000000"/>
                </a:solidFill>
                <a:latin typeface="Arial"/>
                <a:ea typeface="Arial"/>
              </a:defRPr>
            </a:pPr>
            <a:endParaRPr lang="pt-BR"/>
          </a:p>
        </c:txPr>
        <c:crossAx val="2222"/>
        <c:crosses val="autoZero"/>
        <c:auto val="1"/>
        <c:lblAlgn val="ctr"/>
        <c:lblOffset val="100"/>
        <c:tickMarkSkip val="1"/>
        <c:noMultiLvlLbl val="0"/>
      </c:catAx>
      <c:valAx>
        <c:axId val="2222"/>
        <c:scaling>
          <c:orientation val="minMax"/>
        </c:scaling>
        <c:delete val="1"/>
        <c:axPos val="b"/>
        <c:title>
          <c:tx>
            <c:rich>
              <a:bodyPr rot="0" vert="horz" anchor="ctr" anchorCtr="1"/>
              <a:lstStyle/>
              <a:p>
                <a:pPr>
                  <a:defRPr sz="900" b="0" i="0" u="none" baseline="0">
                    <a:solidFill>
                      <a:srgbClr val="000000"/>
                    </a:solidFill>
                    <a:latin typeface="NanumGothic"/>
                    <a:ea typeface="NanumGothic"/>
                  </a:defRPr>
                </a:pPr>
                <a:r>
                  <a:rPr lang="ko-KR" altLang="en-US" sz="900" b="0" i="0" u="none" baseline="0">
                    <a:solidFill>
                      <a:srgbClr val="000000"/>
                    </a:solidFill>
                    <a:latin typeface="NanumGothic"/>
                    <a:ea typeface="NanumGothic"/>
                  </a:rPr>
                  <a:t>nº de alunos participantes</a:t>
                </a:r>
              </a:p>
            </c:rich>
          </c:tx>
          <c:overlay val="0"/>
          <c:spPr>
            <a:noFill/>
            <a:ln>
              <a:noFill/>
              <a:round/>
            </a:ln>
          </c:spPr>
        </c:title>
        <c:numFmt formatCode="General" sourceLinked="1"/>
        <c:majorTickMark val="none"/>
        <c:minorTickMark val="none"/>
        <c:tickLblPos val="nextTo"/>
        <c:crossAx val="1111"/>
        <c:crosses val="autoZero"/>
        <c:crossBetween val="between"/>
      </c:valAx>
      <c:spPr>
        <a:noFill/>
        <a:ln>
          <a:noFill/>
          <a:round/>
        </a:ln>
      </c:spPr>
    </c:plotArea>
    <c:plotVisOnly val="1"/>
    <c:dispBlanksAs val="gap"/>
    <c:showDLblsOverMax val="0"/>
  </c:chart>
  <c:spPr>
    <a:solidFill>
      <a:srgbClr val="FFFFFF"/>
    </a:solidFill>
    <a:ln>
      <a:noFill/>
    </a:ln>
  </c:spPr>
  <c:txPr>
    <a:bodyPr/>
    <a:lstStyle/>
    <a:p>
      <a:pPr>
        <a:defRPr sz="1000" b="0" i="0" u="none" baseline="0">
          <a:solidFill>
            <a:srgbClr val="000000"/>
          </a:solidFill>
          <a:latin typeface="Arial"/>
          <a:ea typeface="Arial"/>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2439</Words>
  <Characters>13171</Characters>
  <Application>Microsoft Office Word</Application>
  <DocSecurity>0</DocSecurity>
  <Lines>109</Lines>
  <Paragraphs>31</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Grizli777</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Junior Rayol</cp:lastModifiedBy>
  <cp:revision>10</cp:revision>
  <dcterms:created xsi:type="dcterms:W3CDTF">2018-11-01T00:03:00Z</dcterms:created>
  <dcterms:modified xsi:type="dcterms:W3CDTF">2018-11-01T00:39:00Z</dcterms:modified>
</cp:coreProperties>
</file>