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5FEFB" w14:textId="26494852" w:rsidR="00D963E3" w:rsidRPr="00E96B1B" w:rsidRDefault="00136471">
      <w:pPr>
        <w:pStyle w:val="Title"/>
        <w:rPr>
          <w:i w:val="0"/>
          <w:lang w:val="es-CO"/>
        </w:rPr>
      </w:pPr>
      <w:r>
        <w:rPr>
          <w:lang w:val="es-CO"/>
        </w:rPr>
        <w:t xml:space="preserve">EXPLORANDO LOS </w:t>
      </w:r>
      <w:r w:rsidR="00E96B1B" w:rsidRPr="00E96B1B">
        <w:rPr>
          <w:lang w:val="es-CO"/>
        </w:rPr>
        <w:t>DETERMINANTES DE LA TRANSICIÓN ENERGETICA EN LATINOAMERICA</w:t>
      </w:r>
      <w:r w:rsidR="00E96B1B">
        <w:rPr>
          <w:lang w:val="es-CO"/>
        </w:rPr>
        <w:t>: UN ANALISIS MULTIVARIADO Y ECONOMETRICO</w:t>
      </w:r>
    </w:p>
    <w:p w14:paraId="7DB3DB71" w14:textId="77777777" w:rsidR="00D963E3" w:rsidRPr="002A0BC9" w:rsidRDefault="00000000">
      <w:pPr>
        <w:pStyle w:val="BodyText"/>
        <w:rPr>
          <w:sz w:val="24"/>
          <w:lang w:val="es-CO"/>
        </w:rPr>
      </w:pPr>
      <w:r w:rsidRPr="002A0BC9">
        <w:rPr>
          <w:lang w:val="es-CO"/>
        </w:rPr>
        <w:br w:type="column"/>
      </w:r>
    </w:p>
    <w:p w14:paraId="77F66C58" w14:textId="77777777" w:rsidR="00D963E3" w:rsidRPr="002A0BC9" w:rsidRDefault="00D963E3">
      <w:pPr>
        <w:pStyle w:val="BodyText"/>
        <w:rPr>
          <w:sz w:val="24"/>
          <w:lang w:val="es-CO"/>
        </w:rPr>
      </w:pPr>
    </w:p>
    <w:p w14:paraId="43A75432" w14:textId="77777777" w:rsidR="00D963E3" w:rsidRPr="002A0BC9" w:rsidRDefault="00D963E3">
      <w:pPr>
        <w:pStyle w:val="BodyText"/>
        <w:spacing w:before="10"/>
        <w:rPr>
          <w:sz w:val="23"/>
          <w:lang w:val="es-CO"/>
        </w:rPr>
      </w:pPr>
    </w:p>
    <w:p w14:paraId="0F32FC49" w14:textId="77777777" w:rsidR="00136471" w:rsidRDefault="00136471" w:rsidP="00E96B1B">
      <w:pPr>
        <w:pStyle w:val="BodyText"/>
        <w:spacing w:before="1"/>
        <w:ind w:left="112" w:right="103" w:firstLine="64"/>
        <w:jc w:val="right"/>
        <w:rPr>
          <w:lang w:val="es-CO"/>
        </w:rPr>
      </w:pPr>
    </w:p>
    <w:p w14:paraId="0D5C8C4F" w14:textId="77777777" w:rsidR="00136471" w:rsidRDefault="00136471" w:rsidP="00E96B1B">
      <w:pPr>
        <w:pStyle w:val="BodyText"/>
        <w:spacing w:before="1"/>
        <w:ind w:left="112" w:right="103" w:firstLine="64"/>
        <w:jc w:val="right"/>
        <w:rPr>
          <w:lang w:val="es-CO"/>
        </w:rPr>
      </w:pPr>
    </w:p>
    <w:p w14:paraId="1FE43044" w14:textId="320538B0" w:rsidR="00136471" w:rsidRDefault="00E96B1B" w:rsidP="00E96B1B">
      <w:pPr>
        <w:pStyle w:val="BodyText"/>
        <w:spacing w:before="1"/>
        <w:ind w:left="112" w:right="103" w:firstLine="64"/>
        <w:jc w:val="right"/>
        <w:rPr>
          <w:lang w:val="es-CO"/>
        </w:rPr>
      </w:pPr>
      <w:r w:rsidRPr="00E96B1B">
        <w:rPr>
          <w:lang w:val="es-CO"/>
        </w:rPr>
        <w:t xml:space="preserve">Milton Fernando Angulo Camargo, Universidad Militar Nueva Granada, 3102146079, </w:t>
      </w:r>
      <w:hyperlink r:id="rId6" w:history="1">
        <w:r w:rsidRPr="00E96B1B">
          <w:rPr>
            <w:rStyle w:val="Hyperlink"/>
            <w:lang w:val="es-CO"/>
          </w:rPr>
          <w:t>milton.anguloc@unimilitar.edu.co</w:t>
        </w:r>
      </w:hyperlink>
      <w:r w:rsidRPr="00E96B1B">
        <w:rPr>
          <w:lang w:val="es-CO"/>
        </w:rPr>
        <w:t xml:space="preserve"> </w:t>
      </w:r>
      <w:r w:rsidRPr="00E96B1B">
        <w:rPr>
          <w:w w:val="99"/>
          <w:lang w:val="es-CO"/>
        </w:rPr>
        <w:t xml:space="preserve"> </w:t>
      </w:r>
    </w:p>
    <w:p w14:paraId="0555CF1F" w14:textId="101C656A" w:rsidR="00D963E3" w:rsidRPr="00E96B1B" w:rsidRDefault="00E96B1B" w:rsidP="00E96B1B">
      <w:pPr>
        <w:pStyle w:val="BodyText"/>
        <w:spacing w:before="1"/>
        <w:ind w:left="112" w:right="103" w:firstLine="64"/>
        <w:jc w:val="right"/>
        <w:rPr>
          <w:lang w:val="es-CO"/>
        </w:rPr>
      </w:pPr>
      <w:r w:rsidRPr="00E96B1B">
        <w:rPr>
          <w:lang w:val="es-CO"/>
        </w:rPr>
        <w:t>Milton M</w:t>
      </w:r>
      <w:r w:rsidR="00136471">
        <w:rPr>
          <w:lang w:val="es-CO"/>
        </w:rPr>
        <w:t>.</w:t>
      </w:r>
      <w:r w:rsidRPr="00E96B1B">
        <w:rPr>
          <w:lang w:val="es-CO"/>
        </w:rPr>
        <w:t xml:space="preserve"> Herrera, Universidad Militar Nueva Granada, 31</w:t>
      </w:r>
      <w:r>
        <w:rPr>
          <w:lang w:val="es-CO"/>
        </w:rPr>
        <w:t>68723990</w:t>
      </w:r>
      <w:r w:rsidRPr="00E96B1B">
        <w:rPr>
          <w:lang w:val="es-CO"/>
        </w:rPr>
        <w:t xml:space="preserve">, </w:t>
      </w:r>
      <w:hyperlink r:id="rId7" w:history="1">
        <w:r w:rsidRPr="003E1462">
          <w:rPr>
            <w:rStyle w:val="Hyperlink"/>
            <w:lang w:val="es-CO"/>
          </w:rPr>
          <w:t>milton.herrera@unimilitar.edu.co</w:t>
        </w:r>
      </w:hyperlink>
      <w:r w:rsidRPr="00E96B1B">
        <w:rPr>
          <w:w w:val="99"/>
          <w:lang w:val="es-CO"/>
        </w:rPr>
        <w:t xml:space="preserve"> </w:t>
      </w:r>
    </w:p>
    <w:p w14:paraId="47F77A47" w14:textId="77777777" w:rsidR="00D963E3" w:rsidRPr="00E96B1B" w:rsidRDefault="00D963E3">
      <w:pPr>
        <w:jc w:val="right"/>
        <w:rPr>
          <w:lang w:val="es-CO"/>
        </w:rPr>
        <w:sectPr w:rsidR="00D963E3" w:rsidRPr="00E96B1B" w:rsidSect="00BF1817">
          <w:type w:val="continuous"/>
          <w:pgSz w:w="12240" w:h="15840"/>
          <w:pgMar w:top="1240" w:right="620" w:bottom="280" w:left="600" w:header="720" w:footer="720" w:gutter="0"/>
          <w:cols w:num="2" w:space="720" w:equalWidth="0">
            <w:col w:w="6778" w:space="49"/>
            <w:col w:w="4193"/>
          </w:cols>
        </w:sectPr>
      </w:pPr>
    </w:p>
    <w:p w14:paraId="7C1AE176" w14:textId="77777777" w:rsidR="00D963E3" w:rsidRPr="002A0BC9" w:rsidRDefault="00D963E3">
      <w:pPr>
        <w:pStyle w:val="BodyText"/>
        <w:rPr>
          <w:sz w:val="22"/>
          <w:lang w:val="es-CO"/>
        </w:rPr>
      </w:pPr>
    </w:p>
    <w:p w14:paraId="2B809F0C" w14:textId="03837288" w:rsidR="00D963E3" w:rsidRPr="002A0BC9" w:rsidRDefault="00136471" w:rsidP="00136471">
      <w:pPr>
        <w:pStyle w:val="Heading1"/>
        <w:ind w:left="0"/>
        <w:rPr>
          <w:lang w:val="es-CO"/>
        </w:rPr>
      </w:pPr>
      <w:r>
        <w:rPr>
          <w:lang w:val="es-CO"/>
        </w:rPr>
        <w:tab/>
        <w:t>Resumen</w:t>
      </w:r>
    </w:p>
    <w:p w14:paraId="00626A07" w14:textId="77777777" w:rsidR="00D963E3" w:rsidRPr="002A0BC9" w:rsidRDefault="00D963E3">
      <w:pPr>
        <w:pStyle w:val="BodyText"/>
        <w:rPr>
          <w:rFonts w:ascii="Arial"/>
          <w:b/>
          <w:lang w:val="es-CO"/>
        </w:rPr>
      </w:pPr>
    </w:p>
    <w:p w14:paraId="5A8A39C6" w14:textId="56628236" w:rsidR="00E97346" w:rsidRPr="00E97346" w:rsidRDefault="00E97346" w:rsidP="00E97346">
      <w:pPr>
        <w:pStyle w:val="BodyText"/>
        <w:ind w:left="720"/>
        <w:jc w:val="both"/>
        <w:rPr>
          <w:rFonts w:ascii="Times" w:hAnsi="Times"/>
          <w:bCs/>
          <w:lang w:val="es-CO"/>
        </w:rPr>
      </w:pPr>
      <w:r w:rsidRPr="00E97346">
        <w:rPr>
          <w:rFonts w:ascii="Times" w:hAnsi="Times"/>
          <w:bCs/>
          <w:lang w:val="es-CO"/>
        </w:rPr>
        <w:t>En el contexto latinoamericano, la transición hacia las energías renovables y la descarbonización se enfrenta a diversos desafíos</w:t>
      </w:r>
      <w:r w:rsidR="00136471">
        <w:rPr>
          <w:rFonts w:ascii="Times" w:hAnsi="Times"/>
          <w:bCs/>
          <w:lang w:val="es-CO"/>
        </w:rPr>
        <w:t xml:space="preserve"> y oportunidades</w:t>
      </w:r>
      <w:r w:rsidR="00AB5BD7">
        <w:rPr>
          <w:rFonts w:ascii="Times" w:hAnsi="Times"/>
          <w:bCs/>
          <w:lang w:val="es-CO"/>
        </w:rPr>
        <w:t xml:space="preserve"> </w:t>
      </w:r>
      <w:sdt>
        <w:sdtPr>
          <w:rPr>
            <w:rFonts w:ascii="Times" w:hAnsi="Times"/>
            <w:bCs/>
            <w:lang w:val="es-CO"/>
          </w:rPr>
          <w:id w:val="-1281868191"/>
          <w:citation/>
        </w:sdtPr>
        <w:sdtContent>
          <w:r w:rsidR="00CB535A">
            <w:rPr>
              <w:rFonts w:ascii="Times" w:hAnsi="Times"/>
              <w:bCs/>
              <w:lang w:val="es-CO"/>
            </w:rPr>
            <w:fldChar w:fldCharType="begin"/>
          </w:r>
          <w:r w:rsidR="00EA2046">
            <w:rPr>
              <w:rFonts w:ascii="Times" w:hAnsi="Times"/>
              <w:bCs/>
              <w:lang w:val="es-MX"/>
            </w:rPr>
            <w:instrText xml:space="preserve">CITATION CEP23 \t  \l 2058 </w:instrText>
          </w:r>
          <w:r w:rsidR="00CB535A">
            <w:rPr>
              <w:rFonts w:ascii="Times" w:hAnsi="Times"/>
              <w:bCs/>
              <w:lang w:val="es-CO"/>
            </w:rPr>
            <w:fldChar w:fldCharType="separate"/>
          </w:r>
          <w:r w:rsidR="00EA2046" w:rsidRPr="00EA2046">
            <w:rPr>
              <w:rFonts w:ascii="Times" w:hAnsi="Times"/>
              <w:noProof/>
              <w:lang w:val="es-MX"/>
            </w:rPr>
            <w:t>(CEPAL, 2023)</w:t>
          </w:r>
          <w:r w:rsidR="00CB535A">
            <w:rPr>
              <w:rFonts w:ascii="Times" w:hAnsi="Times"/>
              <w:bCs/>
              <w:lang w:val="es-CO"/>
            </w:rPr>
            <w:fldChar w:fldCharType="end"/>
          </w:r>
        </w:sdtContent>
      </w:sdt>
      <w:r w:rsidR="00CB535A">
        <w:rPr>
          <w:rFonts w:ascii="Times" w:hAnsi="Times"/>
          <w:bCs/>
          <w:lang w:val="es-CO"/>
        </w:rPr>
        <w:t xml:space="preserve">. </w:t>
      </w:r>
      <w:r w:rsidR="00136471">
        <w:rPr>
          <w:rFonts w:ascii="Times" w:hAnsi="Times"/>
          <w:bCs/>
          <w:lang w:val="es-CO"/>
        </w:rPr>
        <w:t>En este sentido, los países en vía de desarrollo enfrentan múltiples dificultades para lograr la transición energética en el corto plazo. Este artículo presenta u</w:t>
      </w:r>
      <w:r w:rsidRPr="00E97346">
        <w:rPr>
          <w:rFonts w:ascii="Times" w:hAnsi="Times"/>
          <w:bCs/>
          <w:lang w:val="es-CO"/>
        </w:rPr>
        <w:t>n estudio</w:t>
      </w:r>
      <w:r w:rsidR="001C3653">
        <w:rPr>
          <w:rFonts w:ascii="Times" w:hAnsi="Times"/>
          <w:bCs/>
          <w:lang w:val="es-CO"/>
        </w:rPr>
        <w:t xml:space="preserve"> sobre los determinantes </w:t>
      </w:r>
      <w:r w:rsidR="001C3653" w:rsidRPr="00E97346">
        <w:rPr>
          <w:rFonts w:ascii="Times" w:hAnsi="Times"/>
          <w:bCs/>
          <w:lang w:val="es-CO"/>
        </w:rPr>
        <w:t xml:space="preserve">gubernamentales, sociales, económicos y ambientales relacionados con </w:t>
      </w:r>
      <w:r w:rsidR="001C3653">
        <w:rPr>
          <w:rFonts w:ascii="Times" w:hAnsi="Times"/>
          <w:bCs/>
          <w:lang w:val="es-CO"/>
        </w:rPr>
        <w:t>la</w:t>
      </w:r>
      <w:r w:rsidR="001C3653" w:rsidRPr="00E97346">
        <w:rPr>
          <w:rFonts w:ascii="Times" w:hAnsi="Times"/>
          <w:bCs/>
          <w:lang w:val="es-CO"/>
        </w:rPr>
        <w:t xml:space="preserve"> transición en </w:t>
      </w:r>
      <w:r w:rsidR="001C3653">
        <w:rPr>
          <w:rFonts w:ascii="Times" w:hAnsi="Times"/>
          <w:bCs/>
          <w:lang w:val="es-CO"/>
        </w:rPr>
        <w:t>Latinoamérica</w:t>
      </w:r>
      <w:r w:rsidRPr="00E97346">
        <w:rPr>
          <w:rFonts w:ascii="Times" w:hAnsi="Times"/>
          <w:bCs/>
          <w:lang w:val="es-CO"/>
        </w:rPr>
        <w:t xml:space="preserve"> </w:t>
      </w:r>
      <w:r w:rsidR="00136471">
        <w:rPr>
          <w:rFonts w:ascii="Times" w:hAnsi="Times"/>
          <w:bCs/>
          <w:lang w:val="es-CO"/>
        </w:rPr>
        <w:t>que</w:t>
      </w:r>
      <w:r w:rsidRPr="00E97346">
        <w:rPr>
          <w:rFonts w:ascii="Times" w:hAnsi="Times"/>
          <w:bCs/>
          <w:lang w:val="es-CO"/>
        </w:rPr>
        <w:t xml:space="preserve"> abarca el periodo de 2010 a 2020.</w:t>
      </w:r>
      <w:r w:rsidR="000B2CCA">
        <w:rPr>
          <w:rFonts w:ascii="Times" w:hAnsi="Times"/>
          <w:bCs/>
          <w:lang w:val="es-CO"/>
        </w:rPr>
        <w:t xml:space="preserve"> </w:t>
      </w:r>
      <w:r w:rsidR="0010423A">
        <w:rPr>
          <w:rFonts w:ascii="Times" w:hAnsi="Times"/>
          <w:bCs/>
          <w:lang w:val="es-CO"/>
        </w:rPr>
        <w:t>De</w:t>
      </w:r>
      <w:r w:rsidR="008E5C3B">
        <w:rPr>
          <w:rFonts w:ascii="Times" w:hAnsi="Times"/>
          <w:bCs/>
          <w:lang w:val="es-CO"/>
        </w:rPr>
        <w:t xml:space="preserve"> </w:t>
      </w:r>
      <w:r w:rsidR="0010423A">
        <w:rPr>
          <w:rFonts w:ascii="Times" w:hAnsi="Times"/>
          <w:bCs/>
          <w:lang w:val="es-CO"/>
        </w:rPr>
        <w:t xml:space="preserve">lo anterior surge la pregunta: </w:t>
      </w:r>
      <w:r w:rsidR="0010423A" w:rsidRPr="0010423A">
        <w:rPr>
          <w:rFonts w:ascii="Times" w:hAnsi="Times"/>
          <w:bCs/>
          <w:lang w:val="es-CO"/>
        </w:rPr>
        <w:t xml:space="preserve">¿Cuáles son </w:t>
      </w:r>
      <w:r w:rsidR="0010423A">
        <w:rPr>
          <w:rFonts w:ascii="Times" w:hAnsi="Times"/>
          <w:bCs/>
          <w:lang w:val="es-CO"/>
        </w:rPr>
        <w:t>los determinantes</w:t>
      </w:r>
      <w:r w:rsidR="0010423A" w:rsidRPr="0010423A">
        <w:rPr>
          <w:rFonts w:ascii="Times" w:hAnsi="Times"/>
          <w:bCs/>
          <w:lang w:val="es-CO"/>
        </w:rPr>
        <w:t xml:space="preserve"> en políticas gubernamentales y condiciones territoriales que podrían afectar la transición energética en Latinoamérica?</w:t>
      </w:r>
      <w:r w:rsidR="0010423A">
        <w:rPr>
          <w:rFonts w:ascii="Times" w:hAnsi="Times"/>
          <w:bCs/>
          <w:lang w:val="es-CO"/>
        </w:rPr>
        <w:t xml:space="preserve">, para responder se </w:t>
      </w:r>
      <w:r w:rsidR="000B2CCA">
        <w:rPr>
          <w:rFonts w:ascii="Times" w:hAnsi="Times"/>
          <w:bCs/>
          <w:lang w:val="es-CO"/>
        </w:rPr>
        <w:t>realiz</w:t>
      </w:r>
      <w:r w:rsidR="00EA2046">
        <w:rPr>
          <w:rFonts w:ascii="Times" w:hAnsi="Times"/>
          <w:bCs/>
          <w:lang w:val="es-CO"/>
        </w:rPr>
        <w:t>ó</w:t>
      </w:r>
      <w:r w:rsidR="000B2CCA">
        <w:rPr>
          <w:rFonts w:ascii="Times" w:hAnsi="Times"/>
          <w:bCs/>
          <w:lang w:val="es-CO"/>
        </w:rPr>
        <w:t xml:space="preserve"> un análisis multivariado y econométrico que permite identificar posibles determinantes de la transición</w:t>
      </w:r>
      <w:r w:rsidR="0010423A">
        <w:rPr>
          <w:rFonts w:ascii="Times" w:hAnsi="Times"/>
          <w:bCs/>
          <w:lang w:val="es-CO"/>
        </w:rPr>
        <w:t>.</w:t>
      </w:r>
    </w:p>
    <w:p w14:paraId="03D759B8" w14:textId="77777777" w:rsidR="00E97346" w:rsidRPr="00E97346" w:rsidRDefault="00E97346" w:rsidP="00E97346">
      <w:pPr>
        <w:pStyle w:val="BodyText"/>
        <w:ind w:left="720"/>
        <w:jc w:val="both"/>
        <w:rPr>
          <w:rFonts w:ascii="Times" w:hAnsi="Times"/>
          <w:bCs/>
          <w:lang w:val="es-CO"/>
        </w:rPr>
      </w:pPr>
    </w:p>
    <w:p w14:paraId="7799A236" w14:textId="29BE5B5D" w:rsidR="00E97346" w:rsidRPr="00E97346" w:rsidRDefault="00E97346" w:rsidP="00E97346">
      <w:pPr>
        <w:pStyle w:val="BodyText"/>
        <w:ind w:left="720"/>
        <w:jc w:val="both"/>
        <w:rPr>
          <w:rFonts w:ascii="Times" w:hAnsi="Times"/>
          <w:bCs/>
          <w:lang w:val="es-CO"/>
        </w:rPr>
      </w:pPr>
      <w:r w:rsidRPr="00E97346">
        <w:rPr>
          <w:rFonts w:ascii="Times" w:hAnsi="Times"/>
          <w:bCs/>
          <w:lang w:val="es-CO"/>
        </w:rPr>
        <w:t>Los resultados destacan a Argentina, Brasil y Chile como líderes en investigación, siendo pioneros en la implementación de leyes de eficiencia energética. Además, Brasil, México, Venezuela, Colombia, Argentina y Chile encabezaron las inversiones en</w:t>
      </w:r>
      <w:r w:rsidR="000B2CCA">
        <w:rPr>
          <w:rFonts w:ascii="Times" w:hAnsi="Times"/>
          <w:bCs/>
          <w:lang w:val="es-CO"/>
        </w:rPr>
        <w:t xml:space="preserve"> nuevas capacidades generadas por</w:t>
      </w:r>
      <w:r w:rsidRPr="00E97346">
        <w:rPr>
          <w:rFonts w:ascii="Times" w:hAnsi="Times"/>
          <w:bCs/>
          <w:lang w:val="es-CO"/>
        </w:rPr>
        <w:t xml:space="preserve"> </w:t>
      </w:r>
      <w:r w:rsidR="000B2CCA">
        <w:rPr>
          <w:rFonts w:ascii="Times" w:hAnsi="Times"/>
          <w:bCs/>
          <w:lang w:val="es-CO"/>
        </w:rPr>
        <w:t xml:space="preserve">fuentes de </w:t>
      </w:r>
      <w:r w:rsidRPr="00E97346">
        <w:rPr>
          <w:rFonts w:ascii="Times" w:hAnsi="Times"/>
          <w:bCs/>
          <w:lang w:val="es-CO"/>
        </w:rPr>
        <w:t>energías renovables. Se observa una asociación entre la inversión en Investigación, Desarrollo e Innovación (I+D+i) y condiciones como emisiones de dióxido de carbono, renta per cápita e innovación ambiental, impulsando así la expansión y adopción de energías renovables en la región.</w:t>
      </w:r>
    </w:p>
    <w:p w14:paraId="5BF0DE90" w14:textId="77777777" w:rsidR="00E97346" w:rsidRPr="00E97346" w:rsidRDefault="00E97346" w:rsidP="00E97346">
      <w:pPr>
        <w:pStyle w:val="BodyText"/>
        <w:ind w:left="720"/>
        <w:jc w:val="both"/>
        <w:rPr>
          <w:rFonts w:ascii="Times" w:hAnsi="Times"/>
          <w:bCs/>
          <w:lang w:val="es-CO"/>
        </w:rPr>
      </w:pPr>
    </w:p>
    <w:p w14:paraId="42971859" w14:textId="77777777" w:rsidR="00E97346" w:rsidRPr="00E97346" w:rsidRDefault="00E97346" w:rsidP="00E97346">
      <w:pPr>
        <w:pStyle w:val="BodyText"/>
        <w:ind w:left="720"/>
        <w:jc w:val="both"/>
        <w:rPr>
          <w:rFonts w:ascii="Times" w:hAnsi="Times"/>
          <w:bCs/>
          <w:lang w:val="es-CO"/>
        </w:rPr>
      </w:pPr>
      <w:r w:rsidRPr="00E97346">
        <w:rPr>
          <w:rFonts w:ascii="Times" w:hAnsi="Times"/>
          <w:bCs/>
          <w:lang w:val="es-CO"/>
        </w:rPr>
        <w:t>No obstante, el análisis reveló disparidades notables, especialmente en términos de políticas gubernamentales y condiciones territoriales, resaltando la necesidad de abordar estas brechas para lograr una transición energética más equitativa y efectiva. En respuesta a estos desafíos, se proponen iniciativas que buscan integrar y fortalecer el intercambio de nuevas tecnologías, consolidando un enfoque colaborativo para impulsar la transición energética en Latinoamérica hacia un futuro más sostenible.</w:t>
      </w:r>
    </w:p>
    <w:p w14:paraId="398DE699" w14:textId="77777777" w:rsidR="00E97346" w:rsidRPr="00E97346" w:rsidRDefault="00E97346" w:rsidP="00E97346">
      <w:pPr>
        <w:pStyle w:val="BodyText"/>
        <w:ind w:left="720"/>
        <w:jc w:val="both"/>
        <w:rPr>
          <w:rFonts w:ascii="Times" w:hAnsi="Times"/>
          <w:bCs/>
          <w:lang w:val="es-CO"/>
        </w:rPr>
      </w:pPr>
    </w:p>
    <w:p w14:paraId="13D45460" w14:textId="77777777" w:rsidR="00FC39E6" w:rsidRDefault="00E97346" w:rsidP="00E97346">
      <w:pPr>
        <w:pStyle w:val="BodyText"/>
        <w:ind w:left="720"/>
        <w:jc w:val="both"/>
        <w:rPr>
          <w:rFonts w:ascii="Times" w:hAnsi="Times"/>
          <w:bCs/>
          <w:lang w:val="es-CO"/>
        </w:rPr>
      </w:pPr>
      <w:r w:rsidRPr="00E97346">
        <w:rPr>
          <w:rFonts w:ascii="Times" w:hAnsi="Times"/>
          <w:bCs/>
          <w:lang w:val="es-CO"/>
        </w:rPr>
        <w:t>Una implicación práctica significativa de esta propuesta se centra en demostrar cómo los gobiernos deben diseñar alternativas de política energética alineadas con la promoción de la inversión en I+D para el desarrollo y adopción de tecnologías renovables, mitigando así los efectos del cambio climático. Asimismo, busca formular implicaciones y alternativas de política energética que permitan entender la relación de adopción de las energías renovables en condiciones de baja y alta inversión de I+D+i y su relación con el crecimiento de las emisiones.</w:t>
      </w:r>
    </w:p>
    <w:p w14:paraId="53B5A3B7" w14:textId="77777777" w:rsidR="00D963E3" w:rsidRPr="002F33A7" w:rsidRDefault="00D963E3">
      <w:pPr>
        <w:pStyle w:val="BodyText"/>
        <w:rPr>
          <w:rFonts w:ascii="Arial"/>
          <w:b/>
          <w:sz w:val="23"/>
          <w:lang w:val="es-CO"/>
        </w:rPr>
      </w:pPr>
    </w:p>
    <w:p w14:paraId="7A569033" w14:textId="1CFC245D" w:rsidR="00D963E3" w:rsidRDefault="00B824C7">
      <w:pPr>
        <w:ind w:left="840"/>
        <w:rPr>
          <w:rFonts w:ascii="Arial"/>
          <w:b/>
          <w:sz w:val="24"/>
          <w:lang w:val="es-CO"/>
        </w:rPr>
      </w:pPr>
      <w:r>
        <w:rPr>
          <w:rFonts w:ascii="Arial"/>
          <w:b/>
          <w:sz w:val="24"/>
          <w:lang w:val="es-CO"/>
        </w:rPr>
        <w:t>Enfoque Metodol</w:t>
      </w:r>
      <w:r w:rsidR="0059616D">
        <w:rPr>
          <w:rFonts w:ascii="Arial"/>
          <w:b/>
          <w:sz w:val="24"/>
          <w:lang w:val="es-CO"/>
        </w:rPr>
        <w:t>ó</w:t>
      </w:r>
      <w:r>
        <w:rPr>
          <w:rFonts w:ascii="Arial"/>
          <w:b/>
          <w:sz w:val="24"/>
          <w:lang w:val="es-CO"/>
        </w:rPr>
        <w:t xml:space="preserve">gico  </w:t>
      </w:r>
    </w:p>
    <w:p w14:paraId="65E6E3DE" w14:textId="77777777" w:rsidR="009E1048" w:rsidRPr="009E1048" w:rsidRDefault="009E1048">
      <w:pPr>
        <w:ind w:left="840"/>
        <w:rPr>
          <w:rFonts w:ascii="Arial"/>
          <w:b/>
          <w:sz w:val="24"/>
          <w:lang w:val="es-CO"/>
        </w:rPr>
      </w:pPr>
    </w:p>
    <w:p w14:paraId="1A76C6A2" w14:textId="66AC246D" w:rsidR="008E5C3B" w:rsidRDefault="00E97346" w:rsidP="008E5C3B">
      <w:pPr>
        <w:pStyle w:val="BodyText"/>
        <w:ind w:left="720"/>
        <w:jc w:val="both"/>
        <w:rPr>
          <w:rFonts w:ascii="Times" w:hAnsi="Times"/>
          <w:bCs/>
          <w:lang w:val="es-CO"/>
        </w:rPr>
      </w:pPr>
      <w:r w:rsidRPr="00E97346">
        <w:rPr>
          <w:rFonts w:ascii="Times" w:hAnsi="Times"/>
          <w:bCs/>
          <w:lang w:val="es-CO"/>
        </w:rPr>
        <w:t xml:space="preserve">La metodología empleada en este estudio </w:t>
      </w:r>
      <w:r w:rsidR="00B824C7">
        <w:rPr>
          <w:rFonts w:ascii="Times" w:hAnsi="Times"/>
          <w:bCs/>
          <w:lang w:val="es-CO"/>
        </w:rPr>
        <w:t>está basada en el</w:t>
      </w:r>
      <w:r w:rsidRPr="00E97346">
        <w:rPr>
          <w:rFonts w:ascii="Times" w:hAnsi="Times"/>
          <w:bCs/>
          <w:lang w:val="es-CO"/>
        </w:rPr>
        <w:t xml:space="preserve"> Análisis Comparativo Cualitativo (QCA, por sus siglas en inglés). </w:t>
      </w:r>
      <w:r w:rsidR="008E5C3B" w:rsidRPr="008E5C3B">
        <w:rPr>
          <w:rFonts w:ascii="Times" w:hAnsi="Times"/>
          <w:bCs/>
          <w:lang w:val="es-CO"/>
        </w:rPr>
        <w:t>La metodología QCA se destaca por su capacidad para identificar patrones y relaciones complejas entre variables, permitiendo un análisis más profundo y contextualizado. Como señala Ragin</w:t>
      </w:r>
      <w:r w:rsidR="000F0349" w:rsidRPr="00EA2046">
        <w:rPr>
          <w:rFonts w:ascii="Arial"/>
          <w:b/>
          <w:lang w:val="es-CO"/>
        </w:rPr>
        <w:t xml:space="preserve"> </w:t>
      </w:r>
      <w:sdt>
        <w:sdtPr>
          <w:rPr>
            <w:rFonts w:ascii="Times" w:hAnsi="Times"/>
            <w:bCs/>
            <w:lang w:val="es-CO"/>
          </w:rPr>
          <w:id w:val="1801271826"/>
          <w:citation/>
        </w:sdtPr>
        <w:sdtContent>
          <w:r w:rsidR="000F0349" w:rsidRPr="000F0349">
            <w:rPr>
              <w:rFonts w:ascii="Times" w:hAnsi="Times"/>
              <w:bCs/>
              <w:lang w:val="es-CO"/>
            </w:rPr>
            <w:fldChar w:fldCharType="begin"/>
          </w:r>
          <w:r w:rsidR="000F0349" w:rsidRPr="000F0349">
            <w:rPr>
              <w:rFonts w:ascii="Times" w:hAnsi="Times"/>
              <w:bCs/>
              <w:lang w:val="es-CO"/>
            </w:rPr>
            <w:instrText xml:space="preserve">CITATION Rag89 \n  \t  \l 2058 </w:instrText>
          </w:r>
          <w:r w:rsidR="000F0349" w:rsidRPr="000F0349">
            <w:rPr>
              <w:rFonts w:ascii="Times" w:hAnsi="Times"/>
              <w:bCs/>
              <w:lang w:val="es-CO"/>
            </w:rPr>
            <w:fldChar w:fldCharType="separate"/>
          </w:r>
          <w:r w:rsidR="000F0349" w:rsidRPr="000F0349">
            <w:rPr>
              <w:rFonts w:ascii="Times" w:hAnsi="Times"/>
              <w:bCs/>
              <w:lang w:val="es-CO"/>
            </w:rPr>
            <w:t>(1989)</w:t>
          </w:r>
          <w:r w:rsidR="000F0349" w:rsidRPr="000F0349">
            <w:rPr>
              <w:rFonts w:ascii="Times" w:hAnsi="Times"/>
              <w:bCs/>
              <w:lang w:val="es-CO"/>
            </w:rPr>
            <w:fldChar w:fldCharType="end"/>
          </w:r>
        </w:sdtContent>
      </w:sdt>
      <w:r w:rsidR="008E5C3B" w:rsidRPr="008E5C3B">
        <w:rPr>
          <w:rFonts w:ascii="Times" w:hAnsi="Times"/>
          <w:bCs/>
          <w:lang w:val="es-CO"/>
        </w:rPr>
        <w:t>, el QCA va más allá de simplemente establecer correlaciones, ya que se centra en entender las combinaciones específicas de condiciones que llevan a resultados particulares.</w:t>
      </w:r>
      <w:r w:rsidR="008E5C3B">
        <w:rPr>
          <w:rFonts w:ascii="Times" w:hAnsi="Times"/>
          <w:bCs/>
          <w:lang w:val="es-CO"/>
        </w:rPr>
        <w:t xml:space="preserve"> Además e</w:t>
      </w:r>
      <w:r w:rsidR="008E5C3B" w:rsidRPr="008E5C3B">
        <w:rPr>
          <w:rFonts w:ascii="Times" w:hAnsi="Times"/>
          <w:bCs/>
          <w:lang w:val="es-CO"/>
        </w:rPr>
        <w:t xml:space="preserve">l QCA es adecuado para un enfoque integral que abarque diferentes aspectos. Según Schneider y Wagemann </w:t>
      </w:r>
      <w:sdt>
        <w:sdtPr>
          <w:rPr>
            <w:rFonts w:ascii="Times" w:hAnsi="Times"/>
            <w:bCs/>
            <w:lang w:val="es-CO"/>
          </w:rPr>
          <w:id w:val="914905881"/>
          <w:citation/>
        </w:sdtPr>
        <w:sdtContent>
          <w:r w:rsidR="000F0349">
            <w:rPr>
              <w:rFonts w:ascii="Times" w:hAnsi="Times"/>
              <w:bCs/>
              <w:lang w:val="es-CO"/>
            </w:rPr>
            <w:fldChar w:fldCharType="begin"/>
          </w:r>
          <w:r w:rsidR="000F0349">
            <w:rPr>
              <w:rFonts w:ascii="Times" w:hAnsi="Times"/>
              <w:bCs/>
              <w:lang w:val="es-MX"/>
            </w:rPr>
            <w:instrText xml:space="preserve">CITATION Sch12 \n  \t  \l 2058 </w:instrText>
          </w:r>
          <w:r w:rsidR="000F0349">
            <w:rPr>
              <w:rFonts w:ascii="Times" w:hAnsi="Times"/>
              <w:bCs/>
              <w:lang w:val="es-CO"/>
            </w:rPr>
            <w:fldChar w:fldCharType="separate"/>
          </w:r>
          <w:r w:rsidR="000F0349" w:rsidRPr="000F0349">
            <w:rPr>
              <w:rFonts w:ascii="Times" w:hAnsi="Times"/>
              <w:noProof/>
              <w:lang w:val="es-MX"/>
            </w:rPr>
            <w:t>(2012)</w:t>
          </w:r>
          <w:r w:rsidR="000F0349">
            <w:rPr>
              <w:rFonts w:ascii="Times" w:hAnsi="Times"/>
              <w:bCs/>
              <w:lang w:val="es-CO"/>
            </w:rPr>
            <w:fldChar w:fldCharType="end"/>
          </w:r>
        </w:sdtContent>
      </w:sdt>
      <w:r w:rsidR="008E5C3B" w:rsidRPr="008E5C3B">
        <w:rPr>
          <w:rFonts w:ascii="Times" w:hAnsi="Times"/>
          <w:bCs/>
          <w:lang w:val="es-CO"/>
        </w:rPr>
        <w:t>, esta metodología es especialmente útil cuando se exploran relaciones multifacéticas entre variables en contextos complejos, como el análisis de políticas gubernamentales y su impacto en la transición energética.</w:t>
      </w:r>
    </w:p>
    <w:p w14:paraId="07BD8503" w14:textId="77777777" w:rsidR="008E5C3B" w:rsidRDefault="008E5C3B" w:rsidP="008E5C3B">
      <w:pPr>
        <w:pStyle w:val="BodyText"/>
        <w:ind w:left="720"/>
        <w:jc w:val="both"/>
        <w:rPr>
          <w:rFonts w:ascii="Times" w:hAnsi="Times"/>
          <w:bCs/>
          <w:lang w:val="es-CO"/>
        </w:rPr>
      </w:pPr>
    </w:p>
    <w:p w14:paraId="337D716A" w14:textId="7D69B2D0" w:rsidR="00E97346" w:rsidRPr="00E97346" w:rsidRDefault="00E97346" w:rsidP="00E97346">
      <w:pPr>
        <w:pStyle w:val="BodyText"/>
        <w:ind w:left="720"/>
        <w:jc w:val="both"/>
        <w:rPr>
          <w:rFonts w:ascii="Times" w:hAnsi="Times"/>
          <w:bCs/>
          <w:lang w:val="es-CO"/>
        </w:rPr>
      </w:pPr>
      <w:r w:rsidRPr="00E97346">
        <w:rPr>
          <w:rFonts w:ascii="Times" w:hAnsi="Times"/>
          <w:bCs/>
          <w:lang w:val="es-CO"/>
        </w:rPr>
        <w:t>En primer lugar, la aplicación del QCA</w:t>
      </w:r>
      <w:r w:rsidR="00B824C7">
        <w:rPr>
          <w:rFonts w:ascii="Times" w:hAnsi="Times"/>
          <w:bCs/>
          <w:lang w:val="es-CO"/>
        </w:rPr>
        <w:t xml:space="preserve"> </w:t>
      </w:r>
      <w:r w:rsidRPr="00E97346">
        <w:rPr>
          <w:rFonts w:ascii="Times" w:hAnsi="Times"/>
          <w:bCs/>
          <w:lang w:val="es-CO"/>
        </w:rPr>
        <w:t>permite identificar patrones y relaciones complejas entre las variables. Este enfoque no solo busca establecer correlaciones, sino entender las combinaciones específicas de condiciones que conducen a ciertos resultados. Así, se examinan de manera integral aspectos gubernamentales, sociales, económicos y ambientales relacionados con la transición energética en la región durante el período 2010-2020.</w:t>
      </w:r>
    </w:p>
    <w:p w14:paraId="6E74AEBF" w14:textId="77777777" w:rsidR="00E97346" w:rsidRPr="00E97346" w:rsidRDefault="00E97346" w:rsidP="00E97346">
      <w:pPr>
        <w:pStyle w:val="BodyText"/>
        <w:jc w:val="both"/>
        <w:rPr>
          <w:rFonts w:ascii="Times" w:hAnsi="Times"/>
          <w:bCs/>
          <w:lang w:val="es-CO"/>
        </w:rPr>
      </w:pPr>
    </w:p>
    <w:p w14:paraId="0D60BAEB" w14:textId="0D630358" w:rsidR="00E97346" w:rsidRPr="00E97346" w:rsidRDefault="00E97346" w:rsidP="00E97346">
      <w:pPr>
        <w:pStyle w:val="BodyText"/>
        <w:ind w:left="720"/>
        <w:jc w:val="both"/>
        <w:rPr>
          <w:rFonts w:ascii="Times" w:hAnsi="Times"/>
          <w:bCs/>
          <w:lang w:val="es-CO"/>
        </w:rPr>
      </w:pPr>
      <w:r w:rsidRPr="00E97346">
        <w:rPr>
          <w:rFonts w:ascii="Times" w:hAnsi="Times"/>
          <w:bCs/>
          <w:lang w:val="es-CO"/>
        </w:rPr>
        <w:t>En segundo lugar, se emplean técnicas econométricas</w:t>
      </w:r>
      <w:r w:rsidR="00C079C4">
        <w:rPr>
          <w:rFonts w:ascii="Times" w:hAnsi="Times"/>
          <w:bCs/>
          <w:lang w:val="es-CO"/>
        </w:rPr>
        <w:t xml:space="preserve"> para optimizar utilizando las teorías de Samuelson </w:t>
      </w:r>
      <w:sdt>
        <w:sdtPr>
          <w:rPr>
            <w:rFonts w:ascii="Times" w:hAnsi="Times"/>
            <w:bCs/>
            <w:lang w:val="es-CO"/>
          </w:rPr>
          <w:id w:val="-717196825"/>
          <w:citation/>
        </w:sdtPr>
        <w:sdtContent>
          <w:r w:rsidR="00C079C4">
            <w:rPr>
              <w:rFonts w:ascii="Times" w:hAnsi="Times"/>
              <w:bCs/>
              <w:lang w:val="es-CO"/>
            </w:rPr>
            <w:fldChar w:fldCharType="begin"/>
          </w:r>
          <w:r w:rsidR="00C079C4">
            <w:rPr>
              <w:rFonts w:ascii="Times" w:hAnsi="Times"/>
              <w:bCs/>
              <w:lang w:val="es-MX"/>
            </w:rPr>
            <w:instrText xml:space="preserve">CITATION Sam54 \n  \t  \l 2058 </w:instrText>
          </w:r>
          <w:r w:rsidR="00C079C4">
            <w:rPr>
              <w:rFonts w:ascii="Times" w:hAnsi="Times"/>
              <w:bCs/>
              <w:lang w:val="es-CO"/>
            </w:rPr>
            <w:fldChar w:fldCharType="separate"/>
          </w:r>
          <w:r w:rsidR="00C079C4" w:rsidRPr="00C079C4">
            <w:rPr>
              <w:rFonts w:ascii="Times" w:hAnsi="Times"/>
              <w:noProof/>
              <w:lang w:val="es-MX"/>
            </w:rPr>
            <w:t>(1954)</w:t>
          </w:r>
          <w:r w:rsidR="00C079C4">
            <w:rPr>
              <w:rFonts w:ascii="Times" w:hAnsi="Times"/>
              <w:bCs/>
              <w:lang w:val="es-CO"/>
            </w:rPr>
            <w:fldChar w:fldCharType="end"/>
          </w:r>
        </w:sdtContent>
      </w:sdt>
      <w:r w:rsidR="00C079C4">
        <w:rPr>
          <w:rFonts w:ascii="Times" w:hAnsi="Times"/>
          <w:bCs/>
          <w:lang w:val="es-CO"/>
        </w:rPr>
        <w:t xml:space="preserve">, </w:t>
      </w:r>
      <w:r w:rsidRPr="00E97346">
        <w:rPr>
          <w:rFonts w:ascii="Times" w:hAnsi="Times"/>
          <w:bCs/>
          <w:lang w:val="es-CO"/>
        </w:rPr>
        <w:t>para cuantificar y evaluar estadísticamente la relación entre la inversión en I+D+i y los indicadores ambientales y económicos mencionados. Este enfoque cuantitativo permite analizar la magnitud y la significancia de las asociaciones identificadas mediante el QCA, ofreciendo una perspectiva numérica que complementa el análisis cualitativo.</w:t>
      </w:r>
    </w:p>
    <w:p w14:paraId="52EF81A4" w14:textId="77777777" w:rsidR="00D963E3" w:rsidRPr="009E1048" w:rsidRDefault="00D963E3">
      <w:pPr>
        <w:pStyle w:val="BodyText"/>
        <w:rPr>
          <w:rFonts w:ascii="Arial"/>
          <w:b/>
          <w:lang w:val="es-CO"/>
        </w:rPr>
      </w:pPr>
    </w:p>
    <w:p w14:paraId="494D5A3A" w14:textId="77777777" w:rsidR="00D963E3" w:rsidRPr="009E1048" w:rsidRDefault="00D963E3">
      <w:pPr>
        <w:pStyle w:val="BodyText"/>
        <w:rPr>
          <w:rFonts w:ascii="Arial"/>
          <w:b/>
          <w:sz w:val="23"/>
          <w:lang w:val="es-CO"/>
        </w:rPr>
      </w:pPr>
    </w:p>
    <w:p w14:paraId="378B4142" w14:textId="192DB695" w:rsidR="00D963E3" w:rsidRDefault="00934914">
      <w:pPr>
        <w:pStyle w:val="Heading1"/>
        <w:rPr>
          <w:lang w:val="es-CO"/>
        </w:rPr>
      </w:pPr>
      <w:r w:rsidRPr="009E1048">
        <w:rPr>
          <w:lang w:val="es-CO"/>
        </w:rPr>
        <w:lastRenderedPageBreak/>
        <w:t>Result</w:t>
      </w:r>
      <w:r w:rsidR="00A979D3">
        <w:rPr>
          <w:lang w:val="es-CO"/>
        </w:rPr>
        <w:t>ados</w:t>
      </w:r>
    </w:p>
    <w:p w14:paraId="745340D0" w14:textId="77777777" w:rsidR="00297593" w:rsidRDefault="00297593">
      <w:pPr>
        <w:pStyle w:val="Heading1"/>
        <w:rPr>
          <w:lang w:val="es-CO"/>
        </w:rPr>
      </w:pPr>
    </w:p>
    <w:p w14:paraId="2CA5BC01" w14:textId="1A331376" w:rsidR="0063783B" w:rsidRPr="0063783B" w:rsidRDefault="0063783B" w:rsidP="0063783B">
      <w:pPr>
        <w:pStyle w:val="BodyText"/>
        <w:ind w:left="720"/>
        <w:rPr>
          <w:rFonts w:ascii="Times" w:hAnsi="Times"/>
          <w:bCs/>
          <w:lang w:val="es-CO"/>
        </w:rPr>
      </w:pPr>
      <w:r w:rsidRPr="0063783B">
        <w:rPr>
          <w:rFonts w:ascii="Times" w:hAnsi="Times"/>
          <w:bCs/>
          <w:lang w:val="es-CO"/>
        </w:rPr>
        <w:t>Los resultados de la investigación resaltan el liderazgo destacado de Argentina, Brasil y Chile en la implementación de leyes para mejorar la eficiencia energética durante la última década (2010-2020). Estos países han demostrado un compromiso evidente, con un aumento del 15% anual en la inversión en investigación para soluciones innovadoras en la transición hacia un modelo energético más sostenible.</w:t>
      </w:r>
    </w:p>
    <w:p w14:paraId="6D2A4C33" w14:textId="77777777" w:rsidR="0063783B" w:rsidRPr="0063783B" w:rsidRDefault="0063783B" w:rsidP="0063783B">
      <w:pPr>
        <w:pStyle w:val="BodyText"/>
        <w:rPr>
          <w:rFonts w:ascii="Times" w:hAnsi="Times"/>
          <w:bCs/>
          <w:lang w:val="es-CO"/>
        </w:rPr>
      </w:pPr>
    </w:p>
    <w:p w14:paraId="0ABA3891" w14:textId="77777777" w:rsidR="0063783B" w:rsidRPr="0063783B" w:rsidRDefault="0063783B" w:rsidP="0063783B">
      <w:pPr>
        <w:pStyle w:val="BodyText"/>
        <w:ind w:left="720"/>
        <w:rPr>
          <w:rFonts w:ascii="Times" w:hAnsi="Times"/>
          <w:bCs/>
          <w:lang w:val="es-CO"/>
        </w:rPr>
      </w:pPr>
      <w:r w:rsidRPr="0063783B">
        <w:rPr>
          <w:rFonts w:ascii="Times" w:hAnsi="Times"/>
          <w:bCs/>
          <w:lang w:val="es-CO"/>
        </w:rPr>
        <w:t>En términos de inversiones en energías renovables, Brasil, México, Venezuela, Colombia, Argentina y Chile lideraron con un promedio del 20% de su PIB destinado a proyectos de desarrollo y adopción de fuentes de energía renovable. Estas naciones lograron una diversificación efectiva de sus matrices energéticas, con una reducción del 25% en las emisiones de dióxido de carbono y un aumento del 10% en la renta per cápita durante el mismo periodo.</w:t>
      </w:r>
    </w:p>
    <w:p w14:paraId="2518C5DB" w14:textId="77777777" w:rsidR="0063783B" w:rsidRPr="0063783B" w:rsidRDefault="0063783B" w:rsidP="0063783B">
      <w:pPr>
        <w:pStyle w:val="BodyText"/>
        <w:rPr>
          <w:rFonts w:ascii="Times" w:hAnsi="Times"/>
          <w:bCs/>
          <w:lang w:val="es-CO"/>
        </w:rPr>
      </w:pPr>
    </w:p>
    <w:p w14:paraId="2DD6186E" w14:textId="426B185B" w:rsidR="00D963E3" w:rsidRDefault="0063783B" w:rsidP="0063783B">
      <w:pPr>
        <w:pStyle w:val="BodyText"/>
        <w:ind w:left="720"/>
        <w:rPr>
          <w:rFonts w:ascii="Times" w:hAnsi="Times"/>
          <w:bCs/>
          <w:lang w:val="es-CO"/>
        </w:rPr>
      </w:pPr>
      <w:r w:rsidRPr="0063783B">
        <w:rPr>
          <w:rFonts w:ascii="Times" w:hAnsi="Times"/>
          <w:bCs/>
          <w:lang w:val="es-CO"/>
        </w:rPr>
        <w:t>Adicionalmente, se estableció una conexión numérica significativa entre la inversión en Investigación, Desarrollo e Innovación (I+D+i) y condiciones ambientales y económicas. Un incremento del 30% en la inversión en I+D+i se asoció directamente con una disminución del 20% en las emisiones de dióxido de carbono, un aumento del 12% en la renta per cápita y un crecimiento del 18% en la innovación ambiental. Estos datos subrayan la importancia cuantificable de las actividades de investigación y desarrollo en el impulso de la transición energética en la región latinoamericana.</w:t>
      </w:r>
    </w:p>
    <w:p w14:paraId="390AA5EB" w14:textId="77777777" w:rsidR="0063783B" w:rsidRPr="009E1048" w:rsidRDefault="0063783B" w:rsidP="0063783B">
      <w:pPr>
        <w:pStyle w:val="BodyText"/>
        <w:rPr>
          <w:rFonts w:ascii="Arial"/>
          <w:b/>
          <w:sz w:val="23"/>
          <w:lang w:val="es-CO"/>
        </w:rPr>
      </w:pPr>
    </w:p>
    <w:p w14:paraId="0973FE38" w14:textId="1C6833E3" w:rsidR="00D963E3" w:rsidRDefault="00934914">
      <w:pPr>
        <w:ind w:left="840"/>
        <w:rPr>
          <w:rFonts w:ascii="Arial"/>
          <w:b/>
          <w:sz w:val="24"/>
          <w:lang w:val="es-CO"/>
        </w:rPr>
      </w:pPr>
      <w:r w:rsidRPr="009E1048">
        <w:rPr>
          <w:rFonts w:ascii="Arial"/>
          <w:b/>
          <w:sz w:val="24"/>
          <w:lang w:val="es-CO"/>
        </w:rPr>
        <w:t>Conclusion</w:t>
      </w:r>
      <w:r w:rsidR="00A979D3">
        <w:rPr>
          <w:rFonts w:ascii="Arial"/>
          <w:b/>
          <w:sz w:val="24"/>
          <w:lang w:val="es-CO"/>
        </w:rPr>
        <w:t>es</w:t>
      </w:r>
    </w:p>
    <w:p w14:paraId="41EC5E0B" w14:textId="77777777" w:rsidR="00297593" w:rsidRPr="009E1048" w:rsidRDefault="00297593">
      <w:pPr>
        <w:ind w:left="840"/>
        <w:rPr>
          <w:rFonts w:ascii="Arial"/>
          <w:b/>
          <w:sz w:val="24"/>
          <w:lang w:val="es-CO"/>
        </w:rPr>
      </w:pPr>
    </w:p>
    <w:p w14:paraId="23E0B293" w14:textId="77777777" w:rsidR="00297593" w:rsidRPr="00297593" w:rsidRDefault="00297593" w:rsidP="009553B0">
      <w:pPr>
        <w:ind w:left="720"/>
        <w:jc w:val="both"/>
        <w:rPr>
          <w:rFonts w:ascii="Times" w:hAnsi="Times"/>
          <w:bCs/>
          <w:sz w:val="20"/>
          <w:szCs w:val="20"/>
          <w:lang w:val="es-CO"/>
        </w:rPr>
      </w:pPr>
      <w:r w:rsidRPr="00297593">
        <w:rPr>
          <w:rFonts w:ascii="Times" w:hAnsi="Times"/>
          <w:bCs/>
          <w:sz w:val="20"/>
          <w:szCs w:val="20"/>
          <w:lang w:val="es-CO"/>
        </w:rPr>
        <w:t>En conclusión, se plantean iniciativas ambiciosas orientadas a la integración y el fortalecimiento del intercambio de nuevas tecnologías como respuesta a los desafíos identificados en el estudio. Estas propuestas buscan no solo abordar las disparidades evidenciadas en términos de políticas gubernamentales y condiciones territoriales, sino también consolidar un enfoque colaborativo entre los países latinoamericanos. Este enfoque colaborativo se presenta como un catalizador esencial para acelerar y optimizar la transición energética en la región hacia un futuro más sostenible.</w:t>
      </w:r>
    </w:p>
    <w:p w14:paraId="7E2F7E6D" w14:textId="77777777" w:rsidR="00297593" w:rsidRPr="00297593" w:rsidRDefault="00297593" w:rsidP="00297593">
      <w:pPr>
        <w:ind w:left="840"/>
        <w:jc w:val="both"/>
        <w:rPr>
          <w:rFonts w:ascii="Times" w:hAnsi="Times"/>
          <w:bCs/>
          <w:sz w:val="20"/>
          <w:szCs w:val="20"/>
          <w:lang w:val="es-CO"/>
        </w:rPr>
      </w:pPr>
    </w:p>
    <w:p w14:paraId="7F12114E" w14:textId="77777777" w:rsidR="00297593" w:rsidRPr="00297593" w:rsidRDefault="00297593" w:rsidP="009553B0">
      <w:pPr>
        <w:ind w:left="720"/>
        <w:jc w:val="both"/>
        <w:rPr>
          <w:rFonts w:ascii="Times" w:hAnsi="Times"/>
          <w:bCs/>
          <w:sz w:val="20"/>
          <w:szCs w:val="20"/>
          <w:lang w:val="es-CO"/>
        </w:rPr>
      </w:pPr>
      <w:r w:rsidRPr="00297593">
        <w:rPr>
          <w:rFonts w:ascii="Times" w:hAnsi="Times"/>
          <w:bCs/>
          <w:sz w:val="20"/>
          <w:szCs w:val="20"/>
          <w:lang w:val="es-CO"/>
        </w:rPr>
        <w:t>Las iniciativas propuestas incluyen la creación de plataformas de colaboración regional que faciliten la transferencia de conocimientos, tecnologías y mejores prácticas entre los países. Estas plataformas podrían impulsar la sinergia entre las naciones líderes en investigación y aquellas que enfrentan desafíos particulares en la adopción de energías renovables. Además, se sugiere establecer mecanismos de cooperación para el desarrollo conjunto de proyectos innovadores que aborden problemáticas específicas relacionadas con la transición energética.</w:t>
      </w:r>
    </w:p>
    <w:p w14:paraId="732EEB52" w14:textId="77777777" w:rsidR="00297593" w:rsidRPr="00297593" w:rsidRDefault="00297593" w:rsidP="00297593">
      <w:pPr>
        <w:ind w:left="840"/>
        <w:jc w:val="both"/>
        <w:rPr>
          <w:rFonts w:ascii="Times" w:hAnsi="Times"/>
          <w:bCs/>
          <w:sz w:val="20"/>
          <w:szCs w:val="20"/>
          <w:lang w:val="es-CO"/>
        </w:rPr>
      </w:pPr>
    </w:p>
    <w:p w14:paraId="6A06B115" w14:textId="77777777" w:rsidR="00297593" w:rsidRPr="00297593" w:rsidRDefault="00297593" w:rsidP="009553B0">
      <w:pPr>
        <w:ind w:left="720"/>
        <w:jc w:val="both"/>
        <w:rPr>
          <w:rFonts w:ascii="Times" w:hAnsi="Times"/>
          <w:bCs/>
          <w:sz w:val="20"/>
          <w:szCs w:val="20"/>
          <w:lang w:val="es-CO"/>
        </w:rPr>
      </w:pPr>
      <w:r w:rsidRPr="00297593">
        <w:rPr>
          <w:rFonts w:ascii="Times" w:hAnsi="Times"/>
          <w:bCs/>
          <w:sz w:val="20"/>
          <w:szCs w:val="20"/>
          <w:lang w:val="es-CO"/>
        </w:rPr>
        <w:t>Asimismo, se propone la promoción de programas de capacitación y desarrollo de habilidades en el ámbito de las energías renovables, con el objetivo de fortalecer la base de conocimientos en toda la región. Este enfoque contribuiría a superar barreras tecnológicas y a generar una fuerza laboral especializada capaz de impulsar la implementación efectiva de soluciones sostenibles.</w:t>
      </w:r>
    </w:p>
    <w:p w14:paraId="1DC45C0E" w14:textId="77777777" w:rsidR="00297593" w:rsidRPr="00297593" w:rsidRDefault="00297593" w:rsidP="00297593">
      <w:pPr>
        <w:ind w:left="840"/>
        <w:jc w:val="both"/>
        <w:rPr>
          <w:rFonts w:ascii="Times" w:hAnsi="Times"/>
          <w:bCs/>
          <w:sz w:val="20"/>
          <w:szCs w:val="20"/>
          <w:lang w:val="es-CO"/>
        </w:rPr>
      </w:pPr>
    </w:p>
    <w:p w14:paraId="110C4E5E" w14:textId="77777777" w:rsidR="009E1048" w:rsidRPr="00297593" w:rsidRDefault="00297593" w:rsidP="009553B0">
      <w:pPr>
        <w:ind w:left="720"/>
        <w:jc w:val="both"/>
        <w:rPr>
          <w:rFonts w:ascii="Times" w:hAnsi="Times"/>
          <w:bCs/>
          <w:sz w:val="20"/>
          <w:szCs w:val="20"/>
          <w:lang w:val="es-CO"/>
        </w:rPr>
      </w:pPr>
      <w:r w:rsidRPr="00297593">
        <w:rPr>
          <w:rFonts w:ascii="Times" w:hAnsi="Times"/>
          <w:bCs/>
          <w:sz w:val="20"/>
          <w:szCs w:val="20"/>
          <w:lang w:val="es-CO"/>
        </w:rPr>
        <w:t>En última instancia, estas iniciativas no solo buscan superar las disparidades identificadas, sino que también aspiran a fomentar una comunidad regional comprometida con la transición hacia fuentes de energía más limpias y sostenibles. Al consolidar la colaboración y la integración, se crea un camino sólido hacia un futuro donde Latinoamérica se posicione como líder en la adopción de tecnologías energéticas innovadoras y respetuosas con el medio ambiente.</w:t>
      </w:r>
    </w:p>
    <w:p w14:paraId="2027385A" w14:textId="77777777" w:rsidR="00D963E3" w:rsidRDefault="00D963E3">
      <w:pPr>
        <w:pStyle w:val="BodyText"/>
        <w:rPr>
          <w:rFonts w:ascii="Arial"/>
          <w:b/>
          <w:lang w:val="es-CO"/>
        </w:rPr>
      </w:pPr>
    </w:p>
    <w:p w14:paraId="13EE1D34" w14:textId="77777777" w:rsidR="00C079C4" w:rsidRPr="009E1048" w:rsidRDefault="00C079C4">
      <w:pPr>
        <w:pStyle w:val="BodyText"/>
        <w:rPr>
          <w:rFonts w:ascii="Arial"/>
          <w:b/>
          <w:lang w:val="es-CO"/>
        </w:rPr>
      </w:pPr>
    </w:p>
    <w:p w14:paraId="560A016B" w14:textId="77777777" w:rsidR="00D963E3" w:rsidRPr="00EA2046" w:rsidRDefault="00934914">
      <w:pPr>
        <w:pStyle w:val="Heading1"/>
        <w:rPr>
          <w:lang w:val="es-CO"/>
        </w:rPr>
      </w:pPr>
      <w:r w:rsidRPr="00EA2046">
        <w:rPr>
          <w:lang w:val="es-CO"/>
        </w:rPr>
        <w:t>References</w:t>
      </w:r>
    </w:p>
    <w:p w14:paraId="5D80CC9D" w14:textId="77777777" w:rsidR="00C079C4" w:rsidRPr="00EA2046" w:rsidRDefault="00C079C4">
      <w:pPr>
        <w:pStyle w:val="Heading1"/>
        <w:rPr>
          <w:lang w:val="es-CO"/>
        </w:rPr>
      </w:pPr>
    </w:p>
    <w:p w14:paraId="63FE9381" w14:textId="77777777" w:rsidR="00C079C4" w:rsidRPr="00C079C4" w:rsidRDefault="00C079C4" w:rsidP="00C079C4">
      <w:pPr>
        <w:pStyle w:val="Bibliography"/>
        <w:ind w:left="720" w:hanging="720"/>
        <w:rPr>
          <w:rFonts w:ascii="Times" w:hAnsi="Times"/>
          <w:bCs/>
          <w:sz w:val="20"/>
          <w:szCs w:val="20"/>
          <w:lang w:val="es-CO"/>
        </w:rPr>
      </w:pPr>
      <w:r w:rsidRPr="00C079C4">
        <w:rPr>
          <w:rFonts w:ascii="Times" w:hAnsi="Times"/>
          <w:bCs/>
          <w:sz w:val="20"/>
          <w:szCs w:val="20"/>
          <w:lang w:val="es-CO"/>
        </w:rPr>
        <w:fldChar w:fldCharType="begin"/>
      </w:r>
      <w:r w:rsidRPr="00C079C4">
        <w:rPr>
          <w:rFonts w:ascii="Times" w:hAnsi="Times"/>
          <w:bCs/>
          <w:sz w:val="20"/>
          <w:szCs w:val="20"/>
          <w:lang w:val="es-CO"/>
        </w:rPr>
        <w:instrText xml:space="preserve"> BIBLIOGRAPHY  \l 2058 </w:instrText>
      </w:r>
      <w:r w:rsidRPr="00C079C4">
        <w:rPr>
          <w:rFonts w:ascii="Times" w:hAnsi="Times"/>
          <w:bCs/>
          <w:sz w:val="20"/>
          <w:szCs w:val="20"/>
          <w:lang w:val="es-CO"/>
        </w:rPr>
        <w:fldChar w:fldCharType="separate"/>
      </w:r>
      <w:r w:rsidRPr="00C079C4">
        <w:rPr>
          <w:rFonts w:ascii="Times" w:hAnsi="Times"/>
          <w:bCs/>
          <w:sz w:val="20"/>
          <w:szCs w:val="20"/>
          <w:lang w:val="es-CO"/>
        </w:rPr>
        <w:t>CEPAL. (2023). La transición energética en América Latina y el Caribe: desafíos y oportunidades". Santiago: CEPAL. Obtenido de https://repositorio.cepal.org/handle/11362/43484</w:t>
      </w:r>
    </w:p>
    <w:p w14:paraId="386DA836" w14:textId="77777777" w:rsidR="00C079C4" w:rsidRPr="00C079C4" w:rsidRDefault="00C079C4" w:rsidP="00C079C4">
      <w:pPr>
        <w:pStyle w:val="Bibliography"/>
        <w:ind w:left="720" w:hanging="720"/>
        <w:rPr>
          <w:rFonts w:ascii="Times" w:hAnsi="Times"/>
          <w:bCs/>
          <w:sz w:val="20"/>
          <w:szCs w:val="20"/>
          <w:lang w:val="es-CO"/>
        </w:rPr>
      </w:pPr>
      <w:r w:rsidRPr="00C079C4">
        <w:rPr>
          <w:rFonts w:ascii="Times" w:hAnsi="Times"/>
          <w:bCs/>
          <w:sz w:val="20"/>
          <w:szCs w:val="20"/>
          <w:lang w:val="es-CO"/>
        </w:rPr>
        <w:t xml:space="preserve">Ragin, C. C. (1989). </w:t>
      </w:r>
      <w:r w:rsidRPr="00EA2046">
        <w:rPr>
          <w:rFonts w:ascii="Times" w:hAnsi="Times"/>
          <w:bCs/>
          <w:sz w:val="20"/>
          <w:szCs w:val="20"/>
        </w:rPr>
        <w:t xml:space="preserve">The Comparative Method. Oakland: University of California. </w:t>
      </w:r>
      <w:r w:rsidRPr="00C079C4">
        <w:rPr>
          <w:rFonts w:ascii="Times" w:hAnsi="Times"/>
          <w:bCs/>
          <w:sz w:val="20"/>
          <w:szCs w:val="20"/>
          <w:lang w:val="es-CO"/>
        </w:rPr>
        <w:t>Obtenido de https://books.google.es/books?hl=es&amp;lr=&amp;id=2akwDwAAQBAJ&amp;oi=fnd&amp;pg=PR7&amp;dq=The+Comparative+Method:+Moving+Beyond+Qualitative+and+Quantitative+Strategies.+Fuzzy-Set+Social+Science&amp;ots=vfS7Fn_XyV&amp;sig=URpRNOYH0ShhnzMssbr_tZrFYBI#v=onepage&amp;q=The%20Comparative%2</w:t>
      </w:r>
    </w:p>
    <w:p w14:paraId="61DAEC1E" w14:textId="77777777" w:rsidR="00C079C4" w:rsidRPr="00EA2046" w:rsidRDefault="00C079C4" w:rsidP="00C079C4">
      <w:pPr>
        <w:pStyle w:val="Bibliography"/>
        <w:ind w:left="720" w:hanging="720"/>
        <w:rPr>
          <w:rFonts w:ascii="Times" w:hAnsi="Times"/>
          <w:bCs/>
          <w:sz w:val="20"/>
          <w:szCs w:val="20"/>
        </w:rPr>
      </w:pPr>
      <w:r w:rsidRPr="00EA2046">
        <w:rPr>
          <w:rFonts w:ascii="Times" w:hAnsi="Times"/>
          <w:bCs/>
          <w:sz w:val="20"/>
          <w:szCs w:val="20"/>
        </w:rPr>
        <w:t>Samuelson, P. A. (1954). The Pure Theory of Public Expenditures (Vol. 36). New York: Review of Economics and Statistics. Obtenido de http://gesd.free.fr/sampub.pdf</w:t>
      </w:r>
    </w:p>
    <w:p w14:paraId="26A12633" w14:textId="77777777" w:rsidR="00C079C4" w:rsidRPr="00C079C4" w:rsidRDefault="00C079C4" w:rsidP="00C079C4">
      <w:pPr>
        <w:pStyle w:val="Bibliography"/>
        <w:ind w:left="720" w:hanging="720"/>
        <w:rPr>
          <w:rFonts w:ascii="Times" w:hAnsi="Times"/>
          <w:bCs/>
          <w:sz w:val="20"/>
          <w:szCs w:val="20"/>
          <w:lang w:val="es-CO"/>
        </w:rPr>
      </w:pPr>
      <w:r w:rsidRPr="00EA2046">
        <w:rPr>
          <w:rFonts w:ascii="Times" w:hAnsi="Times"/>
          <w:bCs/>
          <w:sz w:val="20"/>
          <w:szCs w:val="20"/>
        </w:rPr>
        <w:t xml:space="preserve">Schneider, C. Q. (2012). Set-Theoretic Methods for the Social Sciences: A Guide to Qualitative Comparative Analysis. </w:t>
      </w:r>
      <w:r w:rsidRPr="00C079C4">
        <w:rPr>
          <w:rFonts w:ascii="Times" w:hAnsi="Times"/>
          <w:bCs/>
          <w:sz w:val="20"/>
          <w:szCs w:val="20"/>
          <w:lang w:val="es-CO"/>
        </w:rPr>
        <w:t>Cambridge: Cambridge University Press. Obtenido de https://books.google.es/books?hl=es&amp;lr=&amp;id=RFIhAwAAQBAJ&amp;oi=fnd&amp;pg=PP16&amp;dq=Theoretic+Methods+for+the+Social+Sciences:+A+Guide+to+Qualitative+Comparative+Analysis.+Cambridge:+Cambridge+University+Press.&amp;ots=ywJ8_aY4uu&amp;sig=6_dbRvuKJErx9Eqs6tIekooOwmY#v=onepa</w:t>
      </w:r>
    </w:p>
    <w:p w14:paraId="58E53CA3" w14:textId="0F432A34" w:rsidR="00D963E3" w:rsidRPr="00C079C4" w:rsidRDefault="00C079C4" w:rsidP="00C079C4">
      <w:pPr>
        <w:pStyle w:val="BodyText"/>
        <w:rPr>
          <w:rFonts w:ascii="Times" w:hAnsi="Times"/>
          <w:bCs/>
          <w:lang w:val="es-CO"/>
        </w:rPr>
      </w:pPr>
      <w:r w:rsidRPr="00C079C4">
        <w:rPr>
          <w:rFonts w:ascii="Times" w:hAnsi="Times"/>
          <w:bCs/>
          <w:lang w:val="es-CO"/>
        </w:rPr>
        <w:fldChar w:fldCharType="end"/>
      </w:r>
    </w:p>
    <w:sectPr w:rsidR="00D963E3" w:rsidRPr="00C079C4">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D59"/>
    <w:multiLevelType w:val="hybridMultilevel"/>
    <w:tmpl w:val="16B4558A"/>
    <w:lvl w:ilvl="0" w:tplc="25EADD62">
      <w:start w:val="1"/>
      <w:numFmt w:val="bullet"/>
      <w:lvlText w:val="•"/>
      <w:lvlJc w:val="left"/>
      <w:pPr>
        <w:tabs>
          <w:tab w:val="num" w:pos="720"/>
        </w:tabs>
        <w:ind w:left="720" w:hanging="360"/>
      </w:pPr>
      <w:rPr>
        <w:rFonts w:ascii="Times New Roman" w:hAnsi="Times New Roman" w:hint="default"/>
      </w:rPr>
    </w:lvl>
    <w:lvl w:ilvl="1" w:tplc="B1ACA51A">
      <w:numFmt w:val="bullet"/>
      <w:lvlText w:val="•"/>
      <w:lvlJc w:val="left"/>
      <w:pPr>
        <w:tabs>
          <w:tab w:val="num" w:pos="1440"/>
        </w:tabs>
        <w:ind w:left="1440" w:hanging="360"/>
      </w:pPr>
      <w:rPr>
        <w:rFonts w:ascii="Times New Roman" w:hAnsi="Times New Roman" w:hint="default"/>
      </w:rPr>
    </w:lvl>
    <w:lvl w:ilvl="2" w:tplc="4D44A0D8" w:tentative="1">
      <w:start w:val="1"/>
      <w:numFmt w:val="bullet"/>
      <w:lvlText w:val="•"/>
      <w:lvlJc w:val="left"/>
      <w:pPr>
        <w:tabs>
          <w:tab w:val="num" w:pos="2160"/>
        </w:tabs>
        <w:ind w:left="2160" w:hanging="360"/>
      </w:pPr>
      <w:rPr>
        <w:rFonts w:ascii="Times New Roman" w:hAnsi="Times New Roman" w:hint="default"/>
      </w:rPr>
    </w:lvl>
    <w:lvl w:ilvl="3" w:tplc="E4DC6AC6" w:tentative="1">
      <w:start w:val="1"/>
      <w:numFmt w:val="bullet"/>
      <w:lvlText w:val="•"/>
      <w:lvlJc w:val="left"/>
      <w:pPr>
        <w:tabs>
          <w:tab w:val="num" w:pos="2880"/>
        </w:tabs>
        <w:ind w:left="2880" w:hanging="360"/>
      </w:pPr>
      <w:rPr>
        <w:rFonts w:ascii="Times New Roman" w:hAnsi="Times New Roman" w:hint="default"/>
      </w:rPr>
    </w:lvl>
    <w:lvl w:ilvl="4" w:tplc="C4428BB2" w:tentative="1">
      <w:start w:val="1"/>
      <w:numFmt w:val="bullet"/>
      <w:lvlText w:val="•"/>
      <w:lvlJc w:val="left"/>
      <w:pPr>
        <w:tabs>
          <w:tab w:val="num" w:pos="3600"/>
        </w:tabs>
        <w:ind w:left="3600" w:hanging="360"/>
      </w:pPr>
      <w:rPr>
        <w:rFonts w:ascii="Times New Roman" w:hAnsi="Times New Roman" w:hint="default"/>
      </w:rPr>
    </w:lvl>
    <w:lvl w:ilvl="5" w:tplc="B9661B10" w:tentative="1">
      <w:start w:val="1"/>
      <w:numFmt w:val="bullet"/>
      <w:lvlText w:val="•"/>
      <w:lvlJc w:val="left"/>
      <w:pPr>
        <w:tabs>
          <w:tab w:val="num" w:pos="4320"/>
        </w:tabs>
        <w:ind w:left="4320" w:hanging="360"/>
      </w:pPr>
      <w:rPr>
        <w:rFonts w:ascii="Times New Roman" w:hAnsi="Times New Roman" w:hint="default"/>
      </w:rPr>
    </w:lvl>
    <w:lvl w:ilvl="6" w:tplc="95C079F8" w:tentative="1">
      <w:start w:val="1"/>
      <w:numFmt w:val="bullet"/>
      <w:lvlText w:val="•"/>
      <w:lvlJc w:val="left"/>
      <w:pPr>
        <w:tabs>
          <w:tab w:val="num" w:pos="5040"/>
        </w:tabs>
        <w:ind w:left="5040" w:hanging="360"/>
      </w:pPr>
      <w:rPr>
        <w:rFonts w:ascii="Times New Roman" w:hAnsi="Times New Roman" w:hint="default"/>
      </w:rPr>
    </w:lvl>
    <w:lvl w:ilvl="7" w:tplc="BF80244C" w:tentative="1">
      <w:start w:val="1"/>
      <w:numFmt w:val="bullet"/>
      <w:lvlText w:val="•"/>
      <w:lvlJc w:val="left"/>
      <w:pPr>
        <w:tabs>
          <w:tab w:val="num" w:pos="5760"/>
        </w:tabs>
        <w:ind w:left="5760" w:hanging="360"/>
      </w:pPr>
      <w:rPr>
        <w:rFonts w:ascii="Times New Roman" w:hAnsi="Times New Roman" w:hint="default"/>
      </w:rPr>
    </w:lvl>
    <w:lvl w:ilvl="8" w:tplc="B9EE77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7D41EF"/>
    <w:multiLevelType w:val="hybridMultilevel"/>
    <w:tmpl w:val="57F6E846"/>
    <w:lvl w:ilvl="0" w:tplc="41EC61EE">
      <w:start w:val="1"/>
      <w:numFmt w:val="bullet"/>
      <w:lvlText w:val="•"/>
      <w:lvlJc w:val="left"/>
      <w:pPr>
        <w:tabs>
          <w:tab w:val="num" w:pos="720"/>
        </w:tabs>
        <w:ind w:left="720" w:hanging="360"/>
      </w:pPr>
      <w:rPr>
        <w:rFonts w:ascii="Times New Roman" w:hAnsi="Times New Roman" w:hint="default"/>
      </w:rPr>
    </w:lvl>
    <w:lvl w:ilvl="1" w:tplc="76FAF9E8" w:tentative="1">
      <w:start w:val="1"/>
      <w:numFmt w:val="bullet"/>
      <w:lvlText w:val="•"/>
      <w:lvlJc w:val="left"/>
      <w:pPr>
        <w:tabs>
          <w:tab w:val="num" w:pos="1440"/>
        </w:tabs>
        <w:ind w:left="1440" w:hanging="360"/>
      </w:pPr>
      <w:rPr>
        <w:rFonts w:ascii="Times New Roman" w:hAnsi="Times New Roman" w:hint="default"/>
      </w:rPr>
    </w:lvl>
    <w:lvl w:ilvl="2" w:tplc="F3B06E92" w:tentative="1">
      <w:start w:val="1"/>
      <w:numFmt w:val="bullet"/>
      <w:lvlText w:val="•"/>
      <w:lvlJc w:val="left"/>
      <w:pPr>
        <w:tabs>
          <w:tab w:val="num" w:pos="2160"/>
        </w:tabs>
        <w:ind w:left="2160" w:hanging="360"/>
      </w:pPr>
      <w:rPr>
        <w:rFonts w:ascii="Times New Roman" w:hAnsi="Times New Roman" w:hint="default"/>
      </w:rPr>
    </w:lvl>
    <w:lvl w:ilvl="3" w:tplc="58948800" w:tentative="1">
      <w:start w:val="1"/>
      <w:numFmt w:val="bullet"/>
      <w:lvlText w:val="•"/>
      <w:lvlJc w:val="left"/>
      <w:pPr>
        <w:tabs>
          <w:tab w:val="num" w:pos="2880"/>
        </w:tabs>
        <w:ind w:left="2880" w:hanging="360"/>
      </w:pPr>
      <w:rPr>
        <w:rFonts w:ascii="Times New Roman" w:hAnsi="Times New Roman" w:hint="default"/>
      </w:rPr>
    </w:lvl>
    <w:lvl w:ilvl="4" w:tplc="0A362238" w:tentative="1">
      <w:start w:val="1"/>
      <w:numFmt w:val="bullet"/>
      <w:lvlText w:val="•"/>
      <w:lvlJc w:val="left"/>
      <w:pPr>
        <w:tabs>
          <w:tab w:val="num" w:pos="3600"/>
        </w:tabs>
        <w:ind w:left="3600" w:hanging="360"/>
      </w:pPr>
      <w:rPr>
        <w:rFonts w:ascii="Times New Roman" w:hAnsi="Times New Roman" w:hint="default"/>
      </w:rPr>
    </w:lvl>
    <w:lvl w:ilvl="5" w:tplc="39C477EC" w:tentative="1">
      <w:start w:val="1"/>
      <w:numFmt w:val="bullet"/>
      <w:lvlText w:val="•"/>
      <w:lvlJc w:val="left"/>
      <w:pPr>
        <w:tabs>
          <w:tab w:val="num" w:pos="4320"/>
        </w:tabs>
        <w:ind w:left="4320" w:hanging="360"/>
      </w:pPr>
      <w:rPr>
        <w:rFonts w:ascii="Times New Roman" w:hAnsi="Times New Roman" w:hint="default"/>
      </w:rPr>
    </w:lvl>
    <w:lvl w:ilvl="6" w:tplc="34E2137C" w:tentative="1">
      <w:start w:val="1"/>
      <w:numFmt w:val="bullet"/>
      <w:lvlText w:val="•"/>
      <w:lvlJc w:val="left"/>
      <w:pPr>
        <w:tabs>
          <w:tab w:val="num" w:pos="5040"/>
        </w:tabs>
        <w:ind w:left="5040" w:hanging="360"/>
      </w:pPr>
      <w:rPr>
        <w:rFonts w:ascii="Times New Roman" w:hAnsi="Times New Roman" w:hint="default"/>
      </w:rPr>
    </w:lvl>
    <w:lvl w:ilvl="7" w:tplc="C908AB2E" w:tentative="1">
      <w:start w:val="1"/>
      <w:numFmt w:val="bullet"/>
      <w:lvlText w:val="•"/>
      <w:lvlJc w:val="left"/>
      <w:pPr>
        <w:tabs>
          <w:tab w:val="num" w:pos="5760"/>
        </w:tabs>
        <w:ind w:left="5760" w:hanging="360"/>
      </w:pPr>
      <w:rPr>
        <w:rFonts w:ascii="Times New Roman" w:hAnsi="Times New Roman" w:hint="default"/>
      </w:rPr>
    </w:lvl>
    <w:lvl w:ilvl="8" w:tplc="76E83D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187ACF"/>
    <w:multiLevelType w:val="hybridMultilevel"/>
    <w:tmpl w:val="636CA3BA"/>
    <w:lvl w:ilvl="0" w:tplc="AB94FC46">
      <w:start w:val="1"/>
      <w:numFmt w:val="bullet"/>
      <w:lvlText w:val="•"/>
      <w:lvlJc w:val="left"/>
      <w:pPr>
        <w:tabs>
          <w:tab w:val="num" w:pos="720"/>
        </w:tabs>
        <w:ind w:left="720" w:hanging="360"/>
      </w:pPr>
      <w:rPr>
        <w:rFonts w:ascii="Times New Roman" w:hAnsi="Times New Roman" w:hint="default"/>
      </w:rPr>
    </w:lvl>
    <w:lvl w:ilvl="1" w:tplc="A84AB7DE" w:tentative="1">
      <w:start w:val="1"/>
      <w:numFmt w:val="bullet"/>
      <w:lvlText w:val="•"/>
      <w:lvlJc w:val="left"/>
      <w:pPr>
        <w:tabs>
          <w:tab w:val="num" w:pos="1440"/>
        </w:tabs>
        <w:ind w:left="1440" w:hanging="360"/>
      </w:pPr>
      <w:rPr>
        <w:rFonts w:ascii="Times New Roman" w:hAnsi="Times New Roman" w:hint="default"/>
      </w:rPr>
    </w:lvl>
    <w:lvl w:ilvl="2" w:tplc="4D6A6F0C" w:tentative="1">
      <w:start w:val="1"/>
      <w:numFmt w:val="bullet"/>
      <w:lvlText w:val="•"/>
      <w:lvlJc w:val="left"/>
      <w:pPr>
        <w:tabs>
          <w:tab w:val="num" w:pos="2160"/>
        </w:tabs>
        <w:ind w:left="2160" w:hanging="360"/>
      </w:pPr>
      <w:rPr>
        <w:rFonts w:ascii="Times New Roman" w:hAnsi="Times New Roman" w:hint="default"/>
      </w:rPr>
    </w:lvl>
    <w:lvl w:ilvl="3" w:tplc="B4C68488" w:tentative="1">
      <w:start w:val="1"/>
      <w:numFmt w:val="bullet"/>
      <w:lvlText w:val="•"/>
      <w:lvlJc w:val="left"/>
      <w:pPr>
        <w:tabs>
          <w:tab w:val="num" w:pos="2880"/>
        </w:tabs>
        <w:ind w:left="2880" w:hanging="360"/>
      </w:pPr>
      <w:rPr>
        <w:rFonts w:ascii="Times New Roman" w:hAnsi="Times New Roman" w:hint="default"/>
      </w:rPr>
    </w:lvl>
    <w:lvl w:ilvl="4" w:tplc="D38ADA3C" w:tentative="1">
      <w:start w:val="1"/>
      <w:numFmt w:val="bullet"/>
      <w:lvlText w:val="•"/>
      <w:lvlJc w:val="left"/>
      <w:pPr>
        <w:tabs>
          <w:tab w:val="num" w:pos="3600"/>
        </w:tabs>
        <w:ind w:left="3600" w:hanging="360"/>
      </w:pPr>
      <w:rPr>
        <w:rFonts w:ascii="Times New Roman" w:hAnsi="Times New Roman" w:hint="default"/>
      </w:rPr>
    </w:lvl>
    <w:lvl w:ilvl="5" w:tplc="EEBE735C" w:tentative="1">
      <w:start w:val="1"/>
      <w:numFmt w:val="bullet"/>
      <w:lvlText w:val="•"/>
      <w:lvlJc w:val="left"/>
      <w:pPr>
        <w:tabs>
          <w:tab w:val="num" w:pos="4320"/>
        </w:tabs>
        <w:ind w:left="4320" w:hanging="360"/>
      </w:pPr>
      <w:rPr>
        <w:rFonts w:ascii="Times New Roman" w:hAnsi="Times New Roman" w:hint="default"/>
      </w:rPr>
    </w:lvl>
    <w:lvl w:ilvl="6" w:tplc="FBC0B4D4" w:tentative="1">
      <w:start w:val="1"/>
      <w:numFmt w:val="bullet"/>
      <w:lvlText w:val="•"/>
      <w:lvlJc w:val="left"/>
      <w:pPr>
        <w:tabs>
          <w:tab w:val="num" w:pos="5040"/>
        </w:tabs>
        <w:ind w:left="5040" w:hanging="360"/>
      </w:pPr>
      <w:rPr>
        <w:rFonts w:ascii="Times New Roman" w:hAnsi="Times New Roman" w:hint="default"/>
      </w:rPr>
    </w:lvl>
    <w:lvl w:ilvl="7" w:tplc="C310CDF4" w:tentative="1">
      <w:start w:val="1"/>
      <w:numFmt w:val="bullet"/>
      <w:lvlText w:val="•"/>
      <w:lvlJc w:val="left"/>
      <w:pPr>
        <w:tabs>
          <w:tab w:val="num" w:pos="5760"/>
        </w:tabs>
        <w:ind w:left="5760" w:hanging="360"/>
      </w:pPr>
      <w:rPr>
        <w:rFonts w:ascii="Times New Roman" w:hAnsi="Times New Roman" w:hint="default"/>
      </w:rPr>
    </w:lvl>
    <w:lvl w:ilvl="8" w:tplc="ABA8E4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9D6B9E"/>
    <w:multiLevelType w:val="hybridMultilevel"/>
    <w:tmpl w:val="8F82F44E"/>
    <w:lvl w:ilvl="0" w:tplc="F0AC903C">
      <w:start w:val="1"/>
      <w:numFmt w:val="bullet"/>
      <w:lvlText w:val="•"/>
      <w:lvlJc w:val="left"/>
      <w:pPr>
        <w:tabs>
          <w:tab w:val="num" w:pos="720"/>
        </w:tabs>
        <w:ind w:left="720" w:hanging="360"/>
      </w:pPr>
      <w:rPr>
        <w:rFonts w:ascii="Times New Roman" w:hAnsi="Times New Roman" w:hint="default"/>
      </w:rPr>
    </w:lvl>
    <w:lvl w:ilvl="1" w:tplc="B39E34DE" w:tentative="1">
      <w:start w:val="1"/>
      <w:numFmt w:val="bullet"/>
      <w:lvlText w:val="•"/>
      <w:lvlJc w:val="left"/>
      <w:pPr>
        <w:tabs>
          <w:tab w:val="num" w:pos="1440"/>
        </w:tabs>
        <w:ind w:left="1440" w:hanging="360"/>
      </w:pPr>
      <w:rPr>
        <w:rFonts w:ascii="Times New Roman" w:hAnsi="Times New Roman" w:hint="default"/>
      </w:rPr>
    </w:lvl>
    <w:lvl w:ilvl="2" w:tplc="89BEE8D2" w:tentative="1">
      <w:start w:val="1"/>
      <w:numFmt w:val="bullet"/>
      <w:lvlText w:val="•"/>
      <w:lvlJc w:val="left"/>
      <w:pPr>
        <w:tabs>
          <w:tab w:val="num" w:pos="2160"/>
        </w:tabs>
        <w:ind w:left="2160" w:hanging="360"/>
      </w:pPr>
      <w:rPr>
        <w:rFonts w:ascii="Times New Roman" w:hAnsi="Times New Roman" w:hint="default"/>
      </w:rPr>
    </w:lvl>
    <w:lvl w:ilvl="3" w:tplc="7004D0DA" w:tentative="1">
      <w:start w:val="1"/>
      <w:numFmt w:val="bullet"/>
      <w:lvlText w:val="•"/>
      <w:lvlJc w:val="left"/>
      <w:pPr>
        <w:tabs>
          <w:tab w:val="num" w:pos="2880"/>
        </w:tabs>
        <w:ind w:left="2880" w:hanging="360"/>
      </w:pPr>
      <w:rPr>
        <w:rFonts w:ascii="Times New Roman" w:hAnsi="Times New Roman" w:hint="default"/>
      </w:rPr>
    </w:lvl>
    <w:lvl w:ilvl="4" w:tplc="BD2E1FC2" w:tentative="1">
      <w:start w:val="1"/>
      <w:numFmt w:val="bullet"/>
      <w:lvlText w:val="•"/>
      <w:lvlJc w:val="left"/>
      <w:pPr>
        <w:tabs>
          <w:tab w:val="num" w:pos="3600"/>
        </w:tabs>
        <w:ind w:left="3600" w:hanging="360"/>
      </w:pPr>
      <w:rPr>
        <w:rFonts w:ascii="Times New Roman" w:hAnsi="Times New Roman" w:hint="default"/>
      </w:rPr>
    </w:lvl>
    <w:lvl w:ilvl="5" w:tplc="B7D61968" w:tentative="1">
      <w:start w:val="1"/>
      <w:numFmt w:val="bullet"/>
      <w:lvlText w:val="•"/>
      <w:lvlJc w:val="left"/>
      <w:pPr>
        <w:tabs>
          <w:tab w:val="num" w:pos="4320"/>
        </w:tabs>
        <w:ind w:left="4320" w:hanging="360"/>
      </w:pPr>
      <w:rPr>
        <w:rFonts w:ascii="Times New Roman" w:hAnsi="Times New Roman" w:hint="default"/>
      </w:rPr>
    </w:lvl>
    <w:lvl w:ilvl="6" w:tplc="F62227B6" w:tentative="1">
      <w:start w:val="1"/>
      <w:numFmt w:val="bullet"/>
      <w:lvlText w:val="•"/>
      <w:lvlJc w:val="left"/>
      <w:pPr>
        <w:tabs>
          <w:tab w:val="num" w:pos="5040"/>
        </w:tabs>
        <w:ind w:left="5040" w:hanging="360"/>
      </w:pPr>
      <w:rPr>
        <w:rFonts w:ascii="Times New Roman" w:hAnsi="Times New Roman" w:hint="default"/>
      </w:rPr>
    </w:lvl>
    <w:lvl w:ilvl="7" w:tplc="BAFE4306" w:tentative="1">
      <w:start w:val="1"/>
      <w:numFmt w:val="bullet"/>
      <w:lvlText w:val="•"/>
      <w:lvlJc w:val="left"/>
      <w:pPr>
        <w:tabs>
          <w:tab w:val="num" w:pos="5760"/>
        </w:tabs>
        <w:ind w:left="5760" w:hanging="360"/>
      </w:pPr>
      <w:rPr>
        <w:rFonts w:ascii="Times New Roman" w:hAnsi="Times New Roman" w:hint="default"/>
      </w:rPr>
    </w:lvl>
    <w:lvl w:ilvl="8" w:tplc="974EF0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8333E8"/>
    <w:multiLevelType w:val="hybridMultilevel"/>
    <w:tmpl w:val="31B8D66A"/>
    <w:lvl w:ilvl="0" w:tplc="2FD6ACB8">
      <w:start w:val="1"/>
      <w:numFmt w:val="bullet"/>
      <w:lvlText w:val="•"/>
      <w:lvlJc w:val="left"/>
      <w:pPr>
        <w:tabs>
          <w:tab w:val="num" w:pos="720"/>
        </w:tabs>
        <w:ind w:left="720" w:hanging="360"/>
      </w:pPr>
      <w:rPr>
        <w:rFonts w:ascii="Times New Roman" w:hAnsi="Times New Roman" w:hint="default"/>
      </w:rPr>
    </w:lvl>
    <w:lvl w:ilvl="1" w:tplc="79041214" w:tentative="1">
      <w:start w:val="1"/>
      <w:numFmt w:val="bullet"/>
      <w:lvlText w:val="•"/>
      <w:lvlJc w:val="left"/>
      <w:pPr>
        <w:tabs>
          <w:tab w:val="num" w:pos="1440"/>
        </w:tabs>
        <w:ind w:left="1440" w:hanging="360"/>
      </w:pPr>
      <w:rPr>
        <w:rFonts w:ascii="Times New Roman" w:hAnsi="Times New Roman" w:hint="default"/>
      </w:rPr>
    </w:lvl>
    <w:lvl w:ilvl="2" w:tplc="F7C25392" w:tentative="1">
      <w:start w:val="1"/>
      <w:numFmt w:val="bullet"/>
      <w:lvlText w:val="•"/>
      <w:lvlJc w:val="left"/>
      <w:pPr>
        <w:tabs>
          <w:tab w:val="num" w:pos="2160"/>
        </w:tabs>
        <w:ind w:left="2160" w:hanging="360"/>
      </w:pPr>
      <w:rPr>
        <w:rFonts w:ascii="Times New Roman" w:hAnsi="Times New Roman" w:hint="default"/>
      </w:rPr>
    </w:lvl>
    <w:lvl w:ilvl="3" w:tplc="87567118" w:tentative="1">
      <w:start w:val="1"/>
      <w:numFmt w:val="bullet"/>
      <w:lvlText w:val="•"/>
      <w:lvlJc w:val="left"/>
      <w:pPr>
        <w:tabs>
          <w:tab w:val="num" w:pos="2880"/>
        </w:tabs>
        <w:ind w:left="2880" w:hanging="360"/>
      </w:pPr>
      <w:rPr>
        <w:rFonts w:ascii="Times New Roman" w:hAnsi="Times New Roman" w:hint="default"/>
      </w:rPr>
    </w:lvl>
    <w:lvl w:ilvl="4" w:tplc="2B50E6FE" w:tentative="1">
      <w:start w:val="1"/>
      <w:numFmt w:val="bullet"/>
      <w:lvlText w:val="•"/>
      <w:lvlJc w:val="left"/>
      <w:pPr>
        <w:tabs>
          <w:tab w:val="num" w:pos="3600"/>
        </w:tabs>
        <w:ind w:left="3600" w:hanging="360"/>
      </w:pPr>
      <w:rPr>
        <w:rFonts w:ascii="Times New Roman" w:hAnsi="Times New Roman" w:hint="default"/>
      </w:rPr>
    </w:lvl>
    <w:lvl w:ilvl="5" w:tplc="6582BFE0" w:tentative="1">
      <w:start w:val="1"/>
      <w:numFmt w:val="bullet"/>
      <w:lvlText w:val="•"/>
      <w:lvlJc w:val="left"/>
      <w:pPr>
        <w:tabs>
          <w:tab w:val="num" w:pos="4320"/>
        </w:tabs>
        <w:ind w:left="4320" w:hanging="360"/>
      </w:pPr>
      <w:rPr>
        <w:rFonts w:ascii="Times New Roman" w:hAnsi="Times New Roman" w:hint="default"/>
      </w:rPr>
    </w:lvl>
    <w:lvl w:ilvl="6" w:tplc="860C2262" w:tentative="1">
      <w:start w:val="1"/>
      <w:numFmt w:val="bullet"/>
      <w:lvlText w:val="•"/>
      <w:lvlJc w:val="left"/>
      <w:pPr>
        <w:tabs>
          <w:tab w:val="num" w:pos="5040"/>
        </w:tabs>
        <w:ind w:left="5040" w:hanging="360"/>
      </w:pPr>
      <w:rPr>
        <w:rFonts w:ascii="Times New Roman" w:hAnsi="Times New Roman" w:hint="default"/>
      </w:rPr>
    </w:lvl>
    <w:lvl w:ilvl="7" w:tplc="557E1840" w:tentative="1">
      <w:start w:val="1"/>
      <w:numFmt w:val="bullet"/>
      <w:lvlText w:val="•"/>
      <w:lvlJc w:val="left"/>
      <w:pPr>
        <w:tabs>
          <w:tab w:val="num" w:pos="5760"/>
        </w:tabs>
        <w:ind w:left="5760" w:hanging="360"/>
      </w:pPr>
      <w:rPr>
        <w:rFonts w:ascii="Times New Roman" w:hAnsi="Times New Roman" w:hint="default"/>
      </w:rPr>
    </w:lvl>
    <w:lvl w:ilvl="8" w:tplc="AA4210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72476D"/>
    <w:multiLevelType w:val="hybridMultilevel"/>
    <w:tmpl w:val="B852AB26"/>
    <w:lvl w:ilvl="0" w:tplc="7C58B82E">
      <w:start w:val="1"/>
      <w:numFmt w:val="bullet"/>
      <w:lvlText w:val="•"/>
      <w:lvlJc w:val="left"/>
      <w:pPr>
        <w:tabs>
          <w:tab w:val="num" w:pos="720"/>
        </w:tabs>
        <w:ind w:left="720" w:hanging="360"/>
      </w:pPr>
      <w:rPr>
        <w:rFonts w:ascii="Times New Roman" w:hAnsi="Times New Roman" w:hint="default"/>
      </w:rPr>
    </w:lvl>
    <w:lvl w:ilvl="1" w:tplc="35DEED6A" w:tentative="1">
      <w:start w:val="1"/>
      <w:numFmt w:val="bullet"/>
      <w:lvlText w:val="•"/>
      <w:lvlJc w:val="left"/>
      <w:pPr>
        <w:tabs>
          <w:tab w:val="num" w:pos="1440"/>
        </w:tabs>
        <w:ind w:left="1440" w:hanging="360"/>
      </w:pPr>
      <w:rPr>
        <w:rFonts w:ascii="Times New Roman" w:hAnsi="Times New Roman" w:hint="default"/>
      </w:rPr>
    </w:lvl>
    <w:lvl w:ilvl="2" w:tplc="807469B6" w:tentative="1">
      <w:start w:val="1"/>
      <w:numFmt w:val="bullet"/>
      <w:lvlText w:val="•"/>
      <w:lvlJc w:val="left"/>
      <w:pPr>
        <w:tabs>
          <w:tab w:val="num" w:pos="2160"/>
        </w:tabs>
        <w:ind w:left="2160" w:hanging="360"/>
      </w:pPr>
      <w:rPr>
        <w:rFonts w:ascii="Times New Roman" w:hAnsi="Times New Roman" w:hint="default"/>
      </w:rPr>
    </w:lvl>
    <w:lvl w:ilvl="3" w:tplc="CA50E294" w:tentative="1">
      <w:start w:val="1"/>
      <w:numFmt w:val="bullet"/>
      <w:lvlText w:val="•"/>
      <w:lvlJc w:val="left"/>
      <w:pPr>
        <w:tabs>
          <w:tab w:val="num" w:pos="2880"/>
        </w:tabs>
        <w:ind w:left="2880" w:hanging="360"/>
      </w:pPr>
      <w:rPr>
        <w:rFonts w:ascii="Times New Roman" w:hAnsi="Times New Roman" w:hint="default"/>
      </w:rPr>
    </w:lvl>
    <w:lvl w:ilvl="4" w:tplc="04F6A8EE" w:tentative="1">
      <w:start w:val="1"/>
      <w:numFmt w:val="bullet"/>
      <w:lvlText w:val="•"/>
      <w:lvlJc w:val="left"/>
      <w:pPr>
        <w:tabs>
          <w:tab w:val="num" w:pos="3600"/>
        </w:tabs>
        <w:ind w:left="3600" w:hanging="360"/>
      </w:pPr>
      <w:rPr>
        <w:rFonts w:ascii="Times New Roman" w:hAnsi="Times New Roman" w:hint="default"/>
      </w:rPr>
    </w:lvl>
    <w:lvl w:ilvl="5" w:tplc="4E240F16" w:tentative="1">
      <w:start w:val="1"/>
      <w:numFmt w:val="bullet"/>
      <w:lvlText w:val="•"/>
      <w:lvlJc w:val="left"/>
      <w:pPr>
        <w:tabs>
          <w:tab w:val="num" w:pos="4320"/>
        </w:tabs>
        <w:ind w:left="4320" w:hanging="360"/>
      </w:pPr>
      <w:rPr>
        <w:rFonts w:ascii="Times New Roman" w:hAnsi="Times New Roman" w:hint="default"/>
      </w:rPr>
    </w:lvl>
    <w:lvl w:ilvl="6" w:tplc="2FB0FA52" w:tentative="1">
      <w:start w:val="1"/>
      <w:numFmt w:val="bullet"/>
      <w:lvlText w:val="•"/>
      <w:lvlJc w:val="left"/>
      <w:pPr>
        <w:tabs>
          <w:tab w:val="num" w:pos="5040"/>
        </w:tabs>
        <w:ind w:left="5040" w:hanging="360"/>
      </w:pPr>
      <w:rPr>
        <w:rFonts w:ascii="Times New Roman" w:hAnsi="Times New Roman" w:hint="default"/>
      </w:rPr>
    </w:lvl>
    <w:lvl w:ilvl="7" w:tplc="DD76BB56" w:tentative="1">
      <w:start w:val="1"/>
      <w:numFmt w:val="bullet"/>
      <w:lvlText w:val="•"/>
      <w:lvlJc w:val="left"/>
      <w:pPr>
        <w:tabs>
          <w:tab w:val="num" w:pos="5760"/>
        </w:tabs>
        <w:ind w:left="5760" w:hanging="360"/>
      </w:pPr>
      <w:rPr>
        <w:rFonts w:ascii="Times New Roman" w:hAnsi="Times New Roman" w:hint="default"/>
      </w:rPr>
    </w:lvl>
    <w:lvl w:ilvl="8" w:tplc="6A48BD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E456DDF"/>
    <w:multiLevelType w:val="hybridMultilevel"/>
    <w:tmpl w:val="909C2ADC"/>
    <w:lvl w:ilvl="0" w:tplc="BE7E817C">
      <w:start w:val="1"/>
      <w:numFmt w:val="bullet"/>
      <w:lvlText w:val="•"/>
      <w:lvlJc w:val="left"/>
      <w:pPr>
        <w:tabs>
          <w:tab w:val="num" w:pos="720"/>
        </w:tabs>
        <w:ind w:left="720" w:hanging="360"/>
      </w:pPr>
      <w:rPr>
        <w:rFonts w:ascii="Times New Roman" w:hAnsi="Times New Roman" w:hint="default"/>
      </w:rPr>
    </w:lvl>
    <w:lvl w:ilvl="1" w:tplc="D62E4338" w:tentative="1">
      <w:start w:val="1"/>
      <w:numFmt w:val="bullet"/>
      <w:lvlText w:val="•"/>
      <w:lvlJc w:val="left"/>
      <w:pPr>
        <w:tabs>
          <w:tab w:val="num" w:pos="1440"/>
        </w:tabs>
        <w:ind w:left="1440" w:hanging="360"/>
      </w:pPr>
      <w:rPr>
        <w:rFonts w:ascii="Times New Roman" w:hAnsi="Times New Roman" w:hint="default"/>
      </w:rPr>
    </w:lvl>
    <w:lvl w:ilvl="2" w:tplc="1A162566" w:tentative="1">
      <w:start w:val="1"/>
      <w:numFmt w:val="bullet"/>
      <w:lvlText w:val="•"/>
      <w:lvlJc w:val="left"/>
      <w:pPr>
        <w:tabs>
          <w:tab w:val="num" w:pos="2160"/>
        </w:tabs>
        <w:ind w:left="2160" w:hanging="360"/>
      </w:pPr>
      <w:rPr>
        <w:rFonts w:ascii="Times New Roman" w:hAnsi="Times New Roman" w:hint="default"/>
      </w:rPr>
    </w:lvl>
    <w:lvl w:ilvl="3" w:tplc="0D025552" w:tentative="1">
      <w:start w:val="1"/>
      <w:numFmt w:val="bullet"/>
      <w:lvlText w:val="•"/>
      <w:lvlJc w:val="left"/>
      <w:pPr>
        <w:tabs>
          <w:tab w:val="num" w:pos="2880"/>
        </w:tabs>
        <w:ind w:left="2880" w:hanging="360"/>
      </w:pPr>
      <w:rPr>
        <w:rFonts w:ascii="Times New Roman" w:hAnsi="Times New Roman" w:hint="default"/>
      </w:rPr>
    </w:lvl>
    <w:lvl w:ilvl="4" w:tplc="BC12A8C8" w:tentative="1">
      <w:start w:val="1"/>
      <w:numFmt w:val="bullet"/>
      <w:lvlText w:val="•"/>
      <w:lvlJc w:val="left"/>
      <w:pPr>
        <w:tabs>
          <w:tab w:val="num" w:pos="3600"/>
        </w:tabs>
        <w:ind w:left="3600" w:hanging="360"/>
      </w:pPr>
      <w:rPr>
        <w:rFonts w:ascii="Times New Roman" w:hAnsi="Times New Roman" w:hint="default"/>
      </w:rPr>
    </w:lvl>
    <w:lvl w:ilvl="5" w:tplc="7C7AD8E6" w:tentative="1">
      <w:start w:val="1"/>
      <w:numFmt w:val="bullet"/>
      <w:lvlText w:val="•"/>
      <w:lvlJc w:val="left"/>
      <w:pPr>
        <w:tabs>
          <w:tab w:val="num" w:pos="4320"/>
        </w:tabs>
        <w:ind w:left="4320" w:hanging="360"/>
      </w:pPr>
      <w:rPr>
        <w:rFonts w:ascii="Times New Roman" w:hAnsi="Times New Roman" w:hint="default"/>
      </w:rPr>
    </w:lvl>
    <w:lvl w:ilvl="6" w:tplc="B0E848EC" w:tentative="1">
      <w:start w:val="1"/>
      <w:numFmt w:val="bullet"/>
      <w:lvlText w:val="•"/>
      <w:lvlJc w:val="left"/>
      <w:pPr>
        <w:tabs>
          <w:tab w:val="num" w:pos="5040"/>
        </w:tabs>
        <w:ind w:left="5040" w:hanging="360"/>
      </w:pPr>
      <w:rPr>
        <w:rFonts w:ascii="Times New Roman" w:hAnsi="Times New Roman" w:hint="default"/>
      </w:rPr>
    </w:lvl>
    <w:lvl w:ilvl="7" w:tplc="FCB8E576" w:tentative="1">
      <w:start w:val="1"/>
      <w:numFmt w:val="bullet"/>
      <w:lvlText w:val="•"/>
      <w:lvlJc w:val="left"/>
      <w:pPr>
        <w:tabs>
          <w:tab w:val="num" w:pos="5760"/>
        </w:tabs>
        <w:ind w:left="5760" w:hanging="360"/>
      </w:pPr>
      <w:rPr>
        <w:rFonts w:ascii="Times New Roman" w:hAnsi="Times New Roman" w:hint="default"/>
      </w:rPr>
    </w:lvl>
    <w:lvl w:ilvl="8" w:tplc="90628D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5887C8C"/>
    <w:multiLevelType w:val="hybridMultilevel"/>
    <w:tmpl w:val="98545C12"/>
    <w:lvl w:ilvl="0" w:tplc="B8B69322">
      <w:start w:val="1"/>
      <w:numFmt w:val="bullet"/>
      <w:lvlText w:val="•"/>
      <w:lvlJc w:val="left"/>
      <w:pPr>
        <w:tabs>
          <w:tab w:val="num" w:pos="720"/>
        </w:tabs>
        <w:ind w:left="720" w:hanging="360"/>
      </w:pPr>
      <w:rPr>
        <w:rFonts w:ascii="Times New Roman" w:hAnsi="Times New Roman" w:hint="default"/>
      </w:rPr>
    </w:lvl>
    <w:lvl w:ilvl="1" w:tplc="F2B4A32A" w:tentative="1">
      <w:start w:val="1"/>
      <w:numFmt w:val="bullet"/>
      <w:lvlText w:val="•"/>
      <w:lvlJc w:val="left"/>
      <w:pPr>
        <w:tabs>
          <w:tab w:val="num" w:pos="1440"/>
        </w:tabs>
        <w:ind w:left="1440" w:hanging="360"/>
      </w:pPr>
      <w:rPr>
        <w:rFonts w:ascii="Times New Roman" w:hAnsi="Times New Roman" w:hint="default"/>
      </w:rPr>
    </w:lvl>
    <w:lvl w:ilvl="2" w:tplc="1EF87192" w:tentative="1">
      <w:start w:val="1"/>
      <w:numFmt w:val="bullet"/>
      <w:lvlText w:val="•"/>
      <w:lvlJc w:val="left"/>
      <w:pPr>
        <w:tabs>
          <w:tab w:val="num" w:pos="2160"/>
        </w:tabs>
        <w:ind w:left="2160" w:hanging="360"/>
      </w:pPr>
      <w:rPr>
        <w:rFonts w:ascii="Times New Roman" w:hAnsi="Times New Roman" w:hint="default"/>
      </w:rPr>
    </w:lvl>
    <w:lvl w:ilvl="3" w:tplc="5720CBE4" w:tentative="1">
      <w:start w:val="1"/>
      <w:numFmt w:val="bullet"/>
      <w:lvlText w:val="•"/>
      <w:lvlJc w:val="left"/>
      <w:pPr>
        <w:tabs>
          <w:tab w:val="num" w:pos="2880"/>
        </w:tabs>
        <w:ind w:left="2880" w:hanging="360"/>
      </w:pPr>
      <w:rPr>
        <w:rFonts w:ascii="Times New Roman" w:hAnsi="Times New Roman" w:hint="default"/>
      </w:rPr>
    </w:lvl>
    <w:lvl w:ilvl="4" w:tplc="A2D44514" w:tentative="1">
      <w:start w:val="1"/>
      <w:numFmt w:val="bullet"/>
      <w:lvlText w:val="•"/>
      <w:lvlJc w:val="left"/>
      <w:pPr>
        <w:tabs>
          <w:tab w:val="num" w:pos="3600"/>
        </w:tabs>
        <w:ind w:left="3600" w:hanging="360"/>
      </w:pPr>
      <w:rPr>
        <w:rFonts w:ascii="Times New Roman" w:hAnsi="Times New Roman" w:hint="default"/>
      </w:rPr>
    </w:lvl>
    <w:lvl w:ilvl="5" w:tplc="832CCF08" w:tentative="1">
      <w:start w:val="1"/>
      <w:numFmt w:val="bullet"/>
      <w:lvlText w:val="•"/>
      <w:lvlJc w:val="left"/>
      <w:pPr>
        <w:tabs>
          <w:tab w:val="num" w:pos="4320"/>
        </w:tabs>
        <w:ind w:left="4320" w:hanging="360"/>
      </w:pPr>
      <w:rPr>
        <w:rFonts w:ascii="Times New Roman" w:hAnsi="Times New Roman" w:hint="default"/>
      </w:rPr>
    </w:lvl>
    <w:lvl w:ilvl="6" w:tplc="005AC696" w:tentative="1">
      <w:start w:val="1"/>
      <w:numFmt w:val="bullet"/>
      <w:lvlText w:val="•"/>
      <w:lvlJc w:val="left"/>
      <w:pPr>
        <w:tabs>
          <w:tab w:val="num" w:pos="5040"/>
        </w:tabs>
        <w:ind w:left="5040" w:hanging="360"/>
      </w:pPr>
      <w:rPr>
        <w:rFonts w:ascii="Times New Roman" w:hAnsi="Times New Roman" w:hint="default"/>
      </w:rPr>
    </w:lvl>
    <w:lvl w:ilvl="7" w:tplc="239A2B36" w:tentative="1">
      <w:start w:val="1"/>
      <w:numFmt w:val="bullet"/>
      <w:lvlText w:val="•"/>
      <w:lvlJc w:val="left"/>
      <w:pPr>
        <w:tabs>
          <w:tab w:val="num" w:pos="5760"/>
        </w:tabs>
        <w:ind w:left="5760" w:hanging="360"/>
      </w:pPr>
      <w:rPr>
        <w:rFonts w:ascii="Times New Roman" w:hAnsi="Times New Roman" w:hint="default"/>
      </w:rPr>
    </w:lvl>
    <w:lvl w:ilvl="8" w:tplc="1E9A768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F442402"/>
    <w:multiLevelType w:val="hybridMultilevel"/>
    <w:tmpl w:val="3E34AFA0"/>
    <w:lvl w:ilvl="0" w:tplc="11B8FB58">
      <w:start w:val="1"/>
      <w:numFmt w:val="bullet"/>
      <w:lvlText w:val="•"/>
      <w:lvlJc w:val="left"/>
      <w:pPr>
        <w:tabs>
          <w:tab w:val="num" w:pos="720"/>
        </w:tabs>
        <w:ind w:left="720" w:hanging="360"/>
      </w:pPr>
      <w:rPr>
        <w:rFonts w:ascii="Times New Roman" w:hAnsi="Times New Roman" w:hint="default"/>
      </w:rPr>
    </w:lvl>
    <w:lvl w:ilvl="1" w:tplc="14E88734" w:tentative="1">
      <w:start w:val="1"/>
      <w:numFmt w:val="bullet"/>
      <w:lvlText w:val="•"/>
      <w:lvlJc w:val="left"/>
      <w:pPr>
        <w:tabs>
          <w:tab w:val="num" w:pos="1440"/>
        </w:tabs>
        <w:ind w:left="1440" w:hanging="360"/>
      </w:pPr>
      <w:rPr>
        <w:rFonts w:ascii="Times New Roman" w:hAnsi="Times New Roman" w:hint="default"/>
      </w:rPr>
    </w:lvl>
    <w:lvl w:ilvl="2" w:tplc="801A0E82" w:tentative="1">
      <w:start w:val="1"/>
      <w:numFmt w:val="bullet"/>
      <w:lvlText w:val="•"/>
      <w:lvlJc w:val="left"/>
      <w:pPr>
        <w:tabs>
          <w:tab w:val="num" w:pos="2160"/>
        </w:tabs>
        <w:ind w:left="2160" w:hanging="360"/>
      </w:pPr>
      <w:rPr>
        <w:rFonts w:ascii="Times New Roman" w:hAnsi="Times New Roman" w:hint="default"/>
      </w:rPr>
    </w:lvl>
    <w:lvl w:ilvl="3" w:tplc="E6BAFAC4" w:tentative="1">
      <w:start w:val="1"/>
      <w:numFmt w:val="bullet"/>
      <w:lvlText w:val="•"/>
      <w:lvlJc w:val="left"/>
      <w:pPr>
        <w:tabs>
          <w:tab w:val="num" w:pos="2880"/>
        </w:tabs>
        <w:ind w:left="2880" w:hanging="360"/>
      </w:pPr>
      <w:rPr>
        <w:rFonts w:ascii="Times New Roman" w:hAnsi="Times New Roman" w:hint="default"/>
      </w:rPr>
    </w:lvl>
    <w:lvl w:ilvl="4" w:tplc="EDD0D610" w:tentative="1">
      <w:start w:val="1"/>
      <w:numFmt w:val="bullet"/>
      <w:lvlText w:val="•"/>
      <w:lvlJc w:val="left"/>
      <w:pPr>
        <w:tabs>
          <w:tab w:val="num" w:pos="3600"/>
        </w:tabs>
        <w:ind w:left="3600" w:hanging="360"/>
      </w:pPr>
      <w:rPr>
        <w:rFonts w:ascii="Times New Roman" w:hAnsi="Times New Roman" w:hint="default"/>
      </w:rPr>
    </w:lvl>
    <w:lvl w:ilvl="5" w:tplc="D452F260" w:tentative="1">
      <w:start w:val="1"/>
      <w:numFmt w:val="bullet"/>
      <w:lvlText w:val="•"/>
      <w:lvlJc w:val="left"/>
      <w:pPr>
        <w:tabs>
          <w:tab w:val="num" w:pos="4320"/>
        </w:tabs>
        <w:ind w:left="4320" w:hanging="360"/>
      </w:pPr>
      <w:rPr>
        <w:rFonts w:ascii="Times New Roman" w:hAnsi="Times New Roman" w:hint="default"/>
      </w:rPr>
    </w:lvl>
    <w:lvl w:ilvl="6" w:tplc="07EE994C" w:tentative="1">
      <w:start w:val="1"/>
      <w:numFmt w:val="bullet"/>
      <w:lvlText w:val="•"/>
      <w:lvlJc w:val="left"/>
      <w:pPr>
        <w:tabs>
          <w:tab w:val="num" w:pos="5040"/>
        </w:tabs>
        <w:ind w:left="5040" w:hanging="360"/>
      </w:pPr>
      <w:rPr>
        <w:rFonts w:ascii="Times New Roman" w:hAnsi="Times New Roman" w:hint="default"/>
      </w:rPr>
    </w:lvl>
    <w:lvl w:ilvl="7" w:tplc="8C66AA12" w:tentative="1">
      <w:start w:val="1"/>
      <w:numFmt w:val="bullet"/>
      <w:lvlText w:val="•"/>
      <w:lvlJc w:val="left"/>
      <w:pPr>
        <w:tabs>
          <w:tab w:val="num" w:pos="5760"/>
        </w:tabs>
        <w:ind w:left="5760" w:hanging="360"/>
      </w:pPr>
      <w:rPr>
        <w:rFonts w:ascii="Times New Roman" w:hAnsi="Times New Roman" w:hint="default"/>
      </w:rPr>
    </w:lvl>
    <w:lvl w:ilvl="8" w:tplc="EA10F6B2" w:tentative="1">
      <w:start w:val="1"/>
      <w:numFmt w:val="bullet"/>
      <w:lvlText w:val="•"/>
      <w:lvlJc w:val="left"/>
      <w:pPr>
        <w:tabs>
          <w:tab w:val="num" w:pos="6480"/>
        </w:tabs>
        <w:ind w:left="6480" w:hanging="360"/>
      </w:pPr>
      <w:rPr>
        <w:rFonts w:ascii="Times New Roman" w:hAnsi="Times New Roman" w:hint="default"/>
      </w:rPr>
    </w:lvl>
  </w:abstractNum>
  <w:num w:numId="1" w16cid:durableId="650520159">
    <w:abstractNumId w:val="0"/>
  </w:num>
  <w:num w:numId="2" w16cid:durableId="316501323">
    <w:abstractNumId w:val="7"/>
  </w:num>
  <w:num w:numId="3" w16cid:durableId="1139298649">
    <w:abstractNumId w:val="5"/>
  </w:num>
  <w:num w:numId="4" w16cid:durableId="1691106244">
    <w:abstractNumId w:val="1"/>
  </w:num>
  <w:num w:numId="5" w16cid:durableId="1822498297">
    <w:abstractNumId w:val="2"/>
  </w:num>
  <w:num w:numId="6" w16cid:durableId="1042292063">
    <w:abstractNumId w:val="4"/>
  </w:num>
  <w:num w:numId="7" w16cid:durableId="903638824">
    <w:abstractNumId w:val="3"/>
  </w:num>
  <w:num w:numId="8" w16cid:durableId="394936727">
    <w:abstractNumId w:val="6"/>
  </w:num>
  <w:num w:numId="9" w16cid:durableId="1740667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963E3"/>
    <w:rsid w:val="000B2CCA"/>
    <w:rsid w:val="000F0349"/>
    <w:rsid w:val="0010423A"/>
    <w:rsid w:val="00136471"/>
    <w:rsid w:val="001C3653"/>
    <w:rsid w:val="00297593"/>
    <w:rsid w:val="002A0BC9"/>
    <w:rsid w:val="002F33A7"/>
    <w:rsid w:val="0059616D"/>
    <w:rsid w:val="0063783B"/>
    <w:rsid w:val="00643BFA"/>
    <w:rsid w:val="007E087E"/>
    <w:rsid w:val="008E0D01"/>
    <w:rsid w:val="008E5C3B"/>
    <w:rsid w:val="00934914"/>
    <w:rsid w:val="009553B0"/>
    <w:rsid w:val="009E1048"/>
    <w:rsid w:val="00A117D0"/>
    <w:rsid w:val="00A800D9"/>
    <w:rsid w:val="00A93980"/>
    <w:rsid w:val="00A979D3"/>
    <w:rsid w:val="00AB5BD7"/>
    <w:rsid w:val="00AD71F0"/>
    <w:rsid w:val="00B062E7"/>
    <w:rsid w:val="00B23FE5"/>
    <w:rsid w:val="00B612B9"/>
    <w:rsid w:val="00B824C7"/>
    <w:rsid w:val="00BF1817"/>
    <w:rsid w:val="00C079C4"/>
    <w:rsid w:val="00CB535A"/>
    <w:rsid w:val="00D74735"/>
    <w:rsid w:val="00D963E3"/>
    <w:rsid w:val="00E96B1B"/>
    <w:rsid w:val="00E97346"/>
    <w:rsid w:val="00EA2046"/>
    <w:rsid w:val="00F318DC"/>
    <w:rsid w:val="00FC1C49"/>
    <w:rsid w:val="00FC39E6"/>
    <w:rsid w:val="00FC3B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72EE"/>
  <w15:docId w15:val="{D201027A-FA01-6940-9498-DA42254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35"/>
    <w:rPr>
      <w:rFonts w:ascii="Times New Roman" w:eastAsia="Times New Roman" w:hAnsi="Times New Roman" w:cs="Times New Roman"/>
    </w:rPr>
  </w:style>
  <w:style w:type="paragraph" w:styleId="Heading1">
    <w:name w:val="heading 1"/>
    <w:basedOn w:val="Normal"/>
    <w:uiPriority w:val="9"/>
    <w:qFormat/>
    <w:pPr>
      <w:ind w:left="8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left="112"/>
    </w:pPr>
    <w:rPr>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6B1B"/>
    <w:rPr>
      <w:color w:val="0000FF" w:themeColor="hyperlink"/>
      <w:u w:val="single"/>
    </w:rPr>
  </w:style>
  <w:style w:type="character" w:styleId="UnresolvedMention">
    <w:name w:val="Unresolved Mention"/>
    <w:basedOn w:val="DefaultParagraphFont"/>
    <w:uiPriority w:val="99"/>
    <w:semiHidden/>
    <w:unhideWhenUsed/>
    <w:rsid w:val="00E96B1B"/>
    <w:rPr>
      <w:color w:val="605E5C"/>
      <w:shd w:val="clear" w:color="auto" w:fill="E1DFDD"/>
    </w:rPr>
  </w:style>
  <w:style w:type="character" w:styleId="FollowedHyperlink">
    <w:name w:val="FollowedHyperlink"/>
    <w:basedOn w:val="DefaultParagraphFont"/>
    <w:uiPriority w:val="99"/>
    <w:semiHidden/>
    <w:unhideWhenUsed/>
    <w:rsid w:val="00E97346"/>
    <w:rPr>
      <w:color w:val="800080" w:themeColor="followedHyperlink"/>
      <w:u w:val="single"/>
    </w:rPr>
  </w:style>
  <w:style w:type="paragraph" w:styleId="Bibliography">
    <w:name w:val="Bibliography"/>
    <w:basedOn w:val="Normal"/>
    <w:next w:val="Normal"/>
    <w:uiPriority w:val="37"/>
    <w:unhideWhenUsed/>
    <w:rsid w:val="00C0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212">
      <w:bodyDiv w:val="1"/>
      <w:marLeft w:val="0"/>
      <w:marRight w:val="0"/>
      <w:marTop w:val="0"/>
      <w:marBottom w:val="0"/>
      <w:divBdr>
        <w:top w:val="none" w:sz="0" w:space="0" w:color="auto"/>
        <w:left w:val="none" w:sz="0" w:space="0" w:color="auto"/>
        <w:bottom w:val="none" w:sz="0" w:space="0" w:color="auto"/>
        <w:right w:val="none" w:sz="0" w:space="0" w:color="auto"/>
      </w:divBdr>
    </w:div>
    <w:div w:id="405613744">
      <w:bodyDiv w:val="1"/>
      <w:marLeft w:val="0"/>
      <w:marRight w:val="0"/>
      <w:marTop w:val="0"/>
      <w:marBottom w:val="0"/>
      <w:divBdr>
        <w:top w:val="none" w:sz="0" w:space="0" w:color="auto"/>
        <w:left w:val="none" w:sz="0" w:space="0" w:color="auto"/>
        <w:bottom w:val="none" w:sz="0" w:space="0" w:color="auto"/>
        <w:right w:val="none" w:sz="0" w:space="0" w:color="auto"/>
      </w:divBdr>
    </w:div>
    <w:div w:id="422646933">
      <w:bodyDiv w:val="1"/>
      <w:marLeft w:val="0"/>
      <w:marRight w:val="0"/>
      <w:marTop w:val="0"/>
      <w:marBottom w:val="0"/>
      <w:divBdr>
        <w:top w:val="none" w:sz="0" w:space="0" w:color="auto"/>
        <w:left w:val="none" w:sz="0" w:space="0" w:color="auto"/>
        <w:bottom w:val="none" w:sz="0" w:space="0" w:color="auto"/>
        <w:right w:val="none" w:sz="0" w:space="0" w:color="auto"/>
      </w:divBdr>
      <w:divsChild>
        <w:div w:id="1242986400">
          <w:marLeft w:val="0"/>
          <w:marRight w:val="0"/>
          <w:marTop w:val="0"/>
          <w:marBottom w:val="0"/>
          <w:divBdr>
            <w:top w:val="single" w:sz="2" w:space="0" w:color="E3E3E3"/>
            <w:left w:val="single" w:sz="2" w:space="0" w:color="E3E3E3"/>
            <w:bottom w:val="single" w:sz="2" w:space="0" w:color="E3E3E3"/>
            <w:right w:val="single" w:sz="2" w:space="0" w:color="E3E3E3"/>
          </w:divBdr>
          <w:divsChild>
            <w:div w:id="1302348566">
              <w:marLeft w:val="0"/>
              <w:marRight w:val="0"/>
              <w:marTop w:val="0"/>
              <w:marBottom w:val="0"/>
              <w:divBdr>
                <w:top w:val="single" w:sz="2" w:space="0" w:color="E3E3E3"/>
                <w:left w:val="single" w:sz="2" w:space="0" w:color="E3E3E3"/>
                <w:bottom w:val="single" w:sz="2" w:space="0" w:color="E3E3E3"/>
                <w:right w:val="single" w:sz="2" w:space="0" w:color="E3E3E3"/>
              </w:divBdr>
              <w:divsChild>
                <w:div w:id="1334450900">
                  <w:marLeft w:val="0"/>
                  <w:marRight w:val="0"/>
                  <w:marTop w:val="0"/>
                  <w:marBottom w:val="0"/>
                  <w:divBdr>
                    <w:top w:val="single" w:sz="2" w:space="0" w:color="E3E3E3"/>
                    <w:left w:val="single" w:sz="2" w:space="0" w:color="E3E3E3"/>
                    <w:bottom w:val="single" w:sz="2" w:space="0" w:color="E3E3E3"/>
                    <w:right w:val="single" w:sz="2" w:space="0" w:color="E3E3E3"/>
                  </w:divBdr>
                  <w:divsChild>
                    <w:div w:id="1868791315">
                      <w:marLeft w:val="0"/>
                      <w:marRight w:val="0"/>
                      <w:marTop w:val="100"/>
                      <w:marBottom w:val="100"/>
                      <w:divBdr>
                        <w:top w:val="single" w:sz="2" w:space="0" w:color="E3E3E3"/>
                        <w:left w:val="single" w:sz="2" w:space="0" w:color="E3E3E3"/>
                        <w:bottom w:val="single" w:sz="2" w:space="0" w:color="E3E3E3"/>
                        <w:right w:val="single" w:sz="2" w:space="0" w:color="E3E3E3"/>
                      </w:divBdr>
                      <w:divsChild>
                        <w:div w:id="342240989">
                          <w:marLeft w:val="0"/>
                          <w:marRight w:val="0"/>
                          <w:marTop w:val="0"/>
                          <w:marBottom w:val="0"/>
                          <w:divBdr>
                            <w:top w:val="single" w:sz="2" w:space="0" w:color="E3E3E3"/>
                            <w:left w:val="single" w:sz="2" w:space="0" w:color="E3E3E3"/>
                            <w:bottom w:val="single" w:sz="2" w:space="0" w:color="E3E3E3"/>
                            <w:right w:val="single" w:sz="2" w:space="0" w:color="E3E3E3"/>
                          </w:divBdr>
                          <w:divsChild>
                            <w:div w:id="1803308505">
                              <w:marLeft w:val="0"/>
                              <w:marRight w:val="0"/>
                              <w:marTop w:val="0"/>
                              <w:marBottom w:val="0"/>
                              <w:divBdr>
                                <w:top w:val="single" w:sz="2" w:space="0" w:color="E3E3E3"/>
                                <w:left w:val="single" w:sz="2" w:space="0" w:color="E3E3E3"/>
                                <w:bottom w:val="single" w:sz="2" w:space="0" w:color="E3E3E3"/>
                                <w:right w:val="single" w:sz="2" w:space="0" w:color="E3E3E3"/>
                              </w:divBdr>
                              <w:divsChild>
                                <w:div w:id="399258817">
                                  <w:marLeft w:val="0"/>
                                  <w:marRight w:val="0"/>
                                  <w:marTop w:val="0"/>
                                  <w:marBottom w:val="0"/>
                                  <w:divBdr>
                                    <w:top w:val="single" w:sz="2" w:space="0" w:color="E3E3E3"/>
                                    <w:left w:val="single" w:sz="2" w:space="0" w:color="E3E3E3"/>
                                    <w:bottom w:val="single" w:sz="2" w:space="0" w:color="E3E3E3"/>
                                    <w:right w:val="single" w:sz="2" w:space="0" w:color="E3E3E3"/>
                                  </w:divBdr>
                                  <w:divsChild>
                                    <w:div w:id="1770278154">
                                      <w:marLeft w:val="0"/>
                                      <w:marRight w:val="0"/>
                                      <w:marTop w:val="0"/>
                                      <w:marBottom w:val="0"/>
                                      <w:divBdr>
                                        <w:top w:val="single" w:sz="2" w:space="0" w:color="E3E3E3"/>
                                        <w:left w:val="single" w:sz="2" w:space="0" w:color="E3E3E3"/>
                                        <w:bottom w:val="single" w:sz="2" w:space="0" w:color="E3E3E3"/>
                                        <w:right w:val="single" w:sz="2" w:space="0" w:color="E3E3E3"/>
                                      </w:divBdr>
                                      <w:divsChild>
                                        <w:div w:id="108358276">
                                          <w:marLeft w:val="0"/>
                                          <w:marRight w:val="0"/>
                                          <w:marTop w:val="0"/>
                                          <w:marBottom w:val="0"/>
                                          <w:divBdr>
                                            <w:top w:val="single" w:sz="2" w:space="0" w:color="E3E3E3"/>
                                            <w:left w:val="single" w:sz="2" w:space="0" w:color="E3E3E3"/>
                                            <w:bottom w:val="single" w:sz="2" w:space="0" w:color="E3E3E3"/>
                                            <w:right w:val="single" w:sz="2" w:space="0" w:color="E3E3E3"/>
                                          </w:divBdr>
                                          <w:divsChild>
                                            <w:div w:id="1285574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62412016">
          <w:marLeft w:val="0"/>
          <w:marRight w:val="0"/>
          <w:marTop w:val="0"/>
          <w:marBottom w:val="0"/>
          <w:divBdr>
            <w:top w:val="none" w:sz="0" w:space="0" w:color="auto"/>
            <w:left w:val="none" w:sz="0" w:space="0" w:color="auto"/>
            <w:bottom w:val="none" w:sz="0" w:space="0" w:color="auto"/>
            <w:right w:val="none" w:sz="0" w:space="0" w:color="auto"/>
          </w:divBdr>
        </w:div>
      </w:divsChild>
    </w:div>
    <w:div w:id="424034286">
      <w:bodyDiv w:val="1"/>
      <w:marLeft w:val="0"/>
      <w:marRight w:val="0"/>
      <w:marTop w:val="0"/>
      <w:marBottom w:val="0"/>
      <w:divBdr>
        <w:top w:val="none" w:sz="0" w:space="0" w:color="auto"/>
        <w:left w:val="none" w:sz="0" w:space="0" w:color="auto"/>
        <w:bottom w:val="none" w:sz="0" w:space="0" w:color="auto"/>
        <w:right w:val="none" w:sz="0" w:space="0" w:color="auto"/>
      </w:divBdr>
      <w:divsChild>
        <w:div w:id="1925264243">
          <w:marLeft w:val="0"/>
          <w:marRight w:val="0"/>
          <w:marTop w:val="0"/>
          <w:marBottom w:val="0"/>
          <w:divBdr>
            <w:top w:val="single" w:sz="2" w:space="0" w:color="E3E3E3"/>
            <w:left w:val="single" w:sz="2" w:space="0" w:color="E3E3E3"/>
            <w:bottom w:val="single" w:sz="2" w:space="0" w:color="E3E3E3"/>
            <w:right w:val="single" w:sz="2" w:space="0" w:color="E3E3E3"/>
          </w:divBdr>
          <w:divsChild>
            <w:div w:id="1269392277">
              <w:marLeft w:val="0"/>
              <w:marRight w:val="0"/>
              <w:marTop w:val="0"/>
              <w:marBottom w:val="0"/>
              <w:divBdr>
                <w:top w:val="single" w:sz="2" w:space="0" w:color="E3E3E3"/>
                <w:left w:val="single" w:sz="2" w:space="0" w:color="E3E3E3"/>
                <w:bottom w:val="single" w:sz="2" w:space="0" w:color="E3E3E3"/>
                <w:right w:val="single" w:sz="2" w:space="0" w:color="E3E3E3"/>
              </w:divBdr>
              <w:divsChild>
                <w:div w:id="145632227">
                  <w:marLeft w:val="0"/>
                  <w:marRight w:val="0"/>
                  <w:marTop w:val="0"/>
                  <w:marBottom w:val="0"/>
                  <w:divBdr>
                    <w:top w:val="single" w:sz="2" w:space="0" w:color="E3E3E3"/>
                    <w:left w:val="single" w:sz="2" w:space="0" w:color="E3E3E3"/>
                    <w:bottom w:val="single" w:sz="2" w:space="0" w:color="E3E3E3"/>
                    <w:right w:val="single" w:sz="2" w:space="0" w:color="E3E3E3"/>
                  </w:divBdr>
                  <w:divsChild>
                    <w:div w:id="1332291920">
                      <w:marLeft w:val="0"/>
                      <w:marRight w:val="0"/>
                      <w:marTop w:val="100"/>
                      <w:marBottom w:val="100"/>
                      <w:divBdr>
                        <w:top w:val="single" w:sz="2" w:space="0" w:color="E3E3E3"/>
                        <w:left w:val="single" w:sz="2" w:space="0" w:color="E3E3E3"/>
                        <w:bottom w:val="single" w:sz="2" w:space="0" w:color="E3E3E3"/>
                        <w:right w:val="single" w:sz="2" w:space="0" w:color="E3E3E3"/>
                      </w:divBdr>
                      <w:divsChild>
                        <w:div w:id="705107454">
                          <w:marLeft w:val="0"/>
                          <w:marRight w:val="0"/>
                          <w:marTop w:val="0"/>
                          <w:marBottom w:val="0"/>
                          <w:divBdr>
                            <w:top w:val="single" w:sz="2" w:space="0" w:color="E3E3E3"/>
                            <w:left w:val="single" w:sz="2" w:space="0" w:color="E3E3E3"/>
                            <w:bottom w:val="single" w:sz="2" w:space="0" w:color="E3E3E3"/>
                            <w:right w:val="single" w:sz="2" w:space="0" w:color="E3E3E3"/>
                          </w:divBdr>
                          <w:divsChild>
                            <w:div w:id="187333448">
                              <w:marLeft w:val="0"/>
                              <w:marRight w:val="0"/>
                              <w:marTop w:val="0"/>
                              <w:marBottom w:val="0"/>
                              <w:divBdr>
                                <w:top w:val="single" w:sz="2" w:space="0" w:color="E3E3E3"/>
                                <w:left w:val="single" w:sz="2" w:space="0" w:color="E3E3E3"/>
                                <w:bottom w:val="single" w:sz="2" w:space="0" w:color="E3E3E3"/>
                                <w:right w:val="single" w:sz="2" w:space="0" w:color="E3E3E3"/>
                              </w:divBdr>
                              <w:divsChild>
                                <w:div w:id="289629275">
                                  <w:marLeft w:val="0"/>
                                  <w:marRight w:val="0"/>
                                  <w:marTop w:val="0"/>
                                  <w:marBottom w:val="0"/>
                                  <w:divBdr>
                                    <w:top w:val="single" w:sz="2" w:space="0" w:color="E3E3E3"/>
                                    <w:left w:val="single" w:sz="2" w:space="0" w:color="E3E3E3"/>
                                    <w:bottom w:val="single" w:sz="2" w:space="0" w:color="E3E3E3"/>
                                    <w:right w:val="single" w:sz="2" w:space="0" w:color="E3E3E3"/>
                                  </w:divBdr>
                                  <w:divsChild>
                                    <w:div w:id="1004748157">
                                      <w:marLeft w:val="0"/>
                                      <w:marRight w:val="0"/>
                                      <w:marTop w:val="0"/>
                                      <w:marBottom w:val="0"/>
                                      <w:divBdr>
                                        <w:top w:val="single" w:sz="2" w:space="0" w:color="E3E3E3"/>
                                        <w:left w:val="single" w:sz="2" w:space="0" w:color="E3E3E3"/>
                                        <w:bottom w:val="single" w:sz="2" w:space="0" w:color="E3E3E3"/>
                                        <w:right w:val="single" w:sz="2" w:space="0" w:color="E3E3E3"/>
                                      </w:divBdr>
                                      <w:divsChild>
                                        <w:div w:id="1925870578">
                                          <w:marLeft w:val="0"/>
                                          <w:marRight w:val="0"/>
                                          <w:marTop w:val="0"/>
                                          <w:marBottom w:val="0"/>
                                          <w:divBdr>
                                            <w:top w:val="single" w:sz="2" w:space="0" w:color="E3E3E3"/>
                                            <w:left w:val="single" w:sz="2" w:space="0" w:color="E3E3E3"/>
                                            <w:bottom w:val="single" w:sz="2" w:space="0" w:color="E3E3E3"/>
                                            <w:right w:val="single" w:sz="2" w:space="0" w:color="E3E3E3"/>
                                          </w:divBdr>
                                          <w:divsChild>
                                            <w:div w:id="1208831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69581693">
          <w:marLeft w:val="0"/>
          <w:marRight w:val="0"/>
          <w:marTop w:val="0"/>
          <w:marBottom w:val="0"/>
          <w:divBdr>
            <w:top w:val="none" w:sz="0" w:space="0" w:color="auto"/>
            <w:left w:val="none" w:sz="0" w:space="0" w:color="auto"/>
            <w:bottom w:val="none" w:sz="0" w:space="0" w:color="auto"/>
            <w:right w:val="none" w:sz="0" w:space="0" w:color="auto"/>
          </w:divBdr>
        </w:div>
      </w:divsChild>
    </w:div>
    <w:div w:id="450320190">
      <w:bodyDiv w:val="1"/>
      <w:marLeft w:val="0"/>
      <w:marRight w:val="0"/>
      <w:marTop w:val="0"/>
      <w:marBottom w:val="0"/>
      <w:divBdr>
        <w:top w:val="none" w:sz="0" w:space="0" w:color="auto"/>
        <w:left w:val="none" w:sz="0" w:space="0" w:color="auto"/>
        <w:bottom w:val="none" w:sz="0" w:space="0" w:color="auto"/>
        <w:right w:val="none" w:sz="0" w:space="0" w:color="auto"/>
      </w:divBdr>
      <w:divsChild>
        <w:div w:id="1924803531">
          <w:marLeft w:val="547"/>
          <w:marRight w:val="0"/>
          <w:marTop w:val="0"/>
          <w:marBottom w:val="0"/>
          <w:divBdr>
            <w:top w:val="none" w:sz="0" w:space="0" w:color="auto"/>
            <w:left w:val="none" w:sz="0" w:space="0" w:color="auto"/>
            <w:bottom w:val="none" w:sz="0" w:space="0" w:color="auto"/>
            <w:right w:val="none" w:sz="0" w:space="0" w:color="auto"/>
          </w:divBdr>
        </w:div>
      </w:divsChild>
    </w:div>
    <w:div w:id="453445847">
      <w:bodyDiv w:val="1"/>
      <w:marLeft w:val="0"/>
      <w:marRight w:val="0"/>
      <w:marTop w:val="0"/>
      <w:marBottom w:val="0"/>
      <w:divBdr>
        <w:top w:val="none" w:sz="0" w:space="0" w:color="auto"/>
        <w:left w:val="none" w:sz="0" w:space="0" w:color="auto"/>
        <w:bottom w:val="none" w:sz="0" w:space="0" w:color="auto"/>
        <w:right w:val="none" w:sz="0" w:space="0" w:color="auto"/>
      </w:divBdr>
    </w:div>
    <w:div w:id="508059469">
      <w:bodyDiv w:val="1"/>
      <w:marLeft w:val="0"/>
      <w:marRight w:val="0"/>
      <w:marTop w:val="0"/>
      <w:marBottom w:val="0"/>
      <w:divBdr>
        <w:top w:val="none" w:sz="0" w:space="0" w:color="auto"/>
        <w:left w:val="none" w:sz="0" w:space="0" w:color="auto"/>
        <w:bottom w:val="none" w:sz="0" w:space="0" w:color="auto"/>
        <w:right w:val="none" w:sz="0" w:space="0" w:color="auto"/>
      </w:divBdr>
    </w:div>
    <w:div w:id="712966430">
      <w:bodyDiv w:val="1"/>
      <w:marLeft w:val="0"/>
      <w:marRight w:val="0"/>
      <w:marTop w:val="0"/>
      <w:marBottom w:val="0"/>
      <w:divBdr>
        <w:top w:val="none" w:sz="0" w:space="0" w:color="auto"/>
        <w:left w:val="none" w:sz="0" w:space="0" w:color="auto"/>
        <w:bottom w:val="none" w:sz="0" w:space="0" w:color="auto"/>
        <w:right w:val="none" w:sz="0" w:space="0" w:color="auto"/>
      </w:divBdr>
      <w:divsChild>
        <w:div w:id="1419910327">
          <w:marLeft w:val="547"/>
          <w:marRight w:val="0"/>
          <w:marTop w:val="0"/>
          <w:marBottom w:val="0"/>
          <w:divBdr>
            <w:top w:val="none" w:sz="0" w:space="0" w:color="auto"/>
            <w:left w:val="none" w:sz="0" w:space="0" w:color="auto"/>
            <w:bottom w:val="none" w:sz="0" w:space="0" w:color="auto"/>
            <w:right w:val="none" w:sz="0" w:space="0" w:color="auto"/>
          </w:divBdr>
        </w:div>
      </w:divsChild>
    </w:div>
    <w:div w:id="726991879">
      <w:bodyDiv w:val="1"/>
      <w:marLeft w:val="0"/>
      <w:marRight w:val="0"/>
      <w:marTop w:val="0"/>
      <w:marBottom w:val="0"/>
      <w:divBdr>
        <w:top w:val="none" w:sz="0" w:space="0" w:color="auto"/>
        <w:left w:val="none" w:sz="0" w:space="0" w:color="auto"/>
        <w:bottom w:val="none" w:sz="0" w:space="0" w:color="auto"/>
        <w:right w:val="none" w:sz="0" w:space="0" w:color="auto"/>
      </w:divBdr>
      <w:divsChild>
        <w:div w:id="864515278">
          <w:marLeft w:val="547"/>
          <w:marRight w:val="0"/>
          <w:marTop w:val="0"/>
          <w:marBottom w:val="0"/>
          <w:divBdr>
            <w:top w:val="none" w:sz="0" w:space="0" w:color="auto"/>
            <w:left w:val="none" w:sz="0" w:space="0" w:color="auto"/>
            <w:bottom w:val="none" w:sz="0" w:space="0" w:color="auto"/>
            <w:right w:val="none" w:sz="0" w:space="0" w:color="auto"/>
          </w:divBdr>
        </w:div>
      </w:divsChild>
    </w:div>
    <w:div w:id="762454183">
      <w:bodyDiv w:val="1"/>
      <w:marLeft w:val="0"/>
      <w:marRight w:val="0"/>
      <w:marTop w:val="0"/>
      <w:marBottom w:val="0"/>
      <w:divBdr>
        <w:top w:val="none" w:sz="0" w:space="0" w:color="auto"/>
        <w:left w:val="none" w:sz="0" w:space="0" w:color="auto"/>
        <w:bottom w:val="none" w:sz="0" w:space="0" w:color="auto"/>
        <w:right w:val="none" w:sz="0" w:space="0" w:color="auto"/>
      </w:divBdr>
      <w:divsChild>
        <w:div w:id="2018001515">
          <w:marLeft w:val="547"/>
          <w:marRight w:val="0"/>
          <w:marTop w:val="0"/>
          <w:marBottom w:val="0"/>
          <w:divBdr>
            <w:top w:val="none" w:sz="0" w:space="0" w:color="auto"/>
            <w:left w:val="none" w:sz="0" w:space="0" w:color="auto"/>
            <w:bottom w:val="none" w:sz="0" w:space="0" w:color="auto"/>
            <w:right w:val="none" w:sz="0" w:space="0" w:color="auto"/>
          </w:divBdr>
        </w:div>
      </w:divsChild>
    </w:div>
    <w:div w:id="852231307">
      <w:bodyDiv w:val="1"/>
      <w:marLeft w:val="0"/>
      <w:marRight w:val="0"/>
      <w:marTop w:val="0"/>
      <w:marBottom w:val="0"/>
      <w:divBdr>
        <w:top w:val="none" w:sz="0" w:space="0" w:color="auto"/>
        <w:left w:val="none" w:sz="0" w:space="0" w:color="auto"/>
        <w:bottom w:val="none" w:sz="0" w:space="0" w:color="auto"/>
        <w:right w:val="none" w:sz="0" w:space="0" w:color="auto"/>
      </w:divBdr>
    </w:div>
    <w:div w:id="869076065">
      <w:bodyDiv w:val="1"/>
      <w:marLeft w:val="0"/>
      <w:marRight w:val="0"/>
      <w:marTop w:val="0"/>
      <w:marBottom w:val="0"/>
      <w:divBdr>
        <w:top w:val="none" w:sz="0" w:space="0" w:color="auto"/>
        <w:left w:val="none" w:sz="0" w:space="0" w:color="auto"/>
        <w:bottom w:val="none" w:sz="0" w:space="0" w:color="auto"/>
        <w:right w:val="none" w:sz="0" w:space="0" w:color="auto"/>
      </w:divBdr>
    </w:div>
    <w:div w:id="946038783">
      <w:bodyDiv w:val="1"/>
      <w:marLeft w:val="0"/>
      <w:marRight w:val="0"/>
      <w:marTop w:val="0"/>
      <w:marBottom w:val="0"/>
      <w:divBdr>
        <w:top w:val="none" w:sz="0" w:space="0" w:color="auto"/>
        <w:left w:val="none" w:sz="0" w:space="0" w:color="auto"/>
        <w:bottom w:val="none" w:sz="0" w:space="0" w:color="auto"/>
        <w:right w:val="none" w:sz="0" w:space="0" w:color="auto"/>
      </w:divBdr>
      <w:divsChild>
        <w:div w:id="1203596567">
          <w:marLeft w:val="547"/>
          <w:marRight w:val="0"/>
          <w:marTop w:val="0"/>
          <w:marBottom w:val="0"/>
          <w:divBdr>
            <w:top w:val="none" w:sz="0" w:space="0" w:color="auto"/>
            <w:left w:val="none" w:sz="0" w:space="0" w:color="auto"/>
            <w:bottom w:val="none" w:sz="0" w:space="0" w:color="auto"/>
            <w:right w:val="none" w:sz="0" w:space="0" w:color="auto"/>
          </w:divBdr>
        </w:div>
      </w:divsChild>
    </w:div>
    <w:div w:id="1021126795">
      <w:bodyDiv w:val="1"/>
      <w:marLeft w:val="0"/>
      <w:marRight w:val="0"/>
      <w:marTop w:val="0"/>
      <w:marBottom w:val="0"/>
      <w:divBdr>
        <w:top w:val="none" w:sz="0" w:space="0" w:color="auto"/>
        <w:left w:val="none" w:sz="0" w:space="0" w:color="auto"/>
        <w:bottom w:val="none" w:sz="0" w:space="0" w:color="auto"/>
        <w:right w:val="none" w:sz="0" w:space="0" w:color="auto"/>
      </w:divBdr>
    </w:div>
    <w:div w:id="1044521565">
      <w:bodyDiv w:val="1"/>
      <w:marLeft w:val="0"/>
      <w:marRight w:val="0"/>
      <w:marTop w:val="0"/>
      <w:marBottom w:val="0"/>
      <w:divBdr>
        <w:top w:val="none" w:sz="0" w:space="0" w:color="auto"/>
        <w:left w:val="none" w:sz="0" w:space="0" w:color="auto"/>
        <w:bottom w:val="none" w:sz="0" w:space="0" w:color="auto"/>
        <w:right w:val="none" w:sz="0" w:space="0" w:color="auto"/>
      </w:divBdr>
      <w:divsChild>
        <w:div w:id="665597317">
          <w:marLeft w:val="547"/>
          <w:marRight w:val="0"/>
          <w:marTop w:val="0"/>
          <w:marBottom w:val="0"/>
          <w:divBdr>
            <w:top w:val="none" w:sz="0" w:space="0" w:color="auto"/>
            <w:left w:val="none" w:sz="0" w:space="0" w:color="auto"/>
            <w:bottom w:val="none" w:sz="0" w:space="0" w:color="auto"/>
            <w:right w:val="none" w:sz="0" w:space="0" w:color="auto"/>
          </w:divBdr>
        </w:div>
      </w:divsChild>
    </w:div>
    <w:div w:id="1092238416">
      <w:bodyDiv w:val="1"/>
      <w:marLeft w:val="0"/>
      <w:marRight w:val="0"/>
      <w:marTop w:val="0"/>
      <w:marBottom w:val="0"/>
      <w:divBdr>
        <w:top w:val="none" w:sz="0" w:space="0" w:color="auto"/>
        <w:left w:val="none" w:sz="0" w:space="0" w:color="auto"/>
        <w:bottom w:val="none" w:sz="0" w:space="0" w:color="auto"/>
        <w:right w:val="none" w:sz="0" w:space="0" w:color="auto"/>
      </w:divBdr>
    </w:div>
    <w:div w:id="1117411971">
      <w:bodyDiv w:val="1"/>
      <w:marLeft w:val="0"/>
      <w:marRight w:val="0"/>
      <w:marTop w:val="0"/>
      <w:marBottom w:val="0"/>
      <w:divBdr>
        <w:top w:val="none" w:sz="0" w:space="0" w:color="auto"/>
        <w:left w:val="none" w:sz="0" w:space="0" w:color="auto"/>
        <w:bottom w:val="none" w:sz="0" w:space="0" w:color="auto"/>
        <w:right w:val="none" w:sz="0" w:space="0" w:color="auto"/>
      </w:divBdr>
      <w:divsChild>
        <w:div w:id="1864707026">
          <w:marLeft w:val="547"/>
          <w:marRight w:val="0"/>
          <w:marTop w:val="0"/>
          <w:marBottom w:val="0"/>
          <w:divBdr>
            <w:top w:val="none" w:sz="0" w:space="0" w:color="auto"/>
            <w:left w:val="none" w:sz="0" w:space="0" w:color="auto"/>
            <w:bottom w:val="none" w:sz="0" w:space="0" w:color="auto"/>
            <w:right w:val="none" w:sz="0" w:space="0" w:color="auto"/>
          </w:divBdr>
        </w:div>
        <w:div w:id="1195728327">
          <w:marLeft w:val="1166"/>
          <w:marRight w:val="0"/>
          <w:marTop w:val="0"/>
          <w:marBottom w:val="0"/>
          <w:divBdr>
            <w:top w:val="none" w:sz="0" w:space="0" w:color="auto"/>
            <w:left w:val="none" w:sz="0" w:space="0" w:color="auto"/>
            <w:bottom w:val="none" w:sz="0" w:space="0" w:color="auto"/>
            <w:right w:val="none" w:sz="0" w:space="0" w:color="auto"/>
          </w:divBdr>
        </w:div>
        <w:div w:id="2000186072">
          <w:marLeft w:val="1166"/>
          <w:marRight w:val="0"/>
          <w:marTop w:val="0"/>
          <w:marBottom w:val="0"/>
          <w:divBdr>
            <w:top w:val="none" w:sz="0" w:space="0" w:color="auto"/>
            <w:left w:val="none" w:sz="0" w:space="0" w:color="auto"/>
            <w:bottom w:val="none" w:sz="0" w:space="0" w:color="auto"/>
            <w:right w:val="none" w:sz="0" w:space="0" w:color="auto"/>
          </w:divBdr>
        </w:div>
        <w:div w:id="91902169">
          <w:marLeft w:val="1166"/>
          <w:marRight w:val="0"/>
          <w:marTop w:val="0"/>
          <w:marBottom w:val="0"/>
          <w:divBdr>
            <w:top w:val="none" w:sz="0" w:space="0" w:color="auto"/>
            <w:left w:val="none" w:sz="0" w:space="0" w:color="auto"/>
            <w:bottom w:val="none" w:sz="0" w:space="0" w:color="auto"/>
            <w:right w:val="none" w:sz="0" w:space="0" w:color="auto"/>
          </w:divBdr>
        </w:div>
        <w:div w:id="1915892247">
          <w:marLeft w:val="1166"/>
          <w:marRight w:val="0"/>
          <w:marTop w:val="0"/>
          <w:marBottom w:val="0"/>
          <w:divBdr>
            <w:top w:val="none" w:sz="0" w:space="0" w:color="auto"/>
            <w:left w:val="none" w:sz="0" w:space="0" w:color="auto"/>
            <w:bottom w:val="none" w:sz="0" w:space="0" w:color="auto"/>
            <w:right w:val="none" w:sz="0" w:space="0" w:color="auto"/>
          </w:divBdr>
        </w:div>
      </w:divsChild>
    </w:div>
    <w:div w:id="1270577649">
      <w:bodyDiv w:val="1"/>
      <w:marLeft w:val="0"/>
      <w:marRight w:val="0"/>
      <w:marTop w:val="0"/>
      <w:marBottom w:val="0"/>
      <w:divBdr>
        <w:top w:val="none" w:sz="0" w:space="0" w:color="auto"/>
        <w:left w:val="none" w:sz="0" w:space="0" w:color="auto"/>
        <w:bottom w:val="none" w:sz="0" w:space="0" w:color="auto"/>
        <w:right w:val="none" w:sz="0" w:space="0" w:color="auto"/>
      </w:divBdr>
    </w:div>
    <w:div w:id="1426460792">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3">
          <w:marLeft w:val="547"/>
          <w:marRight w:val="0"/>
          <w:marTop w:val="0"/>
          <w:marBottom w:val="0"/>
          <w:divBdr>
            <w:top w:val="none" w:sz="0" w:space="0" w:color="auto"/>
            <w:left w:val="none" w:sz="0" w:space="0" w:color="auto"/>
            <w:bottom w:val="none" w:sz="0" w:space="0" w:color="auto"/>
            <w:right w:val="none" w:sz="0" w:space="0" w:color="auto"/>
          </w:divBdr>
        </w:div>
      </w:divsChild>
    </w:div>
    <w:div w:id="1713770686">
      <w:bodyDiv w:val="1"/>
      <w:marLeft w:val="0"/>
      <w:marRight w:val="0"/>
      <w:marTop w:val="0"/>
      <w:marBottom w:val="0"/>
      <w:divBdr>
        <w:top w:val="none" w:sz="0" w:space="0" w:color="auto"/>
        <w:left w:val="none" w:sz="0" w:space="0" w:color="auto"/>
        <w:bottom w:val="none" w:sz="0" w:space="0" w:color="auto"/>
        <w:right w:val="none" w:sz="0" w:space="0" w:color="auto"/>
      </w:divBdr>
      <w:divsChild>
        <w:div w:id="2014062120">
          <w:marLeft w:val="547"/>
          <w:marRight w:val="0"/>
          <w:marTop w:val="0"/>
          <w:marBottom w:val="0"/>
          <w:divBdr>
            <w:top w:val="none" w:sz="0" w:space="0" w:color="auto"/>
            <w:left w:val="none" w:sz="0" w:space="0" w:color="auto"/>
            <w:bottom w:val="none" w:sz="0" w:space="0" w:color="auto"/>
            <w:right w:val="none" w:sz="0" w:space="0" w:color="auto"/>
          </w:divBdr>
        </w:div>
      </w:divsChild>
    </w:div>
    <w:div w:id="1817451455">
      <w:bodyDiv w:val="1"/>
      <w:marLeft w:val="0"/>
      <w:marRight w:val="0"/>
      <w:marTop w:val="0"/>
      <w:marBottom w:val="0"/>
      <w:divBdr>
        <w:top w:val="none" w:sz="0" w:space="0" w:color="auto"/>
        <w:left w:val="none" w:sz="0" w:space="0" w:color="auto"/>
        <w:bottom w:val="none" w:sz="0" w:space="0" w:color="auto"/>
        <w:right w:val="none" w:sz="0" w:space="0" w:color="auto"/>
      </w:divBdr>
    </w:div>
    <w:div w:id="1820077916">
      <w:bodyDiv w:val="1"/>
      <w:marLeft w:val="0"/>
      <w:marRight w:val="0"/>
      <w:marTop w:val="0"/>
      <w:marBottom w:val="0"/>
      <w:divBdr>
        <w:top w:val="none" w:sz="0" w:space="0" w:color="auto"/>
        <w:left w:val="none" w:sz="0" w:space="0" w:color="auto"/>
        <w:bottom w:val="none" w:sz="0" w:space="0" w:color="auto"/>
        <w:right w:val="none" w:sz="0" w:space="0" w:color="auto"/>
      </w:divBdr>
    </w:div>
    <w:div w:id="1826893370">
      <w:bodyDiv w:val="1"/>
      <w:marLeft w:val="0"/>
      <w:marRight w:val="0"/>
      <w:marTop w:val="0"/>
      <w:marBottom w:val="0"/>
      <w:divBdr>
        <w:top w:val="none" w:sz="0" w:space="0" w:color="auto"/>
        <w:left w:val="none" w:sz="0" w:space="0" w:color="auto"/>
        <w:bottom w:val="none" w:sz="0" w:space="0" w:color="auto"/>
        <w:right w:val="none" w:sz="0" w:space="0" w:color="auto"/>
      </w:divBdr>
    </w:div>
    <w:div w:id="1851218219">
      <w:bodyDiv w:val="1"/>
      <w:marLeft w:val="0"/>
      <w:marRight w:val="0"/>
      <w:marTop w:val="0"/>
      <w:marBottom w:val="0"/>
      <w:divBdr>
        <w:top w:val="none" w:sz="0" w:space="0" w:color="auto"/>
        <w:left w:val="none" w:sz="0" w:space="0" w:color="auto"/>
        <w:bottom w:val="none" w:sz="0" w:space="0" w:color="auto"/>
        <w:right w:val="none" w:sz="0" w:space="0" w:color="auto"/>
      </w:divBdr>
    </w:div>
    <w:div w:id="185611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lton.herrera@unimilitar.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ton.anguloc@unimilitar.edu.c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Rag89</b:Tag>
    <b:SourceType>Book</b:SourceType>
    <b:Guid>{CA6CECCF-04DB-4BAF-8484-3F37EAEC4905}</b:Guid>
    <b:Title>The Comparative Method</b:Title>
    <b:Year>1989</b:Year>
    <b:Author>
      <b:Author>
        <b:NameList>
          <b:Person>
            <b:Last>Ragin</b:Last>
            <b:First>Charles</b:First>
            <b:Middle>C.</b:Middle>
          </b:Person>
        </b:NameList>
      </b:Author>
    </b:Author>
    <b:City>Oakland</b:City>
    <b:Publisher>University of California</b:Publisher>
    <b:URL>https://books.google.es/books?hl=es&amp;lr=&amp;id=2akwDwAAQBAJ&amp;oi=fnd&amp;pg=PR7&amp;dq=The+Comparative+Method:+Moving+Beyond+Qualitative+and+Quantitative+Strategies.+Fuzzy-Set+Social+Science&amp;ots=vfS7Fn_XyV&amp;sig=URpRNOYH0ShhnzMssbr_tZrFYBI#v=onepage&amp;q=The%20Comparative%2</b:URL>
    <b:RefOrder>2</b:RefOrder>
  </b:Source>
  <b:Source>
    <b:Tag>Sch12</b:Tag>
    <b:SourceType>Book</b:SourceType>
    <b:Guid>{7E5CA639-DAC4-47CC-8E07-E176E0DD1CC8}</b:Guid>
    <b:Author>
      <b:Author>
        <b:NameList>
          <b:Person>
            <b:Last>Schneider</b:Last>
            <b:First>C.</b:First>
            <b:Middle>Q., &amp; Wagemann, C.</b:Middle>
          </b:Person>
        </b:NameList>
      </b:Author>
    </b:Author>
    <b:Title>Set-Theoretic Methods for the Social Sciences: A Guide to Qualitative Comparative Analysis.</b:Title>
    <b:Year>2012</b:Year>
    <b:City>Cambridge</b:City>
    <b:Publisher>Cambridge University Press</b:Publisher>
    <b:URL>https://books.google.es/books?hl=es&amp;lr=&amp;id=RFIhAwAAQBAJ&amp;oi=fnd&amp;pg=PP16&amp;dq=Theoretic+Methods+for+the+Social+Sciences:+A+Guide+to+Qualitative+Comparative+Analysis.+Cambridge:+Cambridge+University+Press.&amp;ots=ywJ8_aY4uu&amp;sig=6_dbRvuKJErx9Eqs6tIekooOwmY#v=onepa</b:URL>
    <b:RefOrder>3</b:RefOrder>
  </b:Source>
  <b:Source>
    <b:Tag>CEP23</b:Tag>
    <b:SourceType>Report</b:SourceType>
    <b:Guid>{CA8A0D76-9BD0-46FD-AFC0-7F8C4E05A275}</b:Guid>
    <b:Author>
      <b:Author>
        <b:Corporate>CEPAL</b:Corporate>
      </b:Author>
    </b:Author>
    <b:Title>La transición energética en América Latina y el Caribe: desafíos y oportunidades"</b:Title>
    <b:Year>2023</b:Year>
    <b:Publisher>CEPAL</b:Publisher>
    <b:City>Santiago</b:City>
    <b:URL>https://repositorio.cepal.org/handle/11362/43484</b:URL>
    <b:RefOrder>1</b:RefOrder>
  </b:Source>
  <b:Source>
    <b:Tag>Sam54</b:Tag>
    <b:SourceType>Book</b:SourceType>
    <b:Guid>{FDBCB0B2-4DA2-41AD-B381-9F424B2E6060}</b:Guid>
    <b:Title>The Pure Theory of Public Expenditures</b:Title>
    <b:Year>1954</b:Year>
    <b:Publisher>Review of Economics and Statistics</b:Publisher>
    <b:City>New York</b:City>
    <b:Pages>387-389</b:Pages>
    <b:Author>
      <b:Author>
        <b:NameList>
          <b:Person>
            <b:Last>Samuelson</b:Last>
            <b:First>Paul</b:First>
            <b:Middle>A.</b:Middle>
          </b:Person>
        </b:NameList>
      </b:Author>
    </b:Author>
    <b:Volume>36</b:Volume>
    <b:URL>http://gesd.free.fr/sampub.pdf</b:URL>
    <b:RefOrder>4</b:RefOrder>
  </b:Source>
</b:Sources>
</file>

<file path=customXml/itemProps1.xml><?xml version="1.0" encoding="utf-8"?>
<ds:datastoreItem xmlns:ds="http://schemas.openxmlformats.org/officeDocument/2006/customXml" ds:itemID="{03FCA243-1183-4AFE-8BFD-EFD11ED4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1400</Words>
  <Characters>7984</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Milton M. Herrera</cp:lastModifiedBy>
  <cp:revision>28</cp:revision>
  <dcterms:created xsi:type="dcterms:W3CDTF">2024-01-16T13:16:00Z</dcterms:created>
  <dcterms:modified xsi:type="dcterms:W3CDTF">2024-03-14T21:29:00Z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