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11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34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object w:dxaOrig="2894" w:dyaOrig="3056">
          <v:rect xmlns:o="urn:schemas-microsoft-com:office:office" xmlns:v="urn:schemas-microsoft-com:vml" id="rectole0000000000" style="width:144.700000pt;height:152.8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34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34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Avanços recentes em Técnicas Cirúrgicas para o Tratamento do Refluxo Gastroesofágico</w:t>
      </w:r>
    </w:p>
    <w:p>
      <w:pPr>
        <w:spacing w:before="34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34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João Vitor de Queiroz Forin </w:t>
        <w:br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jvforin@hotmail.com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t xml:space="preserve">FAMP- Faculdade Morgana Potrich </w:t>
        <w:br/>
        <w:br/>
        <w:t xml:space="preserve">Maria Eduarda Oliveira Peixoto</w:t>
        <w:br/>
        <w:t xml:space="preserve">mariaeduardaopeixoto@gmail.com</w:t>
        <w:br/>
        <w:t xml:space="preserve">UNIFIMES</w:t>
        <w:br/>
        <w:br/>
        <w:t xml:space="preserve">Gabriella de Brito Malcher Melo</w:t>
        <w:br/>
        <w:t xml:space="preserve">gabriellabmmelo@gmail.com </w:t>
        <w:br/>
        <w:t xml:space="preserve">Universidade Federal do Amapá (Unifap)</w:t>
        <w:br/>
        <w:br/>
        <w:t xml:space="preserve">Fernando Greghi de Paula Leite</w:t>
        <w:br/>
        <w:t xml:space="preserve">fernandogreghidepaulaleite@gmail.com </w:t>
        <w:br/>
        <w:t xml:space="preserve">Universidade Nove de Julho</w:t>
        <w:br/>
        <w:br/>
        <w:t xml:space="preserve">Ana Júlia Silva Correia </w:t>
        <w:br/>
        <w:t xml:space="preserve">aj8854695@gmail.com</w:t>
        <w:br/>
        <w:t xml:space="preserve">Universidade Ceuma</w:t>
        <w:br/>
        <w:br/>
        <w:t xml:space="preserve">Pedro Henrique Lourenço Soares</w:t>
        <w:br/>
        <w:t xml:space="preserve">phmedbr@outlook.com</w:t>
        <w:br/>
        <w:t xml:space="preserve">FAMP- Faculdade Morgana Potrich </w:t>
        <w:br/>
        <w:br/>
        <w:t xml:space="preserve">Pedro Alves de Sousa</w:t>
        <w:br/>
        <w:t xml:space="preserve">pedalvsou@gmail.com</w:t>
        <w:br/>
        <w:t xml:space="preserve">Universidade Nove de Julho - Bauru</w:t>
        <w:br/>
        <w:br/>
        <w:t xml:space="preserve">Anna Lethycia Machado Ramos</w:t>
        <w:br/>
        <w:t xml:space="preserve"> Anna.ramos@uemasul.edu.br </w:t>
        <w:br/>
        <w:t xml:space="preserve">Uemasul- Universidade estadual da região Tocantins do Maranhão</w:t>
        <w:br/>
        <w:br/>
        <w:t xml:space="preserve"> Saul Felipe Oliveira Véras </w:t>
        <w:br/>
        <w:t xml:space="preserve">saul.veras@uemasul.edu.br </w:t>
        <w:br/>
        <w:t xml:space="preserve">Universidade Estadual da Região Tocantina (UEMASUL)</w:t>
        <w:br/>
        <w:br/>
        <w:t xml:space="preserve">Anna Paula Dalagnõl Meith </w:t>
        <w:br/>
        <w:t xml:space="preserve">annameith@gmail.com </w:t>
        <w:br/>
        <w:t xml:space="preserve">Unemat (Universidade do Estado do Mato Grosso)</w:t>
      </w:r>
    </w:p>
    <w:p>
      <w:pPr>
        <w:spacing w:before="340" w:after="0" w:line="240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229" w:after="0" w:line="240"/>
        <w:ind w:right="0" w:left="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RESUMO:</w:t>
      </w:r>
    </w:p>
    <w:p>
      <w:pPr>
        <w:spacing w:before="146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O Refluxo Gastroesofágico (RGE) se configura como um distúrbio digestivo frequente e debilitante, caracterizado pelo retorno do conteúdo gástrico para o esôfago, causando sintomas como azia, regurgitação, tosse, rouquidão e disfagia. O tratamento do RGE pode ser clínico, com medicamentos e mudanças no estilo de vida, ou cirúrgico, quando as medidas clínicas falham ou apresentam efeitos colaterais indesejáveis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.</w:t>
      </w: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Nos últimos anos, a cirurgia para o RGE vem se beneficiando de avanços tecnológicos que permitem procedimentos menos invasivos, com menor trauma e recuperação mais rápida, como também as técnicas cirúrgicas híbridas combinam a abordagem laparoscópica ou robótica com a cirurgia aberta, aproveitando as vantagens de cada método. Por exemplo, a laparoscopia pode ser utilizada para a maior parte do procedimento, enquanto a cirurgia aberta é realizada para a finalização da fundoplicatura, quando necessário. A escolha da técnica cirúrgica para o RGE deve ser individualizada, considerando fatores como a gravidade dos sintomas, a presença de hérnia hiatal, as comorbidades do paciente e a experiência do cirurgião. O acompanhamento médico regular após a cirurgia é fundamental para monitorar a recuperação e garantir o sucesso do tratamento.</w:t>
      </w:r>
    </w:p>
    <w:p>
      <w:pPr>
        <w:spacing w:before="146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82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Palavras-chave:</w:t>
      </w:r>
    </w:p>
    <w:p>
      <w:pPr>
        <w:spacing w:before="37" w:after="0" w:line="276"/>
        <w:ind w:right="0" w:left="82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Doença</w:t>
      </w:r>
      <w:r>
        <w:rPr>
          <w:rFonts w:ascii="Arial" w:hAnsi="Arial" w:cs="Arial" w:eastAsia="Arial"/>
          <w:color w:val="auto"/>
          <w:spacing w:val="3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do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Refluxo</w:t>
      </w:r>
      <w:r>
        <w:rPr>
          <w:rFonts w:ascii="Arial" w:hAnsi="Arial" w:cs="Arial" w:eastAsia="Arial"/>
          <w:color w:val="auto"/>
          <w:spacing w:val="3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Gastroesofágico, Cirurgia, Tratamento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332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3"/>
        </w:numPr>
        <w:tabs>
          <w:tab w:val="left" w:pos="1538" w:leader="none"/>
        </w:tabs>
        <w:spacing w:before="0" w:after="0" w:line="240"/>
        <w:ind w:right="0" w:left="1538" w:hanging="358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-2"/>
          <w:position w:val="0"/>
          <w:sz w:val="28"/>
          <w:shd w:fill="auto" w:val="clear"/>
        </w:rPr>
        <w:t xml:space="preserve">INTRODUÇÃO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15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820" w:left="820" w:firstLine="719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Doença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do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Refluxo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Gastroesofágico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(DRGE)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é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uma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condição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médica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crônica que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afeta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milhões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pessoas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em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todo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mundo,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causando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sintomas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incômodos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como azia, regurgitação ácida e desconforto no peito (Ganz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et al., 2013)(Håkansson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al., 2015).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Essa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doença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ocorre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quando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ácido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gástrico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conteúdo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do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estômago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fluem 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para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o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esôfago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devido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ao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enfraquecimento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ou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disfunção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do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esfíncter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esofágico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inferior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(Lipham et al., 2015). Embora a DRGE possa ser tratada inicialmente com medicamentos antiácidos, muitos pacientes continuam a sofrer de sintomas persistentes,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 que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pode levar à busca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por abordagens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cirúrgicas para o tratamento.</w:t>
      </w:r>
    </w:p>
    <w:p>
      <w:pPr>
        <w:spacing w:before="42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817" w:left="820" w:firstLine="719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Neste contexto, as abordagens cirúrgicas se tornam uma opção importante para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pacientes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DRGE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refratária.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Uma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das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técnicas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cirúrgicas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mais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tradicionais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é a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fundoplicatura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laparoscópica, que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envolve a criação de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uma válvula anti-refluxo no fundo gástrico, envolvendo-o ao redor da porção inferior do esôfago (Ganz et al., 2013)(Stefanidis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al.,</w:t>
      </w:r>
      <w:r>
        <w:rPr>
          <w:rFonts w:ascii="Arial MT" w:hAnsi="Arial MT" w:cs="Arial MT" w:eastAsia="Arial MT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2010).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Estudos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clínicos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revisões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sistemáticas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demonstraram consistentemente a eficácia dessa abordagem, com taxas de sucesso que variam entre 85% e 95% na melhoria dos sintomas de refluxo ácido (Peters et al., 2009)(Dallemagne et al., 2006).</w:t>
      </w:r>
    </w:p>
    <w:p>
      <w:pPr>
        <w:spacing w:before="41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818" w:left="820" w:firstLine="719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No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entanto,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as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inovações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na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área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cirurgia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para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DRGE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têm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introduzido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novas alternativas. A esfincteroplastia endoscópica, incluindo dispositivos como o LINX, oferece uma abordagem minimamente invasiva para fortalecer o esfíncter esofágico inferior (Ganz et al., 2013)(Andreou et al., 2015). Resultados clínicos iniciais têm demonstrado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eficácia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desses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dispositivos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na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melhoria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dos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sintomas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na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qualidade de vida dos pacientes (Håkansson et al., 2015)(Rinsma et al., 2013). Além disso, a cirurgia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refluxo</w:t>
      </w:r>
      <w:r>
        <w:rPr>
          <w:rFonts w:ascii="Arial MT" w:hAnsi="Arial MT" w:cs="Arial MT" w:eastAsia="Arial MT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endoscópico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tem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emergido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como</w:t>
      </w:r>
      <w:r>
        <w:rPr>
          <w:rFonts w:ascii="Arial MT" w:hAnsi="Arial MT" w:cs="Arial MT" w:eastAsia="Arial MT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uma</w:t>
      </w:r>
      <w:r>
        <w:rPr>
          <w:rFonts w:ascii="Arial MT" w:hAnsi="Arial MT" w:cs="Arial MT" w:eastAsia="Arial MT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alternativa</w:t>
      </w:r>
      <w:r>
        <w:rPr>
          <w:rFonts w:ascii="Arial MT" w:hAnsi="Arial MT" w:cs="Arial MT" w:eastAsia="Arial MT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promissora,</w:t>
      </w:r>
      <w:r>
        <w:rPr>
          <w:rFonts w:ascii="Arial MT" w:hAnsi="Arial MT" w:cs="Arial MT" w:eastAsia="Arial MT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onde um endoscópio é usado para realizar suturas no esôfago, criando um efeito de plicatura (Håkansson et al., 2015)(Rinsma et al., 2013).</w:t>
      </w:r>
    </w:p>
    <w:p>
      <w:pPr>
        <w:spacing w:before="43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1" w:after="0" w:line="276"/>
        <w:ind w:right="821" w:left="820" w:firstLine="719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Este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artigo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revisão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tem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como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objetivo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explorar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essas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abordagens</w:t>
      </w:r>
      <w:r>
        <w:rPr>
          <w:rFonts w:ascii="Arial MT" w:hAnsi="Arial MT" w:cs="Arial MT" w:eastAsia="Arial MT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cirúrgicas no tratamento da DRGE, discutindo suas últimas inovações e a eficácia dos procedimentos. Além disso, analisaremos as implicações dos resultados, suas limitações e recomendações para pesquisas futuras, com base nas evidências disponíveis.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Ao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fazer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isso,</w:t>
      </w:r>
      <w:r>
        <w:rPr>
          <w:rFonts w:ascii="Arial MT" w:hAnsi="Arial MT" w:cs="Arial MT" w:eastAsia="Arial MT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esperamos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fornecer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informações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abrangentes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aos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clínicos e pacientes que enfrentam decisões relacionadas ao tratamento da DRGE.</w:t>
      </w:r>
    </w:p>
    <w:p>
      <w:pPr>
        <w:spacing w:before="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2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4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27"/>
        </w:numPr>
        <w:tabs>
          <w:tab w:val="left" w:pos="1538" w:leader="none"/>
        </w:tabs>
        <w:spacing w:before="0" w:after="0" w:line="240"/>
        <w:ind w:right="0" w:left="1538" w:hanging="358"/>
        <w:jc w:val="left"/>
        <w:rPr>
          <w:rFonts w:ascii="Arial" w:hAnsi="Arial" w:cs="Arial" w:eastAsia="Arial"/>
          <w:b/>
          <w:color w:val="666666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-2"/>
          <w:position w:val="0"/>
          <w:sz w:val="28"/>
          <w:shd w:fill="auto" w:val="clear"/>
        </w:rPr>
        <w:t xml:space="preserve">RESULTADOS</w:t>
      </w:r>
    </w:p>
    <w:p>
      <w:pPr>
        <w:spacing w:before="181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29"/>
        </w:numPr>
        <w:tabs>
          <w:tab w:val="left" w:pos="1942" w:leader="none"/>
        </w:tabs>
        <w:spacing w:before="0" w:after="0" w:line="240"/>
        <w:ind w:right="0" w:left="1942" w:hanging="402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Fundoplicatura</w:t>
      </w:r>
      <w:r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4"/>
          <w:shd w:fill="auto" w:val="clear"/>
        </w:rPr>
        <w:t xml:space="preserve">Laparoscópica</w:t>
      </w:r>
    </w:p>
    <w:p>
      <w:pPr>
        <w:spacing w:before="8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1" w:after="0" w:line="276"/>
        <w:ind w:right="824" w:left="820" w:firstLine="719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 fundoplicatura laparoscópica, uma intervenção cirúrgica amplamente empregada no tratamento da Doença do Refluxo Gastroesofágico (DRGE), tem se mostrado eficaz ao longo dos anos (Dallemagne et al., 2006). Esse procedimento envolve a criação de uma válvula anti-refluxo, envolvendo o fundo gástrico ao redor da parte inferior do esôfago, proporcionando alívio aos pacientes que sofrem com essa condição crônica (Riegler et al., 2002).</w:t>
      </w:r>
    </w:p>
    <w:p>
      <w:pPr>
        <w:spacing w:before="42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819" w:left="820" w:firstLine="719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Numerosos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estudos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clínicos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revisões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sistemáticas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têm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avaliado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eficácia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 fundoplicatura laparoscópica no tratamento da DRGE, com taxas de sucesso variando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entre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85%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95%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(Peters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al.,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2009).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Essa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abordagem</w:t>
      </w:r>
      <w:r>
        <w:rPr>
          <w:rFonts w:ascii="Arial MT" w:hAnsi="Arial MT" w:cs="Arial MT" w:eastAsia="Arial MT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não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apenas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melhora significativamente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os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sintomas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refluxo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ácido,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como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azia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regurgitação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ácida,</w:t>
      </w:r>
      <w:r>
        <w:rPr>
          <w:rFonts w:ascii="Arial MT" w:hAnsi="Arial MT" w:cs="Arial MT" w:eastAsia="Arial MT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mas também oferece benefícios adicionais, como uma menor taxa de complicações cirúrgicas e um tempo de internação reduzido (Stefanidis et al., 2010).</w:t>
      </w:r>
    </w:p>
    <w:p>
      <w:pPr>
        <w:spacing w:before="42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825" w:left="820" w:firstLine="719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 procedimento de fundoplicatura laparoscópica envolve a criação de uma dobra no fundo gástrico que é envolvida ao redor da porção inferior do esôfago, criando uma válvula anti-refluxo eficaz (Riegler et al., 2002). Essa válvula impede o retorno do ácido gástrico ao esôfago, proporcionando alívio duradouro para muitos pacientes (Oelschlager et al., 2006).</w:t>
      </w:r>
    </w:p>
    <w:p>
      <w:pPr>
        <w:spacing w:before="41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826" w:left="820" w:firstLine="719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É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importante</w:t>
      </w:r>
      <w:r>
        <w:rPr>
          <w:rFonts w:ascii="Arial MT" w:hAnsi="Arial MT" w:cs="Arial MT" w:eastAsia="Arial MT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destacar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que,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embora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fundoplicatura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laparoscópica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seja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eficaz, não está isenta de riscos e complicações. Alguns pacientes podem experimentar disfagia temporária (dificuldade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 deglutição), flatulência, síndrome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do gás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preso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e, em</w:t>
      </w:r>
      <w:r>
        <w:rPr>
          <w:rFonts w:ascii="Arial MT" w:hAnsi="Arial MT" w:cs="Arial MT" w:eastAsia="Arial MT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casos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raros,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recorrência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dos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sintomas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DRGE</w:t>
      </w:r>
      <w:r>
        <w:rPr>
          <w:rFonts w:ascii="Arial MT" w:hAnsi="Arial MT" w:cs="Arial MT" w:eastAsia="Arial MT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(Hunter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al.,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1999).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Portanto,</w:t>
      </w:r>
      <w:r>
        <w:rPr>
          <w:rFonts w:ascii="Arial MT" w:hAnsi="Arial MT" w:cs="Arial MT" w:eastAsia="Arial MT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 seleção criteriosa dos candidatos a essa cirurgia é fundamental, levando em consideração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gravidade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condição</w:t>
      </w:r>
      <w:r>
        <w:rPr>
          <w:rFonts w:ascii="Arial MT" w:hAnsi="Arial MT" w:cs="Arial MT" w:eastAsia="Arial MT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</w:t>
      </w:r>
      <w:r>
        <w:rPr>
          <w:rFonts w:ascii="Arial MT" w:hAnsi="Arial MT" w:cs="Arial MT" w:eastAsia="Arial MT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histórico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médico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do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paciente</w:t>
      </w:r>
      <w:r>
        <w:rPr>
          <w:rFonts w:ascii="Arial MT" w:hAnsi="Arial MT" w:cs="Arial MT" w:eastAsia="Arial MT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(Smith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al., 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2005).</w:t>
      </w:r>
    </w:p>
    <w:p>
      <w:pPr>
        <w:spacing w:before="42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4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1" w:after="0" w:line="276"/>
        <w:ind w:right="822" w:left="820" w:firstLine="719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Em</w:t>
      </w:r>
      <w:r>
        <w:rPr>
          <w:rFonts w:ascii="Arial MT" w:hAnsi="Arial MT" w:cs="Arial MT" w:eastAsia="Arial MT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resumo,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fundoplicatura</w:t>
      </w:r>
      <w:r>
        <w:rPr>
          <w:rFonts w:ascii="Arial MT" w:hAnsi="Arial MT" w:cs="Arial MT" w:eastAsia="Arial MT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laparoscópica</w:t>
      </w:r>
      <w:r>
        <w:rPr>
          <w:rFonts w:ascii="Arial MT" w:hAnsi="Arial MT" w:cs="Arial MT" w:eastAsia="Arial MT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é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uma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opção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amplamente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utilizada e eficaz para tratar a DRGE. Ela oferece alívio dos sintomas de refluxo ácido e vantagens</w:t>
      </w:r>
      <w:r>
        <w:rPr>
          <w:rFonts w:ascii="Arial MT" w:hAnsi="Arial MT" w:cs="Arial MT" w:eastAsia="Arial MT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significativas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em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termos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recuperação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pós-operatória.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No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entanto,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como em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qualquer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procedimento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médico,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é crucial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uma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avaliação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cuidadosa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do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paciente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 a discussão de todas as opções disponíveis.</w:t>
      </w:r>
    </w:p>
    <w:p>
      <w:pPr>
        <w:spacing w:before="43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42"/>
        </w:numPr>
        <w:tabs>
          <w:tab w:val="left" w:pos="1941" w:leader="none"/>
        </w:tabs>
        <w:spacing w:before="0" w:after="0" w:line="240"/>
        <w:ind w:right="0" w:left="1941" w:hanging="401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Dispositivos</w:t>
      </w:r>
      <w:r>
        <w:rPr>
          <w:rFonts w:ascii="Arial" w:hAnsi="Arial" w:cs="Arial" w:eastAsia="Arial"/>
          <w:b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" w:hAnsi="Arial" w:cs="Arial" w:eastAsia="Arial"/>
          <w:b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Esfincteroplastia</w:t>
      </w:r>
      <w:r>
        <w:rPr>
          <w:rFonts w:ascii="Arial" w:hAnsi="Arial" w:cs="Arial" w:eastAsia="Arial"/>
          <w:b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-2"/>
          <w:position w:val="0"/>
          <w:sz w:val="24"/>
          <w:shd w:fill="auto" w:val="clear"/>
        </w:rPr>
        <w:t xml:space="preserve">Endoscópica</w:t>
      </w:r>
    </w:p>
    <w:p>
      <w:pPr>
        <w:spacing w:before="41" w:after="0" w:line="276"/>
        <w:ind w:right="821" w:left="820" w:firstLine="719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 evolução da medicina minimamente invasiva trouxe consigo avanços significativos no tratamento da Doença do Refluxo Gastroesofágico (DRGE), e os dispositivos de esfincteroplastia endoscópica, como o dispositivo LINX, emergiram como alternativas promissoras à cirurgia tradicional. Esses dispositivos foram desenvolvidos para fortalecer o esfíncter esofágico inferior enfraquecido, uma das principais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causas</w:t>
      </w:r>
      <w:r>
        <w:rPr>
          <w:rFonts w:ascii="Arial MT" w:hAnsi="Arial MT" w:cs="Arial MT" w:eastAsia="Arial MT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DRGE.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Neste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tópico,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exploraremos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os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princípios,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eficácia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as implicações dos dispositivos de esfincteroplastia endoscópica no tratamento da 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DRGE.</w:t>
      </w:r>
    </w:p>
    <w:p>
      <w:pPr>
        <w:spacing w:before="41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826" w:left="820" w:firstLine="719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Os dispositivos de esfincteroplastia endoscópica, como o LINX, são implantados minimamente invasivamente. O procedimento envolve a colocação de um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anel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magnético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titânio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em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torno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junção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gastroesofágica,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que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atua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como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um esfíncter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artificial.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Este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anel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é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composto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por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uma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série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ímãs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que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permitem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que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ele se abra durante a deglutição, permitindo a passagem de alimentos e líquidos, e se feche após a deglutição, impedindo o refluxo ácido do estômago para o esôfago (Ganz et al., 2013).</w:t>
      </w:r>
    </w:p>
    <w:p>
      <w:pPr>
        <w:spacing w:before="42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827" w:left="820" w:firstLine="719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Vários estudos têm demonstrado a eficácia dos dispositivos de esfincteroplastia endoscópica no alívio dos sintomas da DRGE. Um estudo clínico realizado por Lipham et al. (2015) avaliou 1000 pacientes tratados com o dispositivo LINX e relatou uma melhora significativa na qualidade de vida dos pacientes, bem como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uma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redução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acentuada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na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necessidade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medicamentos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antiácidos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(Lipham et al., 2015). Esses resultados sugerem que os dispositivos de esfincteroplastia endoscópica podem oferecer uma alternativa eficaz aos tratamentos convencionais.</w:t>
      </w:r>
    </w:p>
    <w:p>
      <w:pPr>
        <w:spacing w:before="42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820" w:left="820" w:firstLine="719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Uma das principais vantagens dos dispositivos de esfincteroplastia endoscópica é a natureza minimamente invasiva do procedimento. Isso resulta em menor tempo de internação hospitalar e uma recuperação mais rápida em comparação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cirurgia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aberta</w:t>
      </w:r>
      <w:r>
        <w:rPr>
          <w:rFonts w:ascii="Arial MT" w:hAnsi="Arial MT" w:cs="Arial MT" w:eastAsia="Arial MT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ou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laparoscópica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(Riegler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al.,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2002).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Além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disso, os dispositivos são ajustáveis, permitindo que os médicos personalizem o aperto do anel magnético conforme necessário para otimizar o controle do refluxo.</w:t>
      </w:r>
    </w:p>
    <w:p>
      <w:pPr>
        <w:spacing w:before="0" w:after="0" w:line="276"/>
        <w:ind w:right="0" w:left="0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2"/>
          <w:shd w:fill="auto" w:val="clear"/>
        </w:rPr>
      </w:pPr>
    </w:p>
    <w:p>
      <w:pPr>
        <w:spacing w:before="135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1" w:after="0" w:line="276"/>
        <w:ind w:right="821" w:left="820" w:firstLine="719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No entanto, como qualquer procedimento médico, os dispositivos de esfincteroplastia endoscópica não estão isentos de limitações e riscos. Alguns pacientes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podem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experimentar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disfagia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temporária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(dificuldade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deglutição)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após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 implantação do dispositivo, mas isso geralmente melhora ao longo do tempo (Ganz et al., 2013). Além disso, os dispositivos podem não ser adequados para pacientes com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anatomia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esofágica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anormal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ou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condições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médicas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específicas,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</w:t>
      </w:r>
      <w:r>
        <w:rPr>
          <w:rFonts w:ascii="Arial MT" w:hAnsi="Arial MT" w:cs="Arial MT" w:eastAsia="Arial MT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que</w:t>
      </w:r>
      <w:r>
        <w:rPr>
          <w:rFonts w:ascii="Arial MT" w:hAnsi="Arial MT" w:cs="Arial MT" w:eastAsia="Arial MT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destaca</w:t>
      </w:r>
      <w:r>
        <w:rPr>
          <w:rFonts w:ascii="Arial MT" w:hAnsi="Arial MT" w:cs="Arial MT" w:eastAsia="Arial MT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 importância de uma avaliação cuidadosa antes da decisão de tratamento.</w:t>
      </w:r>
    </w:p>
    <w:p>
      <w:pPr>
        <w:spacing w:before="42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826" w:left="820" w:firstLine="719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Em conclusão, os dispositivos de esfincteroplastia endoscópica representam uma inovação promissora no tratamento da DRGE. Eles oferecem uma abordagem minimamente invasiva que demonstrou ser eficaz na melhoria dos sintomas e na qualidade de vida dos pacientes. No entanto, a seleção cuidadosa dos candidatos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 o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acompanhamento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rigoroso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são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essenciais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para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garantir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resultados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positivos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longo 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prazo.</w:t>
      </w:r>
    </w:p>
    <w:p>
      <w:pPr>
        <w:spacing w:before="4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56"/>
        </w:numPr>
        <w:tabs>
          <w:tab w:val="left" w:pos="1941" w:leader="none"/>
        </w:tabs>
        <w:spacing w:before="1" w:after="0" w:line="240"/>
        <w:ind w:right="0" w:left="1941" w:hanging="401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Cirurgia</w:t>
      </w:r>
      <w:r>
        <w:rPr>
          <w:rFonts w:ascii="Arial" w:hAnsi="Arial" w:cs="Arial" w:eastAsia="Arial"/>
          <w:b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" w:hAnsi="Arial" w:cs="Arial" w:eastAsia="Arial"/>
          <w:b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Refluxo</w:t>
      </w:r>
      <w:r>
        <w:rPr>
          <w:rFonts w:ascii="Arial" w:hAnsi="Arial" w:cs="Arial" w:eastAsia="Arial"/>
          <w:b/>
          <w:color w:val="auto"/>
          <w:spacing w:val="-2"/>
          <w:position w:val="0"/>
          <w:sz w:val="24"/>
          <w:shd w:fill="auto" w:val="clear"/>
        </w:rPr>
        <w:t xml:space="preserve"> Endoscópico</w:t>
      </w:r>
    </w:p>
    <w:p>
      <w:pPr>
        <w:spacing w:before="83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1" w:after="0" w:line="276"/>
        <w:ind w:right="820" w:left="820" w:firstLine="719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 cirurgia de refluxo endoscópico é uma abordagem inovadora no tratamento da Doença do Refluxo Gastroesofágico (DRGE), oferecendo uma alternativa menos invasiva às técnicas cirúrgicas tradicionais. Neste tópico, exploraremos detalhadamente essa técnica, suas implicações clínicas e a evidência científica que a respalda.</w:t>
      </w:r>
    </w:p>
    <w:p>
      <w:pPr>
        <w:spacing w:before="4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1" w:after="0" w:line="276"/>
        <w:ind w:right="828" w:left="820" w:firstLine="719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Diferentemente da cirurgia convencional, a cirurgia de refluxo endoscópico é realizada por meio de um endoscópio, um dispositivo flexível equipado com uma câmera de vídeo e instrumentos cirúrgicos especializados. Isso permite ao cirurgião realizar a intervenção sem a necessidade de incisões cirúrgicas significativas, resultando em menos dor e recuperação mais rápida para o paciente.</w:t>
      </w:r>
    </w:p>
    <w:p>
      <w:pPr>
        <w:spacing w:before="42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823" w:left="820" w:firstLine="719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Uma das técnicas de cirurgia de refluxo endoscópico mais conhecidas é a plicatura endoscópica, que envolve o uso de suturas para criar pregas no esôfago, fortalecendo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assim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esfíncter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esofágico</w:t>
      </w:r>
      <w:r>
        <w:rPr>
          <w:rFonts w:ascii="Arial MT" w:hAnsi="Arial MT" w:cs="Arial MT" w:eastAsia="Arial MT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inferior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enfraquecido,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que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é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principal</w:t>
      </w:r>
      <w:r>
        <w:rPr>
          <w:rFonts w:ascii="Arial MT" w:hAnsi="Arial MT" w:cs="Arial MT" w:eastAsia="Arial MT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causa da DRGE (Trad et al., 2018) (Chen et al., 2009). Estudos clínicos iniciais mostraram resultados promissores com essa técnica, com uma melhora significativa nos sintomas de refluxo e uma redução na dependência de medicamentos antiácidos.</w:t>
      </w:r>
    </w:p>
    <w:p>
      <w:pPr>
        <w:spacing w:before="0" w:after="0" w:line="276"/>
        <w:ind w:right="0" w:left="0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2"/>
          <w:shd w:fill="auto" w:val="clear"/>
        </w:rPr>
      </w:pPr>
    </w:p>
    <w:p>
      <w:pPr>
        <w:spacing w:before="135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1" w:after="0" w:line="276"/>
        <w:ind w:right="818" w:left="820" w:firstLine="719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Outra técnica de cirurgia de refluxo endoscópico é a radiofrequência endoscópica (RFE), na qual a energia de radiofrequência é aplicada ao esfíncter esofágico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inferior</w:t>
      </w:r>
      <w:r>
        <w:rPr>
          <w:rFonts w:ascii="Arial MT" w:hAnsi="Arial MT" w:cs="Arial MT" w:eastAsia="Arial MT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para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fortalecê-lo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reduzir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refluxo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ácido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(von</w:t>
      </w:r>
      <w:r>
        <w:rPr>
          <w:rFonts w:ascii="Arial MT" w:hAnsi="Arial MT" w:cs="Arial MT" w:eastAsia="Arial MT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Rahden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al.,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2005). Embora a RFE tenha demonstrado eficácia na melhoria dos sintomas de DRGE, é importante notar que os resultados podem variar entre os pacientes, e estudos de longo prazo são necessários para avaliar sua durabilidade (Testoni et al., 2015).</w:t>
      </w:r>
    </w:p>
    <w:p>
      <w:pPr>
        <w:spacing w:before="42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828" w:left="820" w:firstLine="719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Uma vantagem significativa da cirurgia de refluxo endoscópico é o rápido tempo</w:t>
      </w:r>
      <w:r>
        <w:rPr>
          <w:rFonts w:ascii="Arial MT" w:hAnsi="Arial MT" w:cs="Arial MT" w:eastAsia="Arial MT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recuperação.</w:t>
      </w:r>
      <w:r>
        <w:rPr>
          <w:rFonts w:ascii="Arial MT" w:hAnsi="Arial MT" w:cs="Arial MT" w:eastAsia="Arial MT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Muitos</w:t>
      </w:r>
      <w:r>
        <w:rPr>
          <w:rFonts w:ascii="Arial MT" w:hAnsi="Arial MT" w:cs="Arial MT" w:eastAsia="Arial MT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pacientes</w:t>
      </w:r>
      <w:r>
        <w:rPr>
          <w:rFonts w:ascii="Arial MT" w:hAnsi="Arial MT" w:cs="Arial MT" w:eastAsia="Arial MT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podem retornar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às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suas</w:t>
      </w:r>
      <w:r>
        <w:rPr>
          <w:rFonts w:ascii="Arial MT" w:hAnsi="Arial MT" w:cs="Arial MT" w:eastAsia="Arial MT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atividades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normais em um curto período após o procedimento, o que representa uma vantagem em relação às cirurgias mais invasivas (Bechara et al., 2016).</w:t>
      </w:r>
    </w:p>
    <w:p>
      <w:pPr>
        <w:spacing w:before="41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818" w:left="820" w:firstLine="719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No entanto, é importante reconhecer que a cirurgia de refluxo endoscópico pode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não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ser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apropriada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para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todos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os</w:t>
      </w:r>
      <w:r>
        <w:rPr>
          <w:rFonts w:ascii="Arial MT" w:hAnsi="Arial MT" w:cs="Arial MT" w:eastAsia="Arial MT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pacientes.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seleção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criteriosa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candidatos é crucial, considerando a gravidade da DRGE, o histórico médico individual e as preferências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do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paciente.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Além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disso,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como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é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uma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abordagem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relativamente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recente, são necessários mais estudos de longo prazo para avaliar completamente os resultados a longo prazo e identificar possíveis complicações (Ganz et al., 2016).</w:t>
      </w:r>
    </w:p>
    <w:p>
      <w:pPr>
        <w:spacing w:before="42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2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72"/>
        </w:numPr>
        <w:tabs>
          <w:tab w:val="left" w:pos="1619" w:leader="none"/>
        </w:tabs>
        <w:spacing w:before="0" w:after="0" w:line="240"/>
        <w:ind w:right="0" w:left="1619" w:hanging="439"/>
        <w:jc w:val="left"/>
        <w:rPr>
          <w:rFonts w:ascii="Arial" w:hAnsi="Arial" w:cs="Arial" w:eastAsia="Arial"/>
          <w:b/>
          <w:color w:val="666666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-2"/>
          <w:position w:val="0"/>
          <w:sz w:val="28"/>
          <w:shd w:fill="auto" w:val="clear"/>
        </w:rPr>
        <w:t xml:space="preserve">DISCUSSÃO</w:t>
      </w:r>
    </w:p>
    <w:p>
      <w:pPr>
        <w:spacing w:before="210" w:after="0" w:line="276"/>
        <w:ind w:right="816" w:left="820" w:firstLine="719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 discussão sobre as abordagens cirúrgicas no tratamento da Doença do Refluxo Gastroesofágico (DRGE) revela uma variedade de opções disponíveis para pacientes que buscam alívio dos sintomas dessa condição debilitante. A fundoplicatura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laparoscópica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(Smith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CD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al.,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2005),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uma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técnica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consolidada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bem estabelecida,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continua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demonstrar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altas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taxas</w:t>
      </w:r>
      <w:r>
        <w:rPr>
          <w:rFonts w:ascii="Arial MT" w:hAnsi="Arial MT" w:cs="Arial MT" w:eastAsia="Arial MT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sucesso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na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melhoria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dos</w:t>
      </w:r>
      <w:r>
        <w:rPr>
          <w:rFonts w:ascii="Arial MT" w:hAnsi="Arial MT" w:cs="Arial MT" w:eastAsia="Arial MT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sintomas de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refluxo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ácido.</w:t>
      </w:r>
      <w:r>
        <w:rPr>
          <w:rFonts w:ascii="Arial MT" w:hAnsi="Arial MT" w:cs="Arial MT" w:eastAsia="Arial MT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Essa</w:t>
      </w:r>
      <w:r>
        <w:rPr>
          <w:rFonts w:ascii="Arial MT" w:hAnsi="Arial MT" w:cs="Arial MT" w:eastAsia="Arial MT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abordagem,</w:t>
      </w:r>
      <w:r>
        <w:rPr>
          <w:rFonts w:ascii="Arial MT" w:hAnsi="Arial MT" w:cs="Arial MT" w:eastAsia="Arial MT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juntamente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</w:t>
      </w:r>
      <w:r>
        <w:rPr>
          <w:rFonts w:ascii="Arial MT" w:hAnsi="Arial MT" w:cs="Arial MT" w:eastAsia="Arial MT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cirurgia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refluxo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endoscópico, oferece uma recuperação mais rápida e uma menor taxa de complicações em comparação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procedimentos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cirúrgicos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mais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invasivos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(Dallemagne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B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al.,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2006; Rona KA et al., 2019).</w:t>
      </w:r>
    </w:p>
    <w:p>
      <w:pPr>
        <w:spacing w:before="43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1" w:after="0" w:line="276"/>
        <w:ind w:right="826" w:left="820" w:firstLine="719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Os dispositivos de esfincteroplastia endoscópica, como o dispositivo LINX, apresentam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resultados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promissores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na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melhoria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dos</w:t>
      </w:r>
      <w:r>
        <w:rPr>
          <w:rFonts w:ascii="Arial MT" w:hAnsi="Arial MT" w:cs="Arial MT" w:eastAsia="Arial MT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sintomas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DRGE</w:t>
      </w:r>
      <w:r>
        <w:rPr>
          <w:rFonts w:ascii="Arial MT" w:hAnsi="Arial MT" w:cs="Arial MT" w:eastAsia="Arial MT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(Ganz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RA</w:t>
      </w:r>
      <w:r>
        <w:rPr>
          <w:rFonts w:ascii="Arial MT" w:hAnsi="Arial MT" w:cs="Arial MT" w:eastAsia="Arial MT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et al., 2013). Estudos de longo prazo demonstraram que esses dispositivos podem oferecer alívio duradouro e uma melhor qualidade de vida para os pacientes (Håkansson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B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al.,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2015). No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entanto,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seleção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criteriosa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pacientes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é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crucial,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</w:p>
    <w:p>
      <w:pPr>
        <w:spacing w:before="0" w:after="0" w:line="276"/>
        <w:ind w:right="0" w:left="0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2"/>
          <w:shd w:fill="auto" w:val="clear"/>
        </w:rPr>
      </w:pPr>
    </w:p>
    <w:p>
      <w:pPr>
        <w:spacing w:before="41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822" w:left="820" w:firstLine="719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Em resumo, as abordagens cirúrgicas para a DRGE representam uma variedade de opções com benefícios específicos para diferentes pacientes. A fundoplicatura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laparoscópica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continua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sendo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uma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técnica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confiável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eficaz,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enquanto os dispositivos de esfincteroplastia endoscópica oferecem uma alternativa menos invasiva com resultados promissores. A cirurgia de refluxo endoscópico, embora ainda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necessitando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mais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evidências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longo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prazo,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é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uma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opção</w:t>
      </w:r>
      <w:r>
        <w:rPr>
          <w:rFonts w:ascii="Arial MT" w:hAnsi="Arial MT" w:cs="Arial MT" w:eastAsia="Arial MT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que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pode</w:t>
      </w:r>
      <w:r>
        <w:rPr>
          <w:rFonts w:ascii="Arial MT" w:hAnsi="Arial MT" w:cs="Arial MT" w:eastAsia="Arial MT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atrair pacientes que buscam uma recuperação mais rápida. A seleção criteriosa de pacientes</w:t>
      </w:r>
      <w:r>
        <w:rPr>
          <w:rFonts w:ascii="Arial MT" w:hAnsi="Arial MT" w:cs="Arial MT" w:eastAsia="Arial MT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acompanhamento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adequado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são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fundamentais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para</w:t>
      </w:r>
      <w:r>
        <w:rPr>
          <w:rFonts w:ascii="Arial MT" w:hAnsi="Arial MT" w:cs="Arial MT" w:eastAsia="Arial MT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garantir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sucesso do tratamento da DRGE.</w:t>
      </w:r>
    </w:p>
    <w:p>
      <w:pPr>
        <w:spacing w:before="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3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81"/>
        </w:numPr>
        <w:tabs>
          <w:tab w:val="left" w:pos="1538" w:leader="none"/>
        </w:tabs>
        <w:spacing w:before="0" w:after="0" w:line="240"/>
        <w:ind w:right="0" w:left="1538" w:hanging="358"/>
        <w:jc w:val="left"/>
        <w:rPr>
          <w:rFonts w:ascii="Arial" w:hAnsi="Arial" w:cs="Arial" w:eastAsia="Arial"/>
          <w:b/>
          <w:color w:val="666666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-2"/>
          <w:position w:val="0"/>
          <w:sz w:val="28"/>
          <w:shd w:fill="auto" w:val="clear"/>
        </w:rPr>
        <w:t xml:space="preserve">CONCLUSÃO</w:t>
      </w:r>
    </w:p>
    <w:p>
      <w:pPr>
        <w:spacing w:before="212" w:after="0" w:line="276"/>
        <w:ind w:right="821" w:left="820" w:firstLine="719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Na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conclusão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desta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análise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abrangente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sobre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os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avanços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na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detecção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precoce Na conclusão desta análise abrangente sobre os avanços na detecção precoce e tratamento do câncer de ovário, é evidente que estamos entrando em uma era de inovações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promissoras</w:t>
      </w:r>
      <w:r>
        <w:rPr>
          <w:rFonts w:ascii="Arial MT" w:hAnsi="Arial MT" w:cs="Arial MT" w:eastAsia="Arial MT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mudanças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significativas.</w:t>
      </w:r>
      <w:r>
        <w:rPr>
          <w:rFonts w:ascii="Arial MT" w:hAnsi="Arial MT" w:cs="Arial MT" w:eastAsia="Arial MT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integração</w:t>
      </w:r>
      <w:r>
        <w:rPr>
          <w:rFonts w:ascii="Arial MT" w:hAnsi="Arial MT" w:cs="Arial MT" w:eastAsia="Arial MT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novas</w:t>
      </w:r>
      <w:r>
        <w:rPr>
          <w:rFonts w:ascii="Arial MT" w:hAnsi="Arial MT" w:cs="Arial MT" w:eastAsia="Arial MT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tecnologias, a emergência de terapias direcionadas, e o aprimoramento de estratégias de diagnóstico precoce estão remodelando o panorama deste desafio oncológico. Esta revisão destacou não apenas os avanços tecnológicos e científicos, mas também a necessidade imperativa de uma abordagem mais holística que inclui a conscientização do público, a educação médica contínua e o acesso equitativo ao </w:t>
      </w:r>
      <w:r>
        <w:rPr>
          <w:rFonts w:ascii="Arial MT" w:hAnsi="Arial MT" w:cs="Arial MT" w:eastAsia="Arial MT"/>
          <w:color w:val="auto"/>
          <w:spacing w:val="-2"/>
          <w:position w:val="0"/>
          <w:sz w:val="24"/>
          <w:shd w:fill="auto" w:val="clear"/>
        </w:rPr>
        <w:t xml:space="preserve">tratamento.</w:t>
      </w:r>
    </w:p>
    <w:p>
      <w:pPr>
        <w:spacing w:before="41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825" w:left="820" w:firstLine="719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Um dos aspectos mais promissores é o desenvolvimento e a aplicação de terapias direcionadas e personalizadas, particularmente para pacientes com perfis genéticos específicos. Embora os desafios relacionados à resistência ao tratamento e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à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generalização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dessas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terapias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para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uma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população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mais</w:t>
      </w:r>
      <w:r>
        <w:rPr>
          <w:rFonts w:ascii="Arial MT" w:hAnsi="Arial MT" w:cs="Arial MT" w:eastAsia="Arial MT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ampla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pacientes</w:t>
      </w:r>
      <w:r>
        <w:rPr>
          <w:rFonts w:ascii="Arial MT" w:hAnsi="Arial MT" w:cs="Arial MT" w:eastAsia="Arial MT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com câncer</w:t>
      </w:r>
      <w:r>
        <w:rPr>
          <w:rFonts w:ascii="Arial MT" w:hAnsi="Arial MT" w:cs="Arial MT" w:eastAsia="Arial MT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ovário</w:t>
      </w:r>
      <w:r>
        <w:rPr>
          <w:rFonts w:ascii="Arial MT" w:hAnsi="Arial MT" w:cs="Arial MT" w:eastAsia="Arial MT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ainda</w:t>
      </w:r>
      <w:r>
        <w:rPr>
          <w:rFonts w:ascii="Arial MT" w:hAnsi="Arial MT" w:cs="Arial MT" w:eastAsia="Arial MT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persistam,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os</w:t>
      </w:r>
      <w:r>
        <w:rPr>
          <w:rFonts w:ascii="Arial MT" w:hAnsi="Arial MT" w:cs="Arial MT" w:eastAsia="Arial MT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benefícios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potenciais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são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inegáveis.</w:t>
      </w:r>
      <w:r>
        <w:rPr>
          <w:rFonts w:ascii="Arial MT" w:hAnsi="Arial MT" w:cs="Arial MT" w:eastAsia="Arial MT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evolução dos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inibidores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PARP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emergência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imunoterapia</w:t>
      </w:r>
      <w:r>
        <w:rPr>
          <w:rFonts w:ascii="Arial MT" w:hAnsi="Arial MT" w:cs="Arial MT" w:eastAsia="Arial MT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oferecem</w:t>
      </w:r>
      <w:r>
        <w:rPr>
          <w:rFonts w:ascii="Arial MT" w:hAnsi="Arial MT" w:cs="Arial MT" w:eastAsia="Arial MT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novas</w:t>
      </w:r>
      <w:r>
        <w:rPr>
          <w:rFonts w:ascii="Arial MT" w:hAnsi="Arial MT" w:cs="Arial MT" w:eastAsia="Arial MT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esperanças e caminhos para o tratamento eficaz e personalizado da doença.</w:t>
      </w:r>
    </w:p>
    <w:p>
      <w:pPr>
        <w:spacing w:before="176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820" w:left="820" w:firstLine="719"/>
        <w:jc w:val="both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  <w:t xml:space="preserve">No âmbito do diagnóstico precoce, a adoção de biomarcadores inovadores, técnicas avançadas de imagem e inteligência artificial representa um avanço significativo na identificação da doença em seus estágios iniciais. Esta é uma área crítica, pois o diagnóstico precoce é fundamental para melhorar as taxas de sobrevivência e a qualidade de vida dos pacientes. Embora os desafios persistam, especialmente em termos de sensibilidade e especificidade dos métodos de detecção, os progressos atuais são encorajadores.</w:t>
      </w:r>
    </w:p>
    <w:p>
      <w:pPr>
        <w:spacing w:before="42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82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REFERÊNCIAS</w:t>
      </w:r>
      <w:r>
        <w:rPr>
          <w:rFonts w:ascii="Arial" w:hAnsi="Arial" w:cs="Arial" w:eastAsia="Arial"/>
          <w:b/>
          <w:color w:val="auto"/>
          <w:spacing w:val="-12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-2"/>
          <w:position w:val="0"/>
          <w:sz w:val="28"/>
          <w:shd w:fill="auto" w:val="clear"/>
        </w:rPr>
        <w:t xml:space="preserve">BIBLIOGRÁFICAS</w:t>
      </w:r>
    </w:p>
    <w:p>
      <w:pPr>
        <w:spacing w:before="48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82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ANVARI, M. Five-year comprehensive outcomes evaluation in 181 patients after laparoscopic Nissen fundoplication. J Am Coll Surg. 2003;196(1):51-57.</w:t>
      </w:r>
    </w:p>
    <w:p>
      <w:pPr>
        <w:spacing w:before="35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1" w:after="0" w:line="240"/>
        <w:ind w:right="0" w:left="82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BROEDERS,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J.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A.;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MAURITZ,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F.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A.;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AHMED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ALI,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U.;</w:t>
      </w:r>
      <w:r>
        <w:rPr>
          <w:rFonts w:ascii="Arial MT" w:hAnsi="Arial MT" w:cs="Arial MT" w:eastAsia="Arial MT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DRAAISMA,</w:t>
      </w:r>
      <w:r>
        <w:rPr>
          <w:rFonts w:ascii="Arial MT" w:hAnsi="Arial MT" w:cs="Arial MT" w:eastAsia="Arial MT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W.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A.;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RUURDA,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J.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P.;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GOOSZEN,</w:t>
      </w:r>
    </w:p>
    <w:p>
      <w:pPr>
        <w:spacing w:before="34" w:after="0" w:line="276"/>
        <w:ind w:right="823" w:left="820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H. G.; SMOUT, A. J.; BROEDERS, I. A. Systematic review and meta-analysis of laparoscopic Nissen (posterior total) versus Toupet (posterior partial) fundoplication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for gastro-oesophageal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reflux disease. Br J Surg. 2010;97(9):1318-1330.</w:t>
      </w:r>
    </w:p>
    <w:p>
      <w:pPr>
        <w:spacing w:before="35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82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DALLEMAGNE,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B.;</w:t>
      </w:r>
      <w:r>
        <w:rPr>
          <w:rFonts w:ascii="Arial MT" w:hAnsi="Arial MT" w:cs="Arial MT" w:eastAsia="Arial MT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WEERTS,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J.;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MARKIEWICZ,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S.;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DEWANDRE,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J.</w:t>
      </w:r>
      <w:r>
        <w:rPr>
          <w:rFonts w:ascii="Arial MT" w:hAnsi="Arial MT" w:cs="Arial MT" w:eastAsia="Arial MT"/>
          <w:color w:val="auto"/>
          <w:spacing w:val="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M.;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WAHLEN,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C.;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MONAMI,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5"/>
          <w:position w:val="0"/>
          <w:sz w:val="20"/>
          <w:shd w:fill="auto" w:val="clear"/>
        </w:rPr>
        <w:t xml:space="preserve">B.;</w:t>
      </w:r>
    </w:p>
    <w:p>
      <w:pPr>
        <w:spacing w:before="34" w:after="0" w:line="276"/>
        <w:ind w:right="829" w:left="82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JEHAES, C. Clinical results of laparoscopic fundoplication at ten years after surgery. Surg Endosc.</w:t>
      </w:r>
      <w:r>
        <w:rPr>
          <w:rFonts w:ascii="Arial MT" w:hAnsi="Arial MT" w:cs="Arial MT" w:eastAsia="Arial MT"/>
          <w:color w:val="auto"/>
          <w:spacing w:val="8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2006;20(1):159-165.</w:t>
      </w:r>
    </w:p>
    <w:p>
      <w:pPr>
        <w:spacing w:before="36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82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GANZ,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R.A.,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PETERS,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J.H.,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HORGAN,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S.,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BEMELMAN,</w:t>
      </w:r>
      <w:r>
        <w:rPr>
          <w:rFonts w:ascii="Arial MT" w:hAnsi="Arial MT" w:cs="Arial MT" w:eastAsia="Arial MT"/>
          <w:color w:val="auto"/>
          <w:spacing w:val="-1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W.A.,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DUNST,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C.M.,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EDMUNDOWICZ,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S.A.,</w:t>
      </w:r>
    </w:p>
    <w:p>
      <w:pPr>
        <w:spacing w:before="34" w:after="0" w:line="276"/>
        <w:ind w:right="829" w:left="82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...</w:t>
      </w:r>
      <w:r>
        <w:rPr>
          <w:rFonts w:ascii="Arial MT" w:hAnsi="Arial MT" w:cs="Arial MT" w:eastAsia="Arial MT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&amp;</w:t>
      </w:r>
      <w:r>
        <w:rPr>
          <w:rFonts w:ascii="Arial MT" w:hAnsi="Arial MT" w:cs="Arial MT" w:eastAsia="Arial MT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TAIGANIDES,</w:t>
      </w:r>
      <w:r>
        <w:rPr>
          <w:rFonts w:ascii="Arial MT" w:hAnsi="Arial MT" w:cs="Arial MT" w:eastAsia="Arial MT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P.A.</w:t>
      </w:r>
      <w:r>
        <w:rPr>
          <w:rFonts w:ascii="Arial MT" w:hAnsi="Arial MT" w:cs="Arial MT" w:eastAsia="Arial MT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Esophageal</w:t>
      </w:r>
      <w:r>
        <w:rPr>
          <w:rFonts w:ascii="Arial MT" w:hAnsi="Arial MT" w:cs="Arial MT" w:eastAsia="Arial MT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sphincter</w:t>
      </w:r>
      <w:r>
        <w:rPr>
          <w:rFonts w:ascii="Arial MT" w:hAnsi="Arial MT" w:cs="Arial MT" w:eastAsia="Arial MT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device</w:t>
      </w:r>
      <w:r>
        <w:rPr>
          <w:rFonts w:ascii="Arial MT" w:hAnsi="Arial MT" w:cs="Arial MT" w:eastAsia="Arial MT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for</w:t>
      </w:r>
      <w:r>
        <w:rPr>
          <w:rFonts w:ascii="Arial MT" w:hAnsi="Arial MT" w:cs="Arial MT" w:eastAsia="Arial MT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gastroesophageal</w:t>
      </w:r>
      <w:r>
        <w:rPr>
          <w:rFonts w:ascii="Arial MT" w:hAnsi="Arial MT" w:cs="Arial MT" w:eastAsia="Arial MT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reflux</w:t>
      </w:r>
      <w:r>
        <w:rPr>
          <w:rFonts w:ascii="Arial MT" w:hAnsi="Arial MT" w:cs="Arial MT" w:eastAsia="Arial MT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disease.</w:t>
      </w:r>
      <w:r>
        <w:rPr>
          <w:rFonts w:ascii="Arial MT" w:hAnsi="Arial MT" w:cs="Arial MT" w:eastAsia="Arial MT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New England Journal of Medicine, 368(8), 719-727.</w:t>
      </w:r>
    </w:p>
    <w:p>
      <w:pPr>
        <w:spacing w:before="33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82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HÜTTL,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T.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P.;</w:t>
      </w:r>
      <w:r>
        <w:rPr>
          <w:rFonts w:ascii="Arial MT" w:hAnsi="Arial MT" w:cs="Arial MT" w:eastAsia="Arial MT"/>
          <w:color w:val="auto"/>
          <w:spacing w:val="-1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WICHMANN,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M.</w:t>
      </w:r>
      <w:r>
        <w:rPr>
          <w:rFonts w:ascii="Arial MT" w:hAnsi="Arial MT" w:cs="Arial MT" w:eastAsia="Arial MT"/>
          <w:color w:val="auto"/>
          <w:spacing w:val="-1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W.;</w:t>
      </w:r>
      <w:r>
        <w:rPr>
          <w:rFonts w:ascii="Arial MT" w:hAnsi="Arial MT" w:cs="Arial MT" w:eastAsia="Arial MT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GEIGER,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T.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K.;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PFEIFFER,</w:t>
      </w:r>
      <w:r>
        <w:rPr>
          <w:rFonts w:ascii="Arial MT" w:hAnsi="Arial MT" w:cs="Arial MT" w:eastAsia="Arial MT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S.;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GÖTZBERGER,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M.;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JAUCH,</w:t>
      </w:r>
      <w:r>
        <w:rPr>
          <w:rFonts w:ascii="Arial MT" w:hAnsi="Arial MT" w:cs="Arial MT" w:eastAsia="Arial MT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K.</w:t>
      </w:r>
      <w:r>
        <w:rPr>
          <w:rFonts w:ascii="Arial MT" w:hAnsi="Arial MT" w:cs="Arial MT" w:eastAsia="Arial MT"/>
          <w:color w:val="auto"/>
          <w:spacing w:val="-1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5"/>
          <w:position w:val="0"/>
          <w:sz w:val="20"/>
          <w:shd w:fill="auto" w:val="clear"/>
        </w:rPr>
        <w:t xml:space="preserve">W.</w:t>
      </w:r>
    </w:p>
    <w:p>
      <w:pPr>
        <w:spacing w:before="37" w:after="0" w:line="240"/>
        <w:ind w:right="0" w:left="82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The</w:t>
      </w:r>
      <w:r>
        <w:rPr>
          <w:rFonts w:ascii="Arial MT" w:hAnsi="Arial MT" w:cs="Arial MT" w:eastAsia="Arial MT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first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decade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of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laparoscopic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fundoplication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in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Germany.</w:t>
      </w:r>
      <w:r>
        <w:rPr>
          <w:rFonts w:ascii="Arial MT" w:hAnsi="Arial MT" w:cs="Arial MT" w:eastAsia="Arial MT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World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J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Surg.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2005;29(12):1636-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1641.</w:t>
      </w:r>
    </w:p>
    <w:p>
      <w:pPr>
        <w:spacing w:before="183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82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HUNTER,</w:t>
      </w:r>
      <w:r>
        <w:rPr>
          <w:rFonts w:ascii="Arial MT" w:hAnsi="Arial MT" w:cs="Arial MT" w:eastAsia="Arial MT"/>
          <w:color w:val="auto"/>
          <w:spacing w:val="2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J.</w:t>
      </w:r>
      <w:r>
        <w:rPr>
          <w:rFonts w:ascii="Arial MT" w:hAnsi="Arial MT" w:cs="Arial MT" w:eastAsia="Arial MT"/>
          <w:color w:val="auto"/>
          <w:spacing w:val="3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G.;</w:t>
      </w:r>
      <w:r>
        <w:rPr>
          <w:rFonts w:ascii="Arial MT" w:hAnsi="Arial MT" w:cs="Arial MT" w:eastAsia="Arial MT"/>
          <w:color w:val="auto"/>
          <w:spacing w:val="3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SMITH,</w:t>
      </w:r>
      <w:r>
        <w:rPr>
          <w:rFonts w:ascii="Arial MT" w:hAnsi="Arial MT" w:cs="Arial MT" w:eastAsia="Arial MT"/>
          <w:color w:val="auto"/>
          <w:spacing w:val="29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C.</w:t>
      </w:r>
      <w:r>
        <w:rPr>
          <w:rFonts w:ascii="Arial MT" w:hAnsi="Arial MT" w:cs="Arial MT" w:eastAsia="Arial MT"/>
          <w:color w:val="auto"/>
          <w:spacing w:val="3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D.;</w:t>
      </w:r>
      <w:r>
        <w:rPr>
          <w:rFonts w:ascii="Arial MT" w:hAnsi="Arial MT" w:cs="Arial MT" w:eastAsia="Arial MT"/>
          <w:color w:val="auto"/>
          <w:spacing w:val="3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BRANUM,</w:t>
      </w:r>
      <w:r>
        <w:rPr>
          <w:rFonts w:ascii="Arial MT" w:hAnsi="Arial MT" w:cs="Arial MT" w:eastAsia="Arial MT"/>
          <w:color w:val="auto"/>
          <w:spacing w:val="3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G.</w:t>
      </w:r>
      <w:r>
        <w:rPr>
          <w:rFonts w:ascii="Arial MT" w:hAnsi="Arial MT" w:cs="Arial MT" w:eastAsia="Arial MT"/>
          <w:color w:val="auto"/>
          <w:spacing w:val="3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D.;</w:t>
      </w:r>
      <w:r>
        <w:rPr>
          <w:rFonts w:ascii="Arial MT" w:hAnsi="Arial MT" w:cs="Arial MT" w:eastAsia="Arial MT"/>
          <w:color w:val="auto"/>
          <w:spacing w:val="3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WARING,</w:t>
      </w:r>
      <w:r>
        <w:rPr>
          <w:rFonts w:ascii="Arial MT" w:hAnsi="Arial MT" w:cs="Arial MT" w:eastAsia="Arial MT"/>
          <w:color w:val="auto"/>
          <w:spacing w:val="3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J.</w:t>
      </w:r>
      <w:r>
        <w:rPr>
          <w:rFonts w:ascii="Arial MT" w:hAnsi="Arial MT" w:cs="Arial MT" w:eastAsia="Arial MT"/>
          <w:color w:val="auto"/>
          <w:spacing w:val="3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P.;</w:t>
      </w:r>
      <w:r>
        <w:rPr>
          <w:rFonts w:ascii="Arial MT" w:hAnsi="Arial MT" w:cs="Arial MT" w:eastAsia="Arial MT"/>
          <w:color w:val="auto"/>
          <w:spacing w:val="2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TRUS,</w:t>
      </w:r>
      <w:r>
        <w:rPr>
          <w:rFonts w:ascii="Arial MT" w:hAnsi="Arial MT" w:cs="Arial MT" w:eastAsia="Arial MT"/>
          <w:color w:val="auto"/>
          <w:spacing w:val="3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T.</w:t>
      </w:r>
      <w:r>
        <w:rPr>
          <w:rFonts w:ascii="Arial MT" w:hAnsi="Arial MT" w:cs="Arial MT" w:eastAsia="Arial MT"/>
          <w:color w:val="auto"/>
          <w:spacing w:val="29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L.;</w:t>
      </w:r>
      <w:r>
        <w:rPr>
          <w:rFonts w:ascii="Arial MT" w:hAnsi="Arial MT" w:cs="Arial MT" w:eastAsia="Arial MT"/>
          <w:color w:val="auto"/>
          <w:spacing w:val="3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CORNWELL,</w:t>
      </w:r>
      <w:r>
        <w:rPr>
          <w:rFonts w:ascii="Arial MT" w:hAnsi="Arial MT" w:cs="Arial MT" w:eastAsia="Arial MT"/>
          <w:color w:val="auto"/>
          <w:spacing w:val="3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5"/>
          <w:position w:val="0"/>
          <w:sz w:val="20"/>
          <w:shd w:fill="auto" w:val="clear"/>
        </w:rPr>
        <w:t xml:space="preserve">M.;</w:t>
      </w:r>
    </w:p>
    <w:p>
      <w:pPr>
        <w:spacing w:before="34" w:after="0" w:line="276"/>
        <w:ind w:right="829" w:left="82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GALLOWAY,</w:t>
      </w:r>
      <w:r>
        <w:rPr>
          <w:rFonts w:ascii="Arial MT" w:hAnsi="Arial MT" w:cs="Arial MT" w:eastAsia="Arial MT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K.</w:t>
      </w:r>
      <w:r>
        <w:rPr>
          <w:rFonts w:ascii="Arial MT" w:hAnsi="Arial MT" w:cs="Arial MT" w:eastAsia="Arial MT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Laparoscopic</w:t>
      </w:r>
      <w:r>
        <w:rPr>
          <w:rFonts w:ascii="Arial MT" w:hAnsi="Arial MT" w:cs="Arial MT" w:eastAsia="Arial MT"/>
          <w:color w:val="auto"/>
          <w:spacing w:val="-1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fundoplication</w:t>
      </w:r>
      <w:r>
        <w:rPr>
          <w:rFonts w:ascii="Arial MT" w:hAnsi="Arial MT" w:cs="Arial MT" w:eastAsia="Arial MT"/>
          <w:color w:val="auto"/>
          <w:spacing w:val="-1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failures:</w:t>
      </w:r>
      <w:r>
        <w:rPr>
          <w:rFonts w:ascii="Arial MT" w:hAnsi="Arial MT" w:cs="Arial MT" w:eastAsia="Arial MT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patterns</w:t>
      </w:r>
      <w:r>
        <w:rPr>
          <w:rFonts w:ascii="Arial MT" w:hAnsi="Arial MT" w:cs="Arial MT" w:eastAsia="Arial MT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of</w:t>
      </w:r>
      <w:r>
        <w:rPr>
          <w:rFonts w:ascii="Arial MT" w:hAnsi="Arial MT" w:cs="Arial MT" w:eastAsia="Arial MT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failure</w:t>
      </w:r>
      <w:r>
        <w:rPr>
          <w:rFonts w:ascii="Arial MT" w:hAnsi="Arial MT" w:cs="Arial MT" w:eastAsia="Arial MT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and</w:t>
      </w:r>
      <w:r>
        <w:rPr>
          <w:rFonts w:ascii="Arial MT" w:hAnsi="Arial MT" w:cs="Arial MT" w:eastAsia="Arial MT"/>
          <w:color w:val="auto"/>
          <w:spacing w:val="-1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response</w:t>
      </w:r>
      <w:r>
        <w:rPr>
          <w:rFonts w:ascii="Arial MT" w:hAnsi="Arial MT" w:cs="Arial MT" w:eastAsia="Arial MT"/>
          <w:color w:val="auto"/>
          <w:spacing w:val="-1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to</w:t>
      </w:r>
      <w:r>
        <w:rPr>
          <w:rFonts w:ascii="Arial MT" w:hAnsi="Arial MT" w:cs="Arial MT" w:eastAsia="Arial MT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fundoplication revision. Ann Surg. 1999;230(4):595-606; discussion 606-608.</w:t>
      </w:r>
    </w:p>
    <w:p>
      <w:pPr>
        <w:spacing w:before="35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1" w:after="0" w:line="276"/>
        <w:ind w:right="831" w:left="820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LIPHAM, J.C., TAIGANIDES, P.A., LOUIE, B.E., ... &amp; DUNN, D. Safety analysis of first 1000 patients treated with magnetic sphincter augmentation for gastroesophageal reflux disease. Diseases of the Esophagus, 28(4), 305-311.</w:t>
      </w:r>
    </w:p>
    <w:p>
      <w:pPr>
        <w:spacing w:before="34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1" w:after="0" w:line="276"/>
        <w:ind w:right="0" w:left="82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OELSCHLAGER,</w:t>
      </w:r>
      <w:r>
        <w:rPr>
          <w:rFonts w:ascii="Arial MT" w:hAnsi="Arial MT" w:cs="Arial MT" w:eastAsia="Arial MT"/>
          <w:color w:val="auto"/>
          <w:spacing w:val="6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B.</w:t>
      </w:r>
      <w:r>
        <w:rPr>
          <w:rFonts w:ascii="Arial MT" w:hAnsi="Arial MT" w:cs="Arial MT" w:eastAsia="Arial MT"/>
          <w:color w:val="auto"/>
          <w:spacing w:val="6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K.;</w:t>
      </w:r>
      <w:r>
        <w:rPr>
          <w:rFonts w:ascii="Arial MT" w:hAnsi="Arial MT" w:cs="Arial MT" w:eastAsia="Arial MT"/>
          <w:color w:val="auto"/>
          <w:spacing w:val="6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PELLEGRINI,</w:t>
      </w:r>
      <w:r>
        <w:rPr>
          <w:rFonts w:ascii="Arial MT" w:hAnsi="Arial MT" w:cs="Arial MT" w:eastAsia="Arial MT"/>
          <w:color w:val="auto"/>
          <w:spacing w:val="6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C.</w:t>
      </w:r>
      <w:r>
        <w:rPr>
          <w:rFonts w:ascii="Arial MT" w:hAnsi="Arial MT" w:cs="Arial MT" w:eastAsia="Arial MT"/>
          <w:color w:val="auto"/>
          <w:spacing w:val="6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A.;</w:t>
      </w:r>
      <w:r>
        <w:rPr>
          <w:rFonts w:ascii="Arial MT" w:hAnsi="Arial MT" w:cs="Arial MT" w:eastAsia="Arial MT"/>
          <w:color w:val="auto"/>
          <w:spacing w:val="6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HUNTER,</w:t>
      </w:r>
      <w:r>
        <w:rPr>
          <w:rFonts w:ascii="Arial MT" w:hAnsi="Arial MT" w:cs="Arial MT" w:eastAsia="Arial MT"/>
          <w:color w:val="auto"/>
          <w:spacing w:val="6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J.</w:t>
      </w:r>
      <w:r>
        <w:rPr>
          <w:rFonts w:ascii="Arial MT" w:hAnsi="Arial MT" w:cs="Arial MT" w:eastAsia="Arial MT"/>
          <w:color w:val="auto"/>
          <w:spacing w:val="6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G.;</w:t>
      </w:r>
      <w:r>
        <w:rPr>
          <w:rFonts w:ascii="Arial MT" w:hAnsi="Arial MT" w:cs="Arial MT" w:eastAsia="Arial MT"/>
          <w:color w:val="auto"/>
          <w:spacing w:val="6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BRUNT,</w:t>
      </w:r>
      <w:r>
        <w:rPr>
          <w:rFonts w:ascii="Arial MT" w:hAnsi="Arial MT" w:cs="Arial MT" w:eastAsia="Arial MT"/>
          <w:color w:val="auto"/>
          <w:spacing w:val="6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M.</w:t>
      </w:r>
      <w:r>
        <w:rPr>
          <w:rFonts w:ascii="Arial MT" w:hAnsi="Arial MT" w:cs="Arial MT" w:eastAsia="Arial MT"/>
          <w:color w:val="auto"/>
          <w:spacing w:val="6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L.;</w:t>
      </w:r>
      <w:r>
        <w:rPr>
          <w:rFonts w:ascii="Arial MT" w:hAnsi="Arial MT" w:cs="Arial MT" w:eastAsia="Arial MT"/>
          <w:color w:val="auto"/>
          <w:spacing w:val="6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SOPER,</w:t>
      </w:r>
      <w:r>
        <w:rPr>
          <w:rFonts w:ascii="Arial MT" w:hAnsi="Arial MT" w:cs="Arial MT" w:eastAsia="Arial MT"/>
          <w:color w:val="auto"/>
          <w:spacing w:val="6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N.</w:t>
      </w:r>
      <w:r>
        <w:rPr>
          <w:rFonts w:ascii="Arial MT" w:hAnsi="Arial MT" w:cs="Arial MT" w:eastAsia="Arial MT"/>
          <w:color w:val="auto"/>
          <w:spacing w:val="6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J.; SHEPPARD,</w:t>
      </w:r>
      <w:r>
        <w:rPr>
          <w:rFonts w:ascii="Arial MT" w:hAnsi="Arial MT" w:cs="Arial MT" w:eastAsia="Arial MT"/>
          <w:color w:val="auto"/>
          <w:spacing w:val="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B.</w:t>
      </w:r>
      <w:r>
        <w:rPr>
          <w:rFonts w:ascii="Arial MT" w:hAnsi="Arial MT" w:cs="Arial MT" w:eastAsia="Arial MT"/>
          <w:color w:val="auto"/>
          <w:spacing w:val="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C.;</w:t>
      </w:r>
      <w:r>
        <w:rPr>
          <w:rFonts w:ascii="Arial MT" w:hAnsi="Arial MT" w:cs="Arial MT" w:eastAsia="Arial MT"/>
          <w:color w:val="auto"/>
          <w:spacing w:val="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POLISSAR,</w:t>
      </w:r>
      <w:r>
        <w:rPr>
          <w:rFonts w:ascii="Arial MT" w:hAnsi="Arial MT" w:cs="Arial MT" w:eastAsia="Arial MT"/>
          <w:color w:val="auto"/>
          <w:spacing w:val="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N.</w:t>
      </w:r>
      <w:r>
        <w:rPr>
          <w:rFonts w:ascii="Arial MT" w:hAnsi="Arial MT" w:cs="Arial MT" w:eastAsia="Arial MT"/>
          <w:color w:val="auto"/>
          <w:spacing w:val="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L.;</w:t>
      </w:r>
      <w:r>
        <w:rPr>
          <w:rFonts w:ascii="Arial MT" w:hAnsi="Arial MT" w:cs="Arial MT" w:eastAsia="Arial MT"/>
          <w:color w:val="auto"/>
          <w:spacing w:val="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NERADILEK,</w:t>
      </w:r>
      <w:r>
        <w:rPr>
          <w:rFonts w:ascii="Arial MT" w:hAnsi="Arial MT" w:cs="Arial MT" w:eastAsia="Arial MT"/>
          <w:color w:val="auto"/>
          <w:spacing w:val="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M.</w:t>
      </w:r>
      <w:r>
        <w:rPr>
          <w:rFonts w:ascii="Arial MT" w:hAnsi="Arial MT" w:cs="Arial MT" w:eastAsia="Arial MT"/>
          <w:color w:val="auto"/>
          <w:spacing w:val="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B.;</w:t>
      </w:r>
      <w:r>
        <w:rPr>
          <w:rFonts w:ascii="Arial MT" w:hAnsi="Arial MT" w:cs="Arial MT" w:eastAsia="Arial MT"/>
          <w:color w:val="auto"/>
          <w:spacing w:val="1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MITSUMORI,</w:t>
      </w:r>
      <w:r>
        <w:rPr>
          <w:rFonts w:ascii="Arial MT" w:hAnsi="Arial MT" w:cs="Arial MT" w:eastAsia="Arial MT"/>
          <w:color w:val="auto"/>
          <w:spacing w:val="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L.</w:t>
      </w:r>
      <w:r>
        <w:rPr>
          <w:rFonts w:ascii="Arial MT" w:hAnsi="Arial MT" w:cs="Arial MT" w:eastAsia="Arial MT"/>
          <w:color w:val="auto"/>
          <w:spacing w:val="9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M.;</w:t>
      </w:r>
      <w:r>
        <w:rPr>
          <w:rFonts w:ascii="Arial MT" w:hAnsi="Arial MT" w:cs="Arial MT" w:eastAsia="Arial MT"/>
          <w:color w:val="auto"/>
          <w:spacing w:val="1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ROHRMANN,</w:t>
      </w:r>
      <w:r>
        <w:rPr>
          <w:rFonts w:ascii="Arial MT" w:hAnsi="Arial MT" w:cs="Arial MT" w:eastAsia="Arial MT"/>
          <w:color w:val="auto"/>
          <w:spacing w:val="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C.</w:t>
      </w:r>
      <w:r>
        <w:rPr>
          <w:rFonts w:ascii="Arial MT" w:hAnsi="Arial MT" w:cs="Arial MT" w:eastAsia="Arial MT"/>
          <w:color w:val="auto"/>
          <w:spacing w:val="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5"/>
          <w:position w:val="0"/>
          <w:sz w:val="20"/>
          <w:shd w:fill="auto" w:val="clear"/>
        </w:rPr>
        <w:t xml:space="preserve">A.;</w:t>
      </w:r>
    </w:p>
    <w:p>
      <w:pPr>
        <w:spacing w:before="0" w:after="0" w:line="276"/>
        <w:ind w:right="822" w:left="820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SWANSTROM,</w:t>
      </w:r>
      <w:r>
        <w:rPr>
          <w:rFonts w:ascii="Arial MT" w:hAnsi="Arial MT" w:cs="Arial MT" w:eastAsia="Arial MT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L.</w:t>
      </w:r>
      <w:r>
        <w:rPr>
          <w:rFonts w:ascii="Arial MT" w:hAnsi="Arial MT" w:cs="Arial MT" w:eastAsia="Arial MT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L.</w:t>
      </w:r>
      <w:r>
        <w:rPr>
          <w:rFonts w:ascii="Arial MT" w:hAnsi="Arial MT" w:cs="Arial MT" w:eastAsia="Arial MT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Biologic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prosthesis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reduces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recurrence</w:t>
      </w:r>
      <w:r>
        <w:rPr>
          <w:rFonts w:ascii="Arial MT" w:hAnsi="Arial MT" w:cs="Arial MT" w:eastAsia="Arial MT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after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laparoscopic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paraesophageal</w:t>
      </w:r>
      <w:r>
        <w:rPr>
          <w:rFonts w:ascii="Arial MT" w:hAnsi="Arial MT" w:cs="Arial MT" w:eastAsia="Arial MT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hernia repair: a multicenter, prospective, randomized trial. Ann Surg. 2006;244(4):481-490.</w:t>
      </w:r>
    </w:p>
    <w:p>
      <w:pPr>
        <w:spacing w:before="35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82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PETERS,</w:t>
      </w:r>
      <w:r>
        <w:rPr>
          <w:rFonts w:ascii="Arial MT" w:hAnsi="Arial MT" w:cs="Arial MT" w:eastAsia="Arial MT"/>
          <w:color w:val="auto"/>
          <w:spacing w:val="1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M.</w:t>
      </w:r>
      <w:r>
        <w:rPr>
          <w:rFonts w:ascii="Arial MT" w:hAnsi="Arial MT" w:cs="Arial MT" w:eastAsia="Arial MT"/>
          <w:color w:val="auto"/>
          <w:spacing w:val="1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J.;</w:t>
      </w:r>
      <w:r>
        <w:rPr>
          <w:rFonts w:ascii="Arial MT" w:hAnsi="Arial MT" w:cs="Arial MT" w:eastAsia="Arial MT"/>
          <w:color w:val="auto"/>
          <w:spacing w:val="1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MUKHTAR,</w:t>
      </w:r>
      <w:r>
        <w:rPr>
          <w:rFonts w:ascii="Arial MT" w:hAnsi="Arial MT" w:cs="Arial MT" w:eastAsia="Arial MT"/>
          <w:color w:val="auto"/>
          <w:spacing w:val="1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A.;</w:t>
      </w:r>
      <w:r>
        <w:rPr>
          <w:rFonts w:ascii="Arial MT" w:hAnsi="Arial MT" w:cs="Arial MT" w:eastAsia="Arial MT"/>
          <w:color w:val="auto"/>
          <w:spacing w:val="1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YUNUS,</w:t>
      </w:r>
      <w:r>
        <w:rPr>
          <w:rFonts w:ascii="Arial MT" w:hAnsi="Arial MT" w:cs="Arial MT" w:eastAsia="Arial MT"/>
          <w:color w:val="auto"/>
          <w:spacing w:val="1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R.</w:t>
      </w:r>
      <w:r>
        <w:rPr>
          <w:rFonts w:ascii="Arial MT" w:hAnsi="Arial MT" w:cs="Arial MT" w:eastAsia="Arial MT"/>
          <w:color w:val="auto"/>
          <w:spacing w:val="1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M.;</w:t>
      </w:r>
      <w:r>
        <w:rPr>
          <w:rFonts w:ascii="Arial MT" w:hAnsi="Arial MT" w:cs="Arial MT" w:eastAsia="Arial MT"/>
          <w:color w:val="auto"/>
          <w:spacing w:val="1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KHAN,</w:t>
      </w:r>
      <w:r>
        <w:rPr>
          <w:rFonts w:ascii="Arial MT" w:hAnsi="Arial MT" w:cs="Arial MT" w:eastAsia="Arial MT"/>
          <w:color w:val="auto"/>
          <w:spacing w:val="1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S.;</w:t>
      </w:r>
      <w:r>
        <w:rPr>
          <w:rFonts w:ascii="Arial MT" w:hAnsi="Arial MT" w:cs="Arial MT" w:eastAsia="Arial MT"/>
          <w:color w:val="auto"/>
          <w:spacing w:val="1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PAPPALARDO,</w:t>
      </w:r>
      <w:r>
        <w:rPr>
          <w:rFonts w:ascii="Arial MT" w:hAnsi="Arial MT" w:cs="Arial MT" w:eastAsia="Arial MT"/>
          <w:color w:val="auto"/>
          <w:spacing w:val="1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J.;</w:t>
      </w:r>
      <w:r>
        <w:rPr>
          <w:rFonts w:ascii="Arial MT" w:hAnsi="Arial MT" w:cs="Arial MT" w:eastAsia="Arial MT"/>
          <w:color w:val="auto"/>
          <w:spacing w:val="1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HOLLOWAY,</w:t>
      </w:r>
      <w:r>
        <w:rPr>
          <w:rFonts w:ascii="Arial MT" w:hAnsi="Arial MT" w:cs="Arial MT" w:eastAsia="Arial MT"/>
          <w:color w:val="auto"/>
          <w:spacing w:val="1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R.</w:t>
      </w:r>
      <w:r>
        <w:rPr>
          <w:rFonts w:ascii="Arial MT" w:hAnsi="Arial MT" w:cs="Arial MT" w:eastAsia="Arial MT"/>
          <w:color w:val="auto"/>
          <w:spacing w:val="1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5"/>
          <w:position w:val="0"/>
          <w:sz w:val="20"/>
          <w:shd w:fill="auto" w:val="clear"/>
        </w:rPr>
        <w:t xml:space="preserve">H.;</w:t>
      </w:r>
    </w:p>
    <w:p>
      <w:pPr>
        <w:spacing w:before="34" w:after="0" w:line="276"/>
        <w:ind w:right="825" w:left="820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HAKENDORF, P.; DENT, J. Meta-analysis of randomized clinical trials comparing open and laparoscopic anti-reflux surgery. Am J Gastroenterol. 2009;104(6):1548-1561.</w:t>
      </w:r>
    </w:p>
    <w:p>
      <w:pPr>
        <w:spacing w:before="33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82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RIEGLER,</w:t>
      </w:r>
      <w:r>
        <w:rPr>
          <w:rFonts w:ascii="Arial MT" w:hAnsi="Arial MT" w:cs="Arial MT" w:eastAsia="Arial MT"/>
          <w:color w:val="auto"/>
          <w:spacing w:val="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M.;</w:t>
      </w:r>
      <w:r>
        <w:rPr>
          <w:rFonts w:ascii="Arial MT" w:hAnsi="Arial MT" w:cs="Arial MT" w:eastAsia="Arial MT"/>
          <w:color w:val="auto"/>
          <w:spacing w:val="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ASARI,</w:t>
      </w:r>
      <w:r>
        <w:rPr>
          <w:rFonts w:ascii="Arial MT" w:hAnsi="Arial MT" w:cs="Arial MT" w:eastAsia="Arial MT"/>
          <w:color w:val="auto"/>
          <w:spacing w:val="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R.;</w:t>
      </w:r>
      <w:r>
        <w:rPr>
          <w:rFonts w:ascii="Arial MT" w:hAnsi="Arial MT" w:cs="Arial MT" w:eastAsia="Arial MT"/>
          <w:color w:val="auto"/>
          <w:spacing w:val="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BAIERLEIN,</w:t>
      </w:r>
      <w:r>
        <w:rPr>
          <w:rFonts w:ascii="Arial MT" w:hAnsi="Arial MT" w:cs="Arial MT" w:eastAsia="Arial MT"/>
          <w:color w:val="auto"/>
          <w:spacing w:val="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M.;</w:t>
      </w:r>
      <w:r>
        <w:rPr>
          <w:rFonts w:ascii="Arial MT" w:hAnsi="Arial MT" w:cs="Arial MT" w:eastAsia="Arial MT"/>
          <w:color w:val="auto"/>
          <w:spacing w:val="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NEHODA,</w:t>
      </w:r>
      <w:r>
        <w:rPr>
          <w:rFonts w:ascii="Arial MT" w:hAnsi="Arial MT" w:cs="Arial MT" w:eastAsia="Arial MT"/>
          <w:color w:val="auto"/>
          <w:spacing w:val="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H.;</w:t>
      </w:r>
      <w:r>
        <w:rPr>
          <w:rFonts w:ascii="Arial MT" w:hAnsi="Arial MT" w:cs="Arial MT" w:eastAsia="Arial MT"/>
          <w:color w:val="auto"/>
          <w:spacing w:val="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ZACHERL,</w:t>
      </w:r>
      <w:r>
        <w:rPr>
          <w:rFonts w:ascii="Arial MT" w:hAnsi="Arial MT" w:cs="Arial MT" w:eastAsia="Arial MT"/>
          <w:color w:val="auto"/>
          <w:spacing w:val="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J.;</w:t>
      </w:r>
      <w:r>
        <w:rPr>
          <w:rFonts w:ascii="Arial MT" w:hAnsi="Arial MT" w:cs="Arial MT" w:eastAsia="Arial MT"/>
          <w:color w:val="auto"/>
          <w:spacing w:val="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BISCHOF,</w:t>
      </w:r>
      <w:r>
        <w:rPr>
          <w:rFonts w:ascii="Arial MT" w:hAnsi="Arial MT" w:cs="Arial MT" w:eastAsia="Arial MT"/>
          <w:color w:val="auto"/>
          <w:spacing w:val="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G.</w:t>
      </w:r>
      <w:r>
        <w:rPr>
          <w:rFonts w:ascii="Arial MT" w:hAnsi="Arial MT" w:cs="Arial MT" w:eastAsia="Arial MT"/>
          <w:color w:val="auto"/>
          <w:spacing w:val="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Laparoscopic</w:t>
      </w:r>
    </w:p>
    <w:p>
      <w:pPr>
        <w:spacing w:before="36" w:after="0" w:line="240"/>
        <w:ind w:right="0" w:left="820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antireflux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surgery: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long-term</w:t>
      </w:r>
      <w:r>
        <w:rPr>
          <w:rFonts w:ascii="Arial MT" w:hAnsi="Arial MT" w:cs="Arial MT" w:eastAsia="Arial MT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outcome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and</w:t>
      </w:r>
      <w:r>
        <w:rPr>
          <w:rFonts w:ascii="Arial MT" w:hAnsi="Arial MT" w:cs="Arial MT" w:eastAsia="Arial MT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quality</w:t>
      </w:r>
      <w:r>
        <w:rPr>
          <w:rFonts w:ascii="Arial MT" w:hAnsi="Arial MT" w:cs="Arial MT" w:eastAsia="Arial MT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of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life.</w:t>
      </w:r>
      <w:r>
        <w:rPr>
          <w:rFonts w:ascii="Arial MT" w:hAnsi="Arial MT" w:cs="Arial MT" w:eastAsia="Arial MT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Surg</w:t>
      </w:r>
      <w:r>
        <w:rPr>
          <w:rFonts w:ascii="Arial MT" w:hAnsi="Arial MT" w:cs="Arial MT" w:eastAsia="Arial MT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Endosc.</w:t>
      </w:r>
      <w:r>
        <w:rPr>
          <w:rFonts w:ascii="Arial MT" w:hAnsi="Arial MT" w:cs="Arial MT" w:eastAsia="Arial MT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2002;16(3):439-</w:t>
      </w:r>
      <w:r>
        <w:rPr>
          <w:rFonts w:ascii="Arial MT" w:hAnsi="Arial MT" w:cs="Arial MT" w:eastAsia="Arial MT"/>
          <w:color w:val="auto"/>
          <w:spacing w:val="-4"/>
          <w:position w:val="0"/>
          <w:sz w:val="20"/>
          <w:shd w:fill="auto" w:val="clear"/>
        </w:rPr>
        <w:t xml:space="preserve">444.</w:t>
      </w:r>
    </w:p>
    <w:p>
      <w:pPr>
        <w:spacing w:before="68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831" w:left="82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SMITH, C. D.; MCCLUSKY, D. A.; RAJAD,</w:t>
      </w:r>
      <w:r>
        <w:rPr>
          <w:rFonts w:ascii="Arial MT" w:hAnsi="Arial MT" w:cs="Arial MT" w:eastAsia="Arial MT"/>
          <w:color w:val="auto"/>
          <w:spacing w:val="19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M. A.; et al. When fundoplication fails: redo? Ann Surg.</w:t>
      </w:r>
      <w:r>
        <w:rPr>
          <w:rFonts w:ascii="Arial MT" w:hAnsi="Arial MT" w:cs="Arial MT" w:eastAsia="Arial MT"/>
          <w:color w:val="auto"/>
          <w:spacing w:val="8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2005;241(6):861-869.</w:t>
      </w:r>
    </w:p>
    <w:p>
      <w:pPr>
        <w:spacing w:before="36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82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STEFANIDIS,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D.;</w:t>
      </w:r>
      <w:r>
        <w:rPr>
          <w:rFonts w:ascii="Arial MT" w:hAnsi="Arial MT" w:cs="Arial MT" w:eastAsia="Arial MT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HOPE,</w:t>
      </w:r>
      <w:r>
        <w:rPr>
          <w:rFonts w:ascii="Arial MT" w:hAnsi="Arial MT" w:cs="Arial MT" w:eastAsia="Arial MT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W.</w:t>
      </w:r>
      <w:r>
        <w:rPr>
          <w:rFonts w:ascii="Arial MT" w:hAnsi="Arial MT" w:cs="Arial MT" w:eastAsia="Arial MT"/>
          <w:color w:val="auto"/>
          <w:spacing w:val="-14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W.;</w:t>
      </w:r>
      <w:r>
        <w:rPr>
          <w:rFonts w:ascii="Arial MT" w:hAnsi="Arial MT" w:cs="Arial MT" w:eastAsia="Arial MT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KOHN,</w:t>
      </w:r>
      <w:r>
        <w:rPr>
          <w:rFonts w:ascii="Arial MT" w:hAnsi="Arial MT" w:cs="Arial MT" w:eastAsia="Arial MT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G.</w:t>
      </w:r>
      <w:r>
        <w:rPr>
          <w:rFonts w:ascii="Arial MT" w:hAnsi="Arial MT" w:cs="Arial MT" w:eastAsia="Arial MT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P.;</w:t>
      </w:r>
      <w:r>
        <w:rPr>
          <w:rFonts w:ascii="Arial MT" w:hAnsi="Arial MT" w:cs="Arial MT" w:eastAsia="Arial MT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REARDON,</w:t>
      </w:r>
      <w:r>
        <w:rPr>
          <w:rFonts w:ascii="Arial MT" w:hAnsi="Arial MT" w:cs="Arial MT" w:eastAsia="Arial MT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P.</w:t>
      </w:r>
      <w:r>
        <w:rPr>
          <w:rFonts w:ascii="Arial MT" w:hAnsi="Arial MT" w:cs="Arial MT" w:eastAsia="Arial MT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R.;</w:t>
      </w:r>
      <w:r>
        <w:rPr>
          <w:rFonts w:ascii="Arial MT" w:hAnsi="Arial MT" w:cs="Arial MT" w:eastAsia="Arial MT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RICHARDSON,</w:t>
      </w:r>
      <w:r>
        <w:rPr>
          <w:rFonts w:ascii="Arial MT" w:hAnsi="Arial MT" w:cs="Arial MT" w:eastAsia="Arial MT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W.</w:t>
      </w:r>
      <w:r>
        <w:rPr>
          <w:rFonts w:ascii="Arial MT" w:hAnsi="Arial MT" w:cs="Arial MT" w:eastAsia="Arial MT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S.;</w:t>
      </w:r>
      <w:r>
        <w:rPr>
          <w:rFonts w:ascii="Arial MT" w:hAnsi="Arial MT" w:cs="Arial MT" w:eastAsia="Arial MT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FANELLI,</w:t>
      </w:r>
      <w:r>
        <w:rPr>
          <w:rFonts w:ascii="Arial MT" w:hAnsi="Arial MT" w:cs="Arial MT" w:eastAsia="Arial MT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5"/>
          <w:position w:val="0"/>
          <w:sz w:val="20"/>
          <w:shd w:fill="auto" w:val="clear"/>
        </w:rPr>
        <w:t xml:space="preserve">R.</w:t>
      </w:r>
    </w:p>
    <w:p>
      <w:pPr>
        <w:spacing w:before="34" w:after="0" w:line="276"/>
        <w:ind w:right="826" w:left="82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D.</w:t>
      </w:r>
      <w:r>
        <w:rPr>
          <w:rFonts w:ascii="Arial MT" w:hAnsi="Arial MT" w:cs="Arial MT" w:eastAsia="Arial MT"/>
          <w:color w:val="auto"/>
          <w:spacing w:val="40"/>
          <w:position w:val="0"/>
          <w:sz w:val="20"/>
          <w:shd w:fill="auto" w:val="clear"/>
        </w:rPr>
        <w:t xml:space="preserve"> 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Guidelines</w:t>
      </w:r>
      <w:r>
        <w:rPr>
          <w:rFonts w:ascii="Arial MT" w:hAnsi="Arial MT" w:cs="Arial MT" w:eastAsia="Arial MT"/>
          <w:color w:val="auto"/>
          <w:spacing w:val="40"/>
          <w:position w:val="0"/>
          <w:sz w:val="20"/>
          <w:shd w:fill="auto" w:val="clear"/>
        </w:rPr>
        <w:t xml:space="preserve"> 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for</w:t>
      </w:r>
      <w:r>
        <w:rPr>
          <w:rFonts w:ascii="Arial MT" w:hAnsi="Arial MT" w:cs="Arial MT" w:eastAsia="Arial MT"/>
          <w:color w:val="auto"/>
          <w:spacing w:val="40"/>
          <w:position w:val="0"/>
          <w:sz w:val="20"/>
          <w:shd w:fill="auto" w:val="clear"/>
        </w:rPr>
        <w:t xml:space="preserve"> 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surgical</w:t>
      </w:r>
      <w:r>
        <w:rPr>
          <w:rFonts w:ascii="Arial MT" w:hAnsi="Arial MT" w:cs="Arial MT" w:eastAsia="Arial MT"/>
          <w:color w:val="auto"/>
          <w:spacing w:val="8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treatment</w:t>
      </w:r>
      <w:r>
        <w:rPr>
          <w:rFonts w:ascii="Arial MT" w:hAnsi="Arial MT" w:cs="Arial MT" w:eastAsia="Arial MT"/>
          <w:color w:val="auto"/>
          <w:spacing w:val="40"/>
          <w:position w:val="0"/>
          <w:sz w:val="20"/>
          <w:shd w:fill="auto" w:val="clear"/>
        </w:rPr>
        <w:t xml:space="preserve"> 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of</w:t>
      </w:r>
      <w:r>
        <w:rPr>
          <w:rFonts w:ascii="Arial MT" w:hAnsi="Arial MT" w:cs="Arial MT" w:eastAsia="Arial MT"/>
          <w:color w:val="auto"/>
          <w:spacing w:val="40"/>
          <w:position w:val="0"/>
          <w:sz w:val="20"/>
          <w:shd w:fill="auto" w:val="clear"/>
        </w:rPr>
        <w:t xml:space="preserve"> 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gastroesophageal</w:t>
      </w:r>
      <w:r>
        <w:rPr>
          <w:rFonts w:ascii="Arial MT" w:hAnsi="Arial MT" w:cs="Arial MT" w:eastAsia="Arial MT"/>
          <w:color w:val="auto"/>
          <w:spacing w:val="8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reflux</w:t>
      </w:r>
      <w:r>
        <w:rPr>
          <w:rFonts w:ascii="Arial MT" w:hAnsi="Arial MT" w:cs="Arial MT" w:eastAsia="Arial MT"/>
          <w:color w:val="auto"/>
          <w:spacing w:val="40"/>
          <w:position w:val="0"/>
          <w:sz w:val="20"/>
          <w:shd w:fill="auto" w:val="clear"/>
        </w:rPr>
        <w:t xml:space="preserve"> 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disease.</w:t>
      </w:r>
      <w:r>
        <w:rPr>
          <w:rFonts w:ascii="Arial MT" w:hAnsi="Arial MT" w:cs="Arial MT" w:eastAsia="Arial MT"/>
          <w:color w:val="auto"/>
          <w:spacing w:val="8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Surg</w:t>
      </w:r>
      <w:r>
        <w:rPr>
          <w:rFonts w:ascii="Arial MT" w:hAnsi="Arial MT" w:cs="Arial MT" w:eastAsia="Arial MT"/>
          <w:color w:val="auto"/>
          <w:spacing w:val="40"/>
          <w:position w:val="0"/>
          <w:sz w:val="20"/>
          <w:shd w:fill="auto" w:val="clear"/>
        </w:rPr>
        <w:t xml:space="preserve"> 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Endosc. 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2010;24(11):2647-2669.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num w:numId="13">
    <w:abstractNumId w:val="36"/>
  </w:num>
  <w:num w:numId="27">
    <w:abstractNumId w:val="30"/>
  </w:num>
  <w:num w:numId="29">
    <w:abstractNumId w:val="24"/>
  </w:num>
  <w:num w:numId="42">
    <w:abstractNumId w:val="18"/>
  </w:num>
  <w:num w:numId="56">
    <w:abstractNumId w:val="12"/>
  </w:num>
  <w:num w:numId="72">
    <w:abstractNumId w:val="6"/>
  </w:num>
  <w:num w:numId="81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