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O Estigma do “mudinho”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Luana da Silva de Araújo Juliano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Programa de Pós Graduação em Educação (PROPED) – UERJ</w:t>
      </w:r>
    </w:p>
    <w:p>
      <w:pPr>
        <w:pStyle w:val="Normal1"/>
        <w:jc w:val="right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right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right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 xml:space="preserve">Resumo: 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As pessoas com surdez enfrentam uma série de obstáculos, seja na luta por seus direitos, dificuldades de </w:t>
      </w:r>
      <w:r>
        <w:rPr>
          <w:rFonts w:eastAsia="Times New Roman" w:cs="Times New Roman" w:ascii="Times New Roman" w:hAnsi="Times New Roman"/>
          <w:b w:val="false"/>
          <w:bCs w:val="false"/>
        </w:rPr>
        <w:t>acesso e permanência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em espaços não inclusivos, na saúde por falta de atendimento especializado, entre outras tantas dificuldades. Para além, o estigma que o surdo enfrenta, gerado pela ignorância existente ainda nos dias de hoje, em associar à pessoa surda, com a pessoa muda, o termo surdo-mudo, que não é mais usado, ainda se encontra no imaginário da</w:t>
      </w:r>
      <w:r>
        <w:rPr>
          <w:rFonts w:eastAsia="Times New Roman" w:cs="Times New Roman" w:ascii="Times New Roman" w:hAnsi="Times New Roman"/>
          <w:b w:val="false"/>
          <w:bCs w:val="fals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pessoa</w:t>
      </w:r>
      <w:r>
        <w:rPr>
          <w:rFonts w:eastAsia="Times New Roman" w:cs="Times New Roman" w:ascii="Times New Roman" w:hAnsi="Times New Roman"/>
          <w:b w:val="false"/>
          <w:bCs w:val="false"/>
        </w:rPr>
        <w:t>s que convivem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com </w:t>
      </w:r>
      <w:r>
        <w:rPr>
          <w:rFonts w:eastAsia="Times New Roman" w:cs="Times New Roman" w:ascii="Times New Roman" w:hAnsi="Times New Roman"/>
          <w:b w:val="false"/>
          <w:bCs w:val="fals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surd</w:t>
      </w:r>
      <w:r>
        <w:rPr>
          <w:rFonts w:eastAsia="Times New Roman" w:cs="Times New Roman" w:ascii="Times New Roman" w:hAnsi="Times New Roman"/>
          <w:b w:val="false"/>
          <w:bCs w:val="fals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Sendo assim o estigma acaba se tornando uma barreira atitudinal que </w:t>
      </w:r>
      <w:r>
        <w:rPr>
          <w:rFonts w:eastAsia="Times New Roman" w:cs="Times New Roman" w:ascii="Times New Roman" w:hAnsi="Times New Roman"/>
          <w:b w:val="false"/>
          <w:bCs w:val="false"/>
        </w:rPr>
        <w:t>ele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 precisa derrubar para alcançar espaços de crescimento social.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Palavras Chaves: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Estigma, Surdo, Mudinho, Barreira atitudinal.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</w:t>
      </w:r>
      <w:r>
        <w:rPr>
          <w:rFonts w:eastAsia="Times New Roman" w:cs="Times New Roman" w:ascii="Times New Roman" w:hAnsi="Times New Roman"/>
          <w:b/>
          <w:bCs/>
        </w:rPr>
        <w:t>ntrodução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 </w:t>
      </w:r>
      <w:r>
        <w:rPr>
          <w:rFonts w:eastAsia="Times New Roman" w:cs="Times New Roman" w:ascii="Times New Roman" w:hAnsi="Times New Roman"/>
        </w:rPr>
        <w:t xml:space="preserve">diagnóstico da surdez afeta muitas famílias, que nem sempre estão preparadas para se adequarem a essa nova realidade. Atualmente ainda existem muitos surdos no Brasil que não foram oralizados nem fazem uso da </w:t>
      </w:r>
      <w:r>
        <w:rPr>
          <w:rFonts w:eastAsia="Times New Roman" w:cs="Times New Roman" w:ascii="Times New Roman" w:hAnsi="Times New Roman"/>
        </w:rPr>
        <w:t>L</w:t>
      </w:r>
      <w:r>
        <w:rPr>
          <w:rFonts w:eastAsia="Times New Roman" w:cs="Times New Roman" w:ascii="Times New Roman" w:hAnsi="Times New Roman"/>
        </w:rPr>
        <w:t>ibras (língua brasileira de sinais), seja por falta de recursos, por negligência de seus cuidadores,</w:t>
      </w:r>
      <w:r>
        <w:rPr>
          <w:rFonts w:eastAsia="Times New Roman" w:cs="Times New Roman" w:ascii="Times New Roman" w:hAnsi="Times New Roman"/>
        </w:rPr>
        <w:t xml:space="preserve"> por não valorizarem as especificidades da Libras, esses direitos acabam sendo negados em algum momento de sua vida.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E</w:t>
      </w:r>
      <w:r>
        <w:rPr>
          <w:rFonts w:eastAsia="Times New Roman" w:cs="Times New Roman" w:ascii="Times New Roman" w:hAnsi="Times New Roman"/>
        </w:rPr>
        <w:t xml:space="preserve">ssa pessoa se vê como um indivíduo que não é integrante de uma cultura surda, não faz uso de leitura labial com os ouvintes e sua forma de comunicação é informal, ou seja, não são os sinais da Libras. </w:t>
      </w:r>
      <w:r>
        <w:rPr>
          <w:rFonts w:eastAsia="Times New Roman" w:cs="Times New Roman" w:ascii="Times New Roman" w:hAnsi="Times New Roman"/>
        </w:rPr>
        <w:t xml:space="preserve">Existe uma diferença entre a pessoa com deficiência auditiva e a pessoa surda, basicamente o que difere uma categoria da outra, </w:t>
      </w:r>
      <w:r>
        <w:rPr>
          <w:rFonts w:eastAsia="Times New Roman" w:cs="Times New Roman" w:ascii="Times New Roman" w:hAnsi="Times New Roman"/>
        </w:rPr>
        <w:t xml:space="preserve">é que dentro da categoria de deficiência auditiva, existe uma escala na </w:t>
      </w:r>
      <w:r>
        <w:rPr>
          <w:rFonts w:eastAsia="Times New Roman" w:cs="Times New Roman" w:ascii="Times New Roman" w:hAnsi="Times New Roman"/>
        </w:rPr>
        <w:t xml:space="preserve">perda de decibéis do ouvido direito e esquerdo, </w:t>
      </w:r>
      <w:r>
        <w:rPr>
          <w:rFonts w:eastAsia="Times New Roman" w:cs="Times New Roman" w:ascii="Times New Roman" w:hAnsi="Times New Roman"/>
        </w:rPr>
        <w:t>essa perda vai de suave à profunda.</w:t>
      </w:r>
      <w:r>
        <w:rPr>
          <w:rFonts w:eastAsia="Times New Roman" w:cs="Times New Roman" w:ascii="Times New Roman" w:hAnsi="Times New Roman"/>
        </w:rPr>
        <w:t xml:space="preserve"> e pode ser ocasionada por diversos fatores, </w:t>
      </w:r>
      <w:r>
        <w:rPr>
          <w:rFonts w:eastAsia="Times New Roman" w:cs="Times New Roman" w:ascii="Times New Roman" w:hAnsi="Times New Roman"/>
        </w:rPr>
        <w:t>ela é feita por profissionais da fonoaudiologia, através do exame audiométrico</w:t>
      </w:r>
      <w:r>
        <w:rPr>
          <w:rFonts w:eastAsia="Times New Roman" w:cs="Times New Roman" w:ascii="Times New Roman" w:hAnsi="Times New Roman"/>
        </w:rPr>
        <w:t xml:space="preserve">. </w:t>
      </w:r>
      <w:r>
        <w:rPr>
          <w:rFonts w:eastAsia="Times New Roman" w:cs="Times New Roman" w:ascii="Times New Roman" w:hAnsi="Times New Roman"/>
        </w:rPr>
        <w:t xml:space="preserve">Já o surdo é aquele que é usuário da Libras, como sua língua materna, o reconhecimento </w:t>
      </w:r>
      <w:r>
        <w:rPr>
          <w:rFonts w:eastAsia="Times New Roman" w:cs="Times New Roman" w:ascii="Times New Roman" w:hAnsi="Times New Roman"/>
        </w:rPr>
        <w:t>de si mesmo,</w:t>
      </w:r>
      <w:r>
        <w:rPr>
          <w:rFonts w:eastAsia="Times New Roman" w:cs="Times New Roman" w:ascii="Times New Roman" w:hAnsi="Times New Roman"/>
        </w:rPr>
        <w:t xml:space="preserve"> é totalmente necessário para que ele pertença à comunidade surda. </w:t>
      </w:r>
      <w:r>
        <w:rPr>
          <w:rFonts w:eastAsia="Times New Roman" w:cs="Times New Roman" w:ascii="Times New Roman" w:hAnsi="Times New Roman"/>
        </w:rPr>
        <w:t xml:space="preserve">O objeto em que me refiro nesse trabalho, é o surdo profundo, que não possui nenhum resquício de audição e que não é usuário da Libras, se trata de um sujeito totalmente negligenciado quanto à estar inserido dentro de algum contexto formal de comunicação, seja ele através do uso </w:t>
      </w:r>
      <w:r>
        <w:rPr>
          <w:rFonts w:eastAsia="Times New Roman" w:cs="Times New Roman" w:ascii="Times New Roman" w:hAnsi="Times New Roman"/>
        </w:rPr>
        <w:t>do</w:t>
      </w:r>
      <w:r>
        <w:rPr>
          <w:rFonts w:eastAsia="Times New Roman" w:cs="Times New Roman" w:ascii="Times New Roman" w:hAnsi="Times New Roman"/>
        </w:rPr>
        <w:t xml:space="preserve"> implante coclear,  da oralização, ou do uso da Libras dentro de uma comunidade surda e por muitas vezes acaba sendo conhecido genericamente e pejorativamente de “mudinho”. Até 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mesmo seu nome por diversas vezes se torna desconhecido, seu apelido acaba sendo mais usual em seu grupo social, </w:t>
      </w:r>
      <w:r>
        <w:rPr>
          <w:rFonts w:eastAsia="Times New Roman" w:cs="Times New Roman" w:ascii="Times New Roman" w:hAnsi="Times New Roman"/>
        </w:rPr>
        <w:t xml:space="preserve">e </w:t>
      </w:r>
      <w:r>
        <w:rPr>
          <w:rFonts w:eastAsia="Times New Roman" w:cs="Times New Roman" w:ascii="Times New Roman" w:hAnsi="Times New Roman"/>
        </w:rPr>
        <w:t xml:space="preserve">dentro dos espaços que ele ocupa. </w:t>
      </w:r>
      <w:r>
        <w:rPr>
          <w:rFonts w:eastAsia="Times New Roman" w:cs="Times New Roman" w:ascii="Times New Roman" w:hAnsi="Times New Roman"/>
        </w:rPr>
        <w:t xml:space="preserve">O termo “surdo-mudo” que já foi muito usado, ainda se encontra no imaginário das pessoas, é necessário salientar que uma coisa não está relacionada à outra. O surdo possui cordas vocais, e tem capacidade de emitir sons, por isso não pode ser considerado mudo. Esse termo é ignorado pela comunidade surda, já que é totalmente equivocado quanto à capacidade vocal do surdo e pelo seu teor de ignorância e desprezo. É triste perceber como atualmente, a desinformação ainda é grande, e que por causa dela, </w:t>
      </w:r>
      <w:r>
        <w:rPr>
          <w:rFonts w:eastAsia="Times New Roman" w:cs="Times New Roman" w:ascii="Times New Roman" w:hAnsi="Times New Roman"/>
        </w:rPr>
        <w:t xml:space="preserve">continua sendo </w:t>
      </w:r>
      <w:r>
        <w:rPr>
          <w:rFonts w:eastAsia="Times New Roman" w:cs="Times New Roman" w:ascii="Times New Roman" w:hAnsi="Times New Roman"/>
        </w:rPr>
        <w:t>comum ouvir as pessoas se referirem ao surdo como “surdo-mudo”.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b/>
          <w:bCs/>
        </w:rPr>
      </w:r>
    </w:p>
    <w:p>
      <w:pPr>
        <w:pStyle w:val="Normal1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T</w:t>
      </w:r>
      <w:r>
        <w:rPr>
          <w:rFonts w:eastAsia="Times New Roman" w:cs="Times New Roman" w:ascii="Times New Roman" w:hAnsi="Times New Roman"/>
          <w:b/>
          <w:bCs/>
        </w:rPr>
        <w:t>raços da Barreira Atitudinal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</w:t>
      </w:r>
      <w:r>
        <w:rPr>
          <w:rFonts w:eastAsia="Times New Roman" w:cs="Times New Roman" w:ascii="Times New Roman" w:hAnsi="Times New Roman"/>
        </w:rPr>
        <w:t>o longo de sua vida o “</w:t>
      </w:r>
      <w:r>
        <w:rPr>
          <w:rFonts w:eastAsia="Times New Roman" w:cs="Times New Roman" w:ascii="Times New Roman" w:hAnsi="Times New Roman"/>
        </w:rPr>
        <w:t>mudinho”</w:t>
      </w:r>
      <w:r>
        <w:rPr>
          <w:rFonts w:eastAsia="Times New Roman" w:cs="Times New Roman" w:ascii="Times New Roman" w:hAnsi="Times New Roman"/>
        </w:rPr>
        <w:t xml:space="preserve"> encontra muitas barreiras que dificultam seu crescimento pessoal, social, intelectual, impedindo que ele alcance melhores condições e qualidade de vida. </w:t>
      </w:r>
      <w:r>
        <w:rPr>
          <w:rFonts w:eastAsia="Times New Roman" w:cs="Times New Roman" w:ascii="Times New Roman" w:hAnsi="Times New Roman"/>
        </w:rPr>
        <w:t>Atualmente existem</w:t>
      </w:r>
      <w:r>
        <w:rPr>
          <w:rFonts w:eastAsia="Times New Roman" w:cs="Times New Roman" w:ascii="Times New Roman" w:hAnsi="Times New Roman"/>
        </w:rPr>
        <w:t xml:space="preserve"> seis dimensões de acessibilidade: arquitetônica, comunicacional, metodológica, instrumental, programática e atitudinal</w:t>
      </w:r>
      <w:r>
        <w:rPr>
          <w:rFonts w:eastAsia="Times New Roman" w:cs="Times New Roman" w:ascii="Times New Roman" w:hAnsi="Times New Roman"/>
        </w:rPr>
        <w:t xml:space="preserve">. </w:t>
      </w:r>
      <w:r>
        <w:rPr>
          <w:rFonts w:eastAsia="Times New Roman" w:cs="Times New Roman" w:ascii="Times New Roman" w:hAnsi="Times New Roman"/>
        </w:rPr>
        <w:t xml:space="preserve">Romeu sassaki </w:t>
      </w:r>
      <w:r>
        <w:rPr>
          <w:rFonts w:eastAsia="Times New Roman" w:cs="Times New Roman" w:ascii="Times New Roman" w:hAnsi="Times New Roman"/>
        </w:rPr>
        <w:t xml:space="preserve">apresenta exemplos práticos de como a inclusão pode acontecer dentro de cada dimensão. </w:t>
      </w:r>
      <w:r>
        <w:rPr>
          <w:rFonts w:eastAsia="Times New Roman" w:cs="Times New Roman" w:ascii="Times New Roman" w:hAnsi="Times New Roman"/>
        </w:rPr>
        <w:t>Dentro dessas dimensões, a atitudinal está relacionada à: “...</w:t>
      </w:r>
      <w:r>
        <w:rPr>
          <w:rFonts w:eastAsia="Times New Roman" w:cs="Times New Roman" w:ascii="Times New Roman" w:hAnsi="Times New Roman"/>
        </w:rPr>
        <w:t xml:space="preserve">sem preconceitos, estereótipos, estigmas e discriminações nos comportamentos da </w:t>
      </w:r>
      <w:r>
        <w:rPr>
          <w:rFonts w:eastAsia="Times New Roman" w:cs="Times New Roman" w:ascii="Times New Roman" w:hAnsi="Times New Roman"/>
        </w:rPr>
        <w:t>sociedade para pessoas que têm deficiência”(SASSAKI, 2009, p.1)</w:t>
      </w:r>
      <w:r>
        <w:rPr>
          <w:rFonts w:eastAsia="Times New Roman" w:cs="Times New Roman" w:ascii="Times New Roman" w:hAnsi="Times New Roman"/>
        </w:rPr>
        <w:t xml:space="preserve">. 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</w:rPr>
        <w:t xml:space="preserve">entro da categoria da dimensão atitudinal, o estigma pode ser considerado como um dos maiores obstáculos enfrentados pelo surdo. </w:t>
      </w:r>
      <w:r>
        <w:rPr>
          <w:rFonts w:eastAsia="Times New Roman" w:cs="Times New Roman" w:ascii="Times New Roman" w:hAnsi="Times New Roman"/>
        </w:rPr>
        <w:t xml:space="preserve">Erving Goffman foi um sociólogo interacionista, que escreveu no ano de 1891 a primeira edição do livro – Estigma: notas sobre a manipulação da identidade deteriorada – obra que até os dias atuais é usada como referência no estudo sobre as diferentes facetas do estigma. </w:t>
      </w:r>
      <w:r>
        <w:rPr>
          <w:rFonts w:eastAsia="Times New Roman" w:cs="Times New Roman" w:ascii="Times New Roman" w:hAnsi="Times New Roman"/>
        </w:rPr>
        <w:t xml:space="preserve">Atualmente ela se encontra em sua quarta edição, e por mais que já tenha mais cem anos de sua primeira publicação, ela ainda é atual e serve como excelente aporte teórico nas pesquisas sobre o sujeito estigmatizado. </w:t>
      </w:r>
      <w:r>
        <w:rPr>
          <w:rFonts w:eastAsia="Times New Roman" w:cs="Times New Roman" w:ascii="Times New Roman" w:hAnsi="Times New Roman"/>
        </w:rPr>
        <w:t xml:space="preserve">Entre as relações do indivíduo estigmatizado com seu grupo, Goffman afirma: 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Ele possui um traço que pode-se impor a atenção e afastar aqueles que ele encontra, destruindo a possibilidade de atenção para outros atributos seus. Ele possui um estigma, uma característica diferente da que havíamos previsto</w:t>
      </w:r>
      <w:r>
        <w:rPr>
          <w:rFonts w:eastAsia="Times New Roman" w:cs="Times New Roman" w:ascii="Times New Roman" w:hAnsi="Times New Roman"/>
        </w:rPr>
        <w:t xml:space="preserve">. (GOFFMAN, </w:t>
      </w:r>
      <w:r>
        <w:rPr>
          <w:rFonts w:eastAsia="Times New Roman" w:cs="Times New Roman" w:ascii="Times New Roman" w:hAnsi="Times New Roman"/>
        </w:rPr>
        <w:t>1986, p.</w:t>
      </w:r>
      <w:r>
        <w:rPr>
          <w:rFonts w:eastAsia="Times New Roman" w:cs="Times New Roman" w:ascii="Times New Roman" w:hAnsi="Times New Roman"/>
        </w:rPr>
        <w:t>7)</w:t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 </w:t>
      </w:r>
      <w:r>
        <w:rPr>
          <w:rFonts w:eastAsia="Times New Roman" w:cs="Times New Roman" w:ascii="Times New Roman" w:hAnsi="Times New Roman"/>
        </w:rPr>
        <w:t>estigma possui a capacidade de invisibilizar as qualidades que o surdo possui,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esse traço de diferença ganha destaque dentro do seu grupo de convivência, mas nem sempre ele é positivo, podendo vir camuflado como algumas formas de brincadeiras, escárnio e muita falta de respeito com o surdo, que dentro desse cenário, por vezes aceita, como forma de permanecer inserido dentro daquele grupo.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 le</w:t>
      </w:r>
      <w:r>
        <w:rPr>
          <w:rFonts w:eastAsia="Times New Roman" w:cs="Times New Roman" w:ascii="Times New Roman" w:hAnsi="Times New Roman"/>
        </w:rPr>
        <w:t>gislação</w:t>
      </w:r>
      <w:r>
        <w:rPr>
          <w:rFonts w:eastAsia="Times New Roman" w:cs="Times New Roman" w:ascii="Times New Roman" w:hAnsi="Times New Roman"/>
        </w:rPr>
        <w:t xml:space="preserve"> brasileira tem avançado nos últimos anos, atualmente a Lei n°13146, de 6 de julho de 2015, mais conhecida como Lei Brasileira de Inclusão, define em seu Artigo 3°, inciso IV, a definição de barreiras:</w:t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IV: barreiras: qualquer entrave, obstáculo, atitude ou comportamento que limite ou impeça a participação social da pessoa, bem como o gozo, a fruição e o exercício de seus direitos à acessibilidade, à liberdade de movimento e de expressão, à comunicação, ao acesso à informação, à compreensão, à circulação com segurança, entre outros.</w:t>
      </w:r>
      <w:r>
        <w:rPr>
          <w:rFonts w:eastAsia="Times New Roman" w:cs="Times New Roman" w:ascii="Times New Roman" w:hAnsi="Times New Roman"/>
        </w:rPr>
        <w:t>(PLANALTO, 2015)</w:t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 lei reforça que as atitudes podem ser definid</w:t>
      </w:r>
      <w:r>
        <w:rPr>
          <w:rFonts w:eastAsia="Times New Roman" w:cs="Times New Roman" w:ascii="Times New Roman" w:hAnsi="Times New Roman"/>
        </w:rPr>
        <w:t>a</w:t>
      </w:r>
      <w:r>
        <w:rPr>
          <w:rFonts w:eastAsia="Times New Roman" w:cs="Times New Roman" w:ascii="Times New Roman" w:hAnsi="Times New Roman"/>
        </w:rPr>
        <w:t xml:space="preserve">s como barreiras, sendo assim, ela pode prejudicar a pessoa com deficiência </w:t>
      </w:r>
      <w:r>
        <w:rPr>
          <w:rFonts w:eastAsia="Times New Roman" w:cs="Times New Roman" w:ascii="Times New Roman" w:hAnsi="Times New Roman"/>
        </w:rPr>
        <w:t>e até mesmo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impedir que ela esteja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usu</w:t>
      </w:r>
      <w:r>
        <w:rPr>
          <w:rFonts w:eastAsia="Times New Roman" w:cs="Times New Roman" w:ascii="Times New Roman" w:hAnsi="Times New Roman"/>
        </w:rPr>
        <w:t xml:space="preserve">fruindo </w:t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</w:rPr>
        <w:t xml:space="preserve"> seus direitos de forma plena. </w:t>
      </w:r>
      <w:r>
        <w:rPr>
          <w:rFonts w:eastAsia="Times New Roman" w:cs="Times New Roman" w:ascii="Times New Roman" w:hAnsi="Times New Roman"/>
        </w:rPr>
        <w:t xml:space="preserve">Entre alguns desses direitos, procuro focar no que tange à educação, já que ela tem papel decisivo e libertador na vida do surdo. Estar na escola, ter acesso à educação de qualidade, são lutas que as pessoas com deficiência sempre precisam reivindicar, se para uma criança regular, seu acesso e permanência no ambiente escolar já é difícil, ainda mais se tratando de um país com tanta desigualdade social, quem dirá para uma criança com algum tipo de deficiência. </w:t>
      </w:r>
      <w:r>
        <w:rPr>
          <w:rFonts w:eastAsia="Times New Roman" w:cs="Times New Roman" w:ascii="Times New Roman" w:hAnsi="Times New Roman"/>
        </w:rPr>
        <w:t xml:space="preserve">A Lei no seu Artigo 28°,incisos IV, XI e XII prevem: 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360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IV - oferta de educação bilíngue, em Libras como primeira língua e na modalidade escrita na língua portuguesa como segunda língua, em escolas e classes bilíngues e em escolas inclusivas;</w:t>
      </w:r>
    </w:p>
    <w:p>
      <w:pPr>
        <w:pStyle w:val="Normal1"/>
        <w:ind w:hanging="0" w:left="360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XI - formação e disponibilização de professores para o atendimento educacional especializado, de tradutores e intérpretes da Libras, de guias intérpretes e de profissionais de apoio;</w:t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>
          <w:sz w:val="22"/>
          <w:szCs w:val="22"/>
        </w:rPr>
      </w:r>
    </w:p>
    <w:p>
      <w:pPr>
        <w:pStyle w:val="Normal1"/>
        <w:ind w:hanging="0" w:left="360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XII – oferta de ensino da Libras, do Sistema Braille e de uso de recursos de tecnologia assistiva, de forma a ampliar habilidades funcionais dos estudantes, promovendo sua autonomia e participação. </w:t>
      </w:r>
      <w:r>
        <w:rPr>
          <w:rFonts w:eastAsia="Times New Roman" w:cs="Times New Roman" w:ascii="Times New Roman" w:hAnsi="Times New Roman"/>
          <w:sz w:val="22"/>
          <w:szCs w:val="22"/>
        </w:rPr>
        <w:t>(PLANALTO, 2015).</w:t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>
          <w:sz w:val="22"/>
          <w:szCs w:val="22"/>
        </w:rPr>
      </w:r>
    </w:p>
    <w:p>
      <w:pPr>
        <w:pStyle w:val="Normal1"/>
        <w:ind w:hanging="0" w:lef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É notório que a Lei é muito clara, quanto ao direito do surdo de ser alfabetizado de forma bilíngue, </w:t>
      </w:r>
      <w:r>
        <w:rPr>
          <w:rFonts w:eastAsia="Times New Roman" w:cs="Times New Roman" w:ascii="Times New Roman" w:hAnsi="Times New Roman"/>
          <w:sz w:val="24"/>
          <w:szCs w:val="24"/>
        </w:rPr>
        <w:t>para que possa fazer uso da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forma escrita, </w:t>
      </w:r>
      <w:r>
        <w:rPr>
          <w:rFonts w:eastAsia="Times New Roman" w:cs="Times New Roman" w:ascii="Times New Roman" w:hAnsi="Times New Roman"/>
          <w:sz w:val="24"/>
          <w:szCs w:val="24"/>
        </w:rPr>
        <w:t>por isso 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português </w:t>
      </w:r>
      <w:r>
        <w:rPr>
          <w:rFonts w:eastAsia="Times New Roman" w:cs="Times New Roman" w:ascii="Times New Roman" w:hAnsi="Times New Roman"/>
          <w:sz w:val="24"/>
          <w:szCs w:val="24"/>
        </w:rPr>
        <w:t>é uma imprescindível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ferramenta, </w:t>
      </w:r>
      <w:r>
        <w:rPr>
          <w:rFonts w:eastAsia="Times New Roman" w:cs="Times New Roman" w:ascii="Times New Roman" w:hAnsi="Times New Roman"/>
          <w:sz w:val="24"/>
          <w:szCs w:val="24"/>
        </w:rPr>
        <w:t>para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que o surdo po</w:t>
      </w:r>
      <w:r>
        <w:rPr>
          <w:rFonts w:eastAsia="Times New Roman" w:cs="Times New Roman" w:ascii="Times New Roman" w:hAnsi="Times New Roman"/>
          <w:sz w:val="24"/>
          <w:szCs w:val="24"/>
        </w:rPr>
        <w:t>ssa através do seu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conhecimento </w:t>
      </w:r>
      <w:r>
        <w:rPr>
          <w:rFonts w:eastAsia="Times New Roman" w:cs="Times New Roman" w:ascii="Times New Roman" w:hAnsi="Times New Roman"/>
          <w:sz w:val="24"/>
          <w:szCs w:val="24"/>
        </w:rPr>
        <w:t>ter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acesso </w:t>
      </w:r>
      <w:r>
        <w:rPr>
          <w:rFonts w:eastAsia="Times New Roman" w:cs="Times New Roman" w:ascii="Times New Roman" w:hAnsi="Times New Roman"/>
          <w:sz w:val="24"/>
          <w:szCs w:val="24"/>
        </w:rPr>
        <w:t>à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direitos já estabelecidos em lei, sendo assim 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ensino </w:t>
      </w:r>
      <w:r>
        <w:rPr>
          <w:rFonts w:eastAsia="Times New Roman" w:cs="Times New Roman" w:ascii="Times New Roman" w:hAnsi="Times New Roman"/>
          <w:sz w:val="24"/>
          <w:szCs w:val="24"/>
        </w:rPr>
        <w:t>do português como segunda língua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precisa ser integral, contextualizado, e realizado por profissionais competentes, que possuem formação em Libras. Essas aulas precisam acontecer dentro da escola, seja ela em turma especial ou regular.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 educação seria uma escada, </w:t>
      </w:r>
      <w:r>
        <w:rPr>
          <w:rFonts w:eastAsia="Times New Roman" w:cs="Times New Roman" w:ascii="Times New Roman" w:hAnsi="Times New Roman"/>
          <w:sz w:val="24"/>
          <w:szCs w:val="24"/>
        </w:rPr>
        <w:t>que possibilita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à ascensão social desse indivíduo, que por diversas vezes é impedido de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possuir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direitos básicos,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por conta da inexistência da cultura escrita. 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</w:r>
    </w:p>
    <w:p>
      <w:pPr>
        <w:pStyle w:val="Normal1"/>
        <w:ind w:hanging="0" w:left="0"/>
        <w:jc w:val="both"/>
        <w:rPr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onclusão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Por mais difícil que seja a inserção do surdo nos espaços de educação que lhe são garantidos por Lei, a educação é uma das principais ferramentas que possibilitam a diminuição do estigma e do preconceito vividos pelo surdo, dessa forma, as famílias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e o 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próprio surdo,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precisam de conscientizar e buscar possibilidades de inclusão que sejam qualitativas. Somente com esses avanços,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é possível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reduzir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os estereótipos vividos pelo “mudinho”, de forma a proporcionar – lo melhores condições de vida, de forma mais justa e digna, para que em um futuro próximo, esse termo caia em desuso, e não esteja mais no imaginário das pessoas, em relação ao surdo, para que não haja uma diminuição em suas qualidades pessoais.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ind w:hanging="0" w:left="0"/>
        <w:jc w:val="both"/>
        <w:rPr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Referências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b/>
          <w:bCs/>
          <w:sz w:val="24"/>
          <w:szCs w:val="24"/>
        </w:rPr>
      </w:r>
    </w:p>
    <w:p>
      <w:pPr>
        <w:pStyle w:val="Normal1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Goffman, E. (1986). Estigma – Notas sobre a Manipulação da Identidade Deteriorada. Rio de Janeiro: LTC Editora.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Lei n° 13.146, de 6 de julho de 2015. Diário Oficial da União, Brasília. Disponível em:</w:t>
      </w:r>
      <w:r>
        <w:rPr>
          <w:rFonts w:eastAsia="Times New Roman" w:cs="Times New Roman" w:ascii="Times New Roman" w:hAnsi="Times New Roman"/>
          <w:b w:val="false"/>
          <w:bCs w:val="false"/>
          <w:color w:val="1C1C1C"/>
          <w:sz w:val="24"/>
          <w:szCs w:val="24"/>
          <w:u w:val="none"/>
        </w:rPr>
        <w:t xml:space="preserve"> </w:t>
      </w:r>
      <w:hyperlink r:id="rId2"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strike w:val="false"/>
            <w:dstrike w:val="false"/>
            <w:color w:val="111111"/>
            <w:sz w:val="24"/>
            <w:szCs w:val="24"/>
            <w:u w:val="none"/>
          </w:rPr>
          <w:t>http://www.planalto.gov.br/ccivil_03/_ato2015-2018/2015/lei/l11892.htm</w:t>
        </w:r>
      </w:hyperlink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111111"/>
          <w:sz w:val="24"/>
          <w:szCs w:val="24"/>
          <w:u w:val="none"/>
        </w:rPr>
        <w:t>Acesso em 30/05/2024.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  <w:strike w:val="false"/>
          <w:dstrike w:val="false"/>
          <w:color w:val="111111"/>
          <w:u w:val="none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1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111111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111111"/>
          <w:sz w:val="24"/>
          <w:szCs w:val="24"/>
          <w:u w:val="none"/>
        </w:rPr>
        <w:t>assaki, R.K. (2009). Inclusão: Acessibilidade no lazer, trabalho e educação . São paulo: Cortez.</w:t>
      </w:r>
    </w:p>
    <w:p>
      <w:pPr>
        <w:pStyle w:val="Normal1"/>
        <w:ind w:hanging="0" w:left="3600"/>
        <w:jc w:val="both"/>
        <w:rPr>
          <w:strike w:val="false"/>
          <w:dstrike w:val="false"/>
          <w:color w:val="1C1C1C"/>
          <w:u w:val="none"/>
        </w:rPr>
      </w:pPr>
      <w:r>
        <w:rPr>
          <w:strike w:val="false"/>
          <w:dstrike w:val="false"/>
          <w:color w:val="1C1C1C"/>
          <w:u w:val="none"/>
        </w:rPr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ind w:hanging="0" w:left="360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pageBreakBefore w:val="false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1872" w:leader="none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5400040" cy="17716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left" w:pos="1872" w:leader="none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5400040" cy="1771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Ttulo2Char"/>
    <w:uiPriority w:val="9"/>
    <w:qFormat/>
    <w:rsid w:val="009b6b8c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616c"/>
    <w:rPr/>
  </w:style>
  <w:style w:type="character" w:styleId="RodapChar" w:customStyle="1">
    <w:name w:val="Rodapé Char"/>
    <w:basedOn w:val="DefaultParagraphFont"/>
    <w:uiPriority w:val="99"/>
    <w:qFormat/>
    <w:rsid w:val="00f7616c"/>
    <w:rPr/>
  </w:style>
  <w:style w:type="character" w:styleId="Ttulo2Char" w:customStyle="1">
    <w:name w:val="Título 2 Char"/>
    <w:basedOn w:val="DefaultParagraphFont"/>
    <w:uiPriority w:val="9"/>
    <w:qFormat/>
    <w:rsid w:val="009b6b8c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9b6b8c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9b6b8c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f761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unhideWhenUsed/>
    <w:rsid w:val="00f761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1"/>
    <w:uiPriority w:val="99"/>
    <w:semiHidden/>
    <w:unhideWhenUsed/>
    <w:qFormat/>
    <w:rsid w:val="009b6b8c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/>
    </w:rPr>
  </w:style>
  <w:style w:type="paragraph" w:styleId="ListParagraph">
    <w:name w:val="List Paragraph"/>
    <w:basedOn w:val="Normal1"/>
    <w:uiPriority w:val="34"/>
    <w:qFormat/>
    <w:rsid w:val="009b6b8c"/>
    <w:pPr>
      <w:spacing w:before="0" w:after="0"/>
      <w:ind w:left="720"/>
      <w:contextualSpacing/>
    </w:pPr>
    <w:rPr/>
  </w:style>
  <w:style w:type="paragraph" w:styleId="TtuloRefernciasAnpedSE" w:customStyle="1">
    <w:name w:val="Título Referências Anped SE"/>
    <w:basedOn w:val="Normal1"/>
    <w:next w:val="Normal1"/>
    <w:autoRedefine/>
    <w:qFormat/>
    <w:rsid w:val="00fe5832"/>
    <w:pPr>
      <w:spacing w:lineRule="auto" w:line="360" w:before="240" w:after="240"/>
      <w:jc w:val="both"/>
    </w:pPr>
    <w:rPr>
      <w:rFonts w:ascii="Times New Roman" w:hAnsi="Times New Roman" w:cs="Times New Roman"/>
      <w:kern w:val="0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_ato2015-2018/2015/lei/l11892.ht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5</Pages>
  <Words>1410</Words>
  <Characters>7533</Characters>
  <CharactersWithSpaces>8931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  <dc:description/>
  <dc:language>pt-BR</dc:language>
  <cp:lastModifiedBy/>
  <dcterms:modified xsi:type="dcterms:W3CDTF">2024-05-31T22:54:07Z</dcterms:modified>
  <cp:revision>1</cp:revision>
  <dc:subject/>
  <dc:title/>
</cp:coreProperties>
</file>