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-10949</wp:posOffset>
                </wp:positionH>
                <wp:positionV relativeFrom="page">
                  <wp:posOffset>-7783</wp:posOffset>
                </wp:positionV>
                <wp:extent cx="7581583" cy="2263566"/>
                <wp:effectExtent b="0" l="0" r="0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5"/>
                          <a:ext cx="7581583" cy="2263566"/>
                          <a:chOff x="0" y="25"/>
                          <a:chExt cx="10203300" cy="3053175"/>
                        </a:xfrm>
                      </wpg:grpSpPr>
                      <wpg:grpSp>
                        <wpg:cNvGrpSpPr/>
                        <wpg:grpSpPr>
                          <a:xfrm>
                            <a:off x="-10" y="45"/>
                            <a:ext cx="2646700" cy="3053150"/>
                            <a:chOff x="4022650" y="2253425"/>
                            <a:chExt cx="2646700" cy="30531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rect b="b" l="l" r="r" t="t"/>
                                  <a:pathLst>
                                    <a:path extrusionOk="0" h="3060065" w="264668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66250" y="197950"/>
                            <a:ext cx="1637050" cy="162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-10949</wp:posOffset>
                </wp:positionH>
                <wp:positionV relativeFrom="page">
                  <wp:posOffset>-7783</wp:posOffset>
                </wp:positionV>
                <wp:extent cx="7581583" cy="2263566"/>
                <wp:effectExtent b="0" l="0" r="0" t="0"/>
                <wp:wrapNone/>
                <wp:docPr id="3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583" cy="22635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8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17410" cy="250825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rect b="b" l="l" r="r" t="t"/>
                          <a:pathLst>
                            <a:path extrusionOk="0" h="222250" w="7188834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17410" cy="250825"/>
                <wp:effectExtent b="0" l="0" r="0" t="0"/>
                <wp:wrapNone/>
                <wp:docPr id="3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7410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" w:right="0" w:firstLine="14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" w:right="0" w:firstLine="0"/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Síntese de Tionas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N</w:t>
      </w:r>
      <w:r w:rsidDel="00000000" w:rsidR="00000000" w:rsidRPr="00000000">
        <w:rPr>
          <w:b w:val="1"/>
          <w:sz w:val="28"/>
          <w:szCs w:val="28"/>
          <w:rtl w:val="0"/>
        </w:rPr>
        <w:t xml:space="preserve">-heterocíclicas Dendriméricas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" w:right="0" w:firstLine="14"/>
        <w:jc w:val="lef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André L. D. Ferreira (G)*, Matheus D. dos P. Silva (PG), Victor H. dos Santos (PQ), Rute C. Figueiredo (PQ)*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80" w:lineRule="auto"/>
        <w:ind w:left="7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Universidade Federal de Ouro Preto, Departamento de Química/Instituto de Ciências Exatas e Biológicas, Ouro Preto, Minas Gerais, Brasil, 35402-136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80" w:lineRule="auto"/>
        <w:ind w:left="7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*e-mail: </w:t>
      </w:r>
      <w:r w:rsidDel="00000000" w:rsidR="00000000" w:rsidRPr="00000000">
        <w:rPr>
          <w:sz w:val="20"/>
          <w:szCs w:val="20"/>
          <w:rtl w:val="0"/>
        </w:rPr>
        <w:t xml:space="preserve">andre.damasceno@aluno.ufop.edu.br</w:t>
      </w:r>
      <w:r w:rsidDel="00000000" w:rsidR="00000000" w:rsidRPr="00000000">
        <w:rPr>
          <w:sz w:val="20"/>
          <w:szCs w:val="20"/>
          <w:rtl w:val="0"/>
        </w:rPr>
        <w:t xml:space="preserve">; rute@ufop.edu.br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7217410" cy="238356"/>
                <wp:effectExtent b="0" l="0" r="0" t="0"/>
                <wp:wrapTopAndBottom distB="0" distT="0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1.99999809265137"/>
                              <w:ind w:left="0" w:right="56.99999809265137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Síntese de tionas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N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-heterocíclicas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7217410" cy="238356"/>
                <wp:effectExtent b="0" l="0" r="0" t="0"/>
                <wp:wrapTopAndBottom distB="0" distT="0"/>
                <wp:docPr id="3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7410" cy="238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40" w:lineRule="auto"/>
        <w:ind w:left="14" w:righ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Durante a respiração celular Espécies Reativas de Oxigênio (ERO) e Espécies Reativas de Nitrogênio (ERN) são produzidas, essas espécies podem causar danos à proteínas, lipídios, ao DNA, entre outros. A produção exacerbada dessas espécies podem ocasionar o estresse oxidativo. Proteções conhecidas do organismo contra as ERO e ERN incluem enzimas e micromoléculas, que podem se originar do próprio organismo ou da alimentação. Dentre os compostos com atividade antioxidante, destacam-se os que contém o átomo de enxofre em sua composição. Neste trabalho, foram sintetizadas tionas de estruturas diversas para avaliação frente ao estresse oxidativo.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Rule="auto"/>
        <w:ind w:left="14" w:right="0" w:firstLine="0"/>
        <w:jc w:val="left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-101599</wp:posOffset>
                </wp:positionV>
                <wp:extent cx="1270" cy="1270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rect b="b" l="l" r="r" t="t"/>
                          <a:pathLst>
                            <a:path extrusionOk="0" h="120000"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-101599</wp:posOffset>
                </wp:positionV>
                <wp:extent cx="1270" cy="12700"/>
                <wp:effectExtent b="0" l="0" r="0" t="0"/>
                <wp:wrapNone/>
                <wp:docPr id="3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spacing w:before="0" w:lineRule="auto"/>
        <w:ind w:left="14" w:right="0" w:firstLine="0"/>
        <w:jc w:val="left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Palavras-chave: tionas, antioxidantes, dendrímeros</w:t>
      </w:r>
    </w:p>
    <w:p w:rsidR="00000000" w:rsidDel="00000000" w:rsidP="00000000" w:rsidRDefault="00000000" w:rsidRPr="00000000" w14:paraId="0000000F">
      <w:pPr>
        <w:spacing w:before="0" w:lineRule="auto"/>
        <w:ind w:left="14" w:right="0" w:firstLine="0"/>
        <w:jc w:val="left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_________________________________________________________________________________________________________________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headerReference r:id="rId10" w:type="default"/>
          <w:pgSz w:h="16850" w:w="11910" w:orient="portrait"/>
          <w:pgMar w:bottom="0" w:top="0" w:left="283" w:right="283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rect b="b" l="l" r="r" t="t"/>
                          <a:pathLst>
                            <a:path extrusionOk="0" h="120000"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3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4" w:right="0" w:firstLine="14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4914583</wp:posOffset>
                </wp:positionH>
                <wp:positionV relativeFrom="page">
                  <wp:posOffset>7634921</wp:posOffset>
                </wp:positionV>
                <wp:extent cx="2662555" cy="307594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rect b="b" l="l" r="r" t="t"/>
                          <a:pathLst>
                            <a:path extrusionOk="0" h="3047365" w="263398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4914583</wp:posOffset>
                </wp:positionH>
                <wp:positionV relativeFrom="page">
                  <wp:posOffset>7634921</wp:posOffset>
                </wp:positionV>
                <wp:extent cx="2662555" cy="3075940"/>
                <wp:effectExtent b="0" l="0" r="0" t="0"/>
                <wp:wrapNone/>
                <wp:docPr id="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2555" cy="3075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6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Durante a respiração celular são geradas Espécies Reativas de Oxigênio (ERO) e Espécies Reativas de Nitrogênio (ERN). Essas espécies possuem no mínimo um elétron desemparelhado, o que lhes confere uma alta reatividade </w:t>
      </w:r>
      <w:r w:rsidDel="00000000" w:rsidR="00000000" w:rsidRPr="00000000">
        <w:rPr>
          <w:sz w:val="20"/>
          <w:szCs w:val="20"/>
          <w:rtl w:val="0"/>
        </w:rPr>
        <w:t xml:space="preserve">(1).</w:t>
      </w:r>
      <w:r w:rsidDel="00000000" w:rsidR="00000000" w:rsidRPr="00000000">
        <w:rPr>
          <w:sz w:val="20"/>
          <w:szCs w:val="20"/>
          <w:rtl w:val="0"/>
        </w:rPr>
        <w:t xml:space="preserve"> Os efeitos benéficos das ERO envolvem, por exemplo, a defesa contra agentes infecciosos, a função de diversos sistemas de sinalização celular e a indução de uma resposta mitogênica (</w:t>
      </w:r>
      <w:r w:rsidDel="00000000" w:rsidR="00000000" w:rsidRPr="00000000">
        <w:rPr>
          <w:sz w:val="20"/>
          <w:szCs w:val="20"/>
          <w:rtl w:val="0"/>
        </w:rPr>
        <w:t xml:space="preserve">2).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No entanto, seu excesso apresenta efeitos prejudiciais, tais como a peroxidação dos lipídios de membrana, agressão às proteínas dos tecidos e das membranas, às enzimas, carboidratos e DNA (3).</w:t>
      </w:r>
    </w:p>
    <w:p w:rsidR="00000000" w:rsidDel="00000000" w:rsidP="00000000" w:rsidRDefault="00000000" w:rsidRPr="00000000" w14:paraId="00000013">
      <w:pPr>
        <w:spacing w:after="0" w:before="6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Os danos oxidativos acumulam-se durante o ciclo de vida e os danos relacionados com os radicais no DNA, nas proteínas e nos lípidos possuem um papel fundamental no desenvolvimento de doenças como câncer, arteriosclerose, artrite, doenças neurodegenerativas (2).</w:t>
      </w:r>
    </w:p>
    <w:p w:rsidR="00000000" w:rsidDel="00000000" w:rsidP="00000000" w:rsidRDefault="00000000" w:rsidRPr="00000000" w14:paraId="00000014">
      <w:pPr>
        <w:spacing w:after="0" w:before="6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 proteções conhecidas do organismo contra as ERO e ERN abrangem a proteção enzimática ou por micromoléculas, que podem ter origem no próprio organismo ou são adquiridas pela dieta (3,4).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Os antioxidantes, incluindo </w:t>
      </w:r>
      <w:r w:rsidDel="00000000" w:rsidR="00000000" w:rsidRPr="00000000">
        <w:rPr>
          <w:sz w:val="20"/>
          <w:szCs w:val="20"/>
          <w:rtl w:val="0"/>
        </w:rPr>
        <w:t xml:space="preserve">polifenóis</w:t>
      </w:r>
      <w:r w:rsidDel="00000000" w:rsidR="00000000" w:rsidRPr="00000000">
        <w:rPr>
          <w:sz w:val="20"/>
          <w:szCs w:val="20"/>
          <w:rtl w:val="0"/>
        </w:rPr>
        <w:t xml:space="preserve">, compostos contendo enxofre e selênio, antioxidantes enzimáticos como a superóxido dismutase (SOD) e a glutationa peroxidase (GPx) e micronutrientes como as vitaminas C e E, têm sido extensivamente investigados (4).</w:t>
      </w:r>
    </w:p>
    <w:p w:rsidR="00000000" w:rsidDel="00000000" w:rsidP="00000000" w:rsidRDefault="00000000" w:rsidRPr="00000000" w14:paraId="00000015">
      <w:pPr>
        <w:spacing w:after="0" w:before="6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enxofre está presente em compostos biológicos como a cisteína, </w:t>
      </w:r>
      <w:r w:rsidDel="00000000" w:rsidR="00000000" w:rsidRPr="00000000">
        <w:rPr>
          <w:sz w:val="20"/>
          <w:szCs w:val="20"/>
          <w:rtl w:val="0"/>
        </w:rPr>
        <w:t xml:space="preserve">a metionina</w:t>
      </w:r>
      <w:r w:rsidDel="00000000" w:rsidR="00000000" w:rsidRPr="00000000">
        <w:rPr>
          <w:sz w:val="20"/>
          <w:szCs w:val="20"/>
          <w:rtl w:val="0"/>
        </w:rPr>
        <w:t xml:space="preserve">, a taurina, a glutationa e a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-acetilcisteína. Estudos estabeleceram os efeitos antioxidantes e protetores de vários compostos contendo enxofre (4).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Entre estes compostos estão as tionas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-heterocíclicas (NHS). Essas se caracterizam por possuírem, em sua  estrutura, um átomo de enxofre ligado duplamente a um átomo de carbono.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" w:right="0" w:firstLine="14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Experimental</w:t>
      </w:r>
    </w:p>
    <w:p w:rsidR="00000000" w:rsidDel="00000000" w:rsidP="00000000" w:rsidRDefault="00000000" w:rsidRPr="00000000" w14:paraId="00000017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 sínteses das tionas </w:t>
      </w:r>
      <w:r w:rsidDel="00000000" w:rsidR="00000000" w:rsidRPr="00000000">
        <w:rPr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b w:val="1"/>
          <w:sz w:val="20"/>
          <w:szCs w:val="20"/>
          <w:rtl w:val="0"/>
        </w:rPr>
        <w:t xml:space="preserve">7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b w:val="1"/>
          <w:sz w:val="20"/>
          <w:szCs w:val="20"/>
          <w:rtl w:val="0"/>
        </w:rPr>
        <w:t xml:space="preserve">9</w:t>
      </w:r>
      <w:r w:rsidDel="00000000" w:rsidR="00000000" w:rsidRPr="00000000">
        <w:rPr>
          <w:sz w:val="20"/>
          <w:szCs w:val="20"/>
          <w:rtl w:val="0"/>
        </w:rPr>
        <w:t xml:space="preserve"> e </w:t>
      </w:r>
      <w:r w:rsidDel="00000000" w:rsidR="00000000" w:rsidRPr="00000000">
        <w:rPr>
          <w:b w:val="1"/>
          <w:sz w:val="20"/>
          <w:szCs w:val="20"/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 foram planejadas a partir do </w:t>
      </w:r>
      <w:r w:rsidDel="00000000" w:rsidR="00000000" w:rsidRPr="00000000">
        <w:rPr>
          <w:sz w:val="20"/>
          <w:szCs w:val="2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-10949</wp:posOffset>
                </wp:positionH>
                <wp:positionV relativeFrom="page">
                  <wp:posOffset>10775694</wp:posOffset>
                </wp:positionV>
                <wp:extent cx="7581583" cy="2263566"/>
                <wp:effectExtent b="0" l="0" r="0" t="0"/>
                <wp:wrapNone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5"/>
                          <a:ext cx="7581583" cy="2263566"/>
                          <a:chOff x="0" y="25"/>
                          <a:chExt cx="10203300" cy="3053175"/>
                        </a:xfrm>
                      </wpg:grpSpPr>
                      <wpg:grpSp>
                        <wpg:cNvGrpSpPr/>
                        <wpg:grpSpPr>
                          <a:xfrm>
                            <a:off x="-10" y="45"/>
                            <a:ext cx="2646700" cy="3053150"/>
                            <a:chOff x="4022650" y="2253425"/>
                            <a:chExt cx="2646700" cy="30531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rect b="b" l="l" r="r" t="t"/>
                                  <a:pathLst>
                                    <a:path extrusionOk="0" h="3060065" w="264668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66250" y="197950"/>
                            <a:ext cx="1637050" cy="162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-10949</wp:posOffset>
                </wp:positionH>
                <wp:positionV relativeFrom="page">
                  <wp:posOffset>10775694</wp:posOffset>
                </wp:positionV>
                <wp:extent cx="7581583" cy="2263566"/>
                <wp:effectExtent b="0" l="0" r="0" t="0"/>
                <wp:wrapNone/>
                <wp:docPr id="3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583" cy="22635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20"/>
          <w:szCs w:val="20"/>
          <w:rtl w:val="0"/>
        </w:rPr>
        <w:t xml:space="preserve">1-metilimidazol (Figura 1). </w:t>
      </w:r>
    </w:p>
    <w:p w:rsidR="00000000" w:rsidDel="00000000" w:rsidP="00000000" w:rsidRDefault="00000000" w:rsidRPr="00000000" w14:paraId="00000018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476625" cy="1447800"/>
            <wp:effectExtent b="0" l="0" r="0" t="0"/>
            <wp:docPr id="4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476625" cy="1066800"/>
            <wp:effectExtent b="0" l="0" r="0" t="0"/>
            <wp:docPr id="4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80" w:lineRule="auto"/>
        <w:ind w:left="14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Figura 1. </w:t>
      </w:r>
      <w:r w:rsidDel="00000000" w:rsidR="00000000" w:rsidRPr="00000000">
        <w:rPr>
          <w:sz w:val="20"/>
          <w:szCs w:val="20"/>
          <w:rtl w:val="0"/>
        </w:rPr>
        <w:t xml:space="preserve">Plano de síntese para obtenção das tionas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-heterocíclicas.</w:t>
      </w:r>
    </w:p>
    <w:p w:rsidR="00000000" w:rsidDel="00000000" w:rsidP="00000000" w:rsidRDefault="00000000" w:rsidRPr="00000000" w14:paraId="0000001B">
      <w:pPr>
        <w:spacing w:line="280" w:lineRule="auto"/>
        <w:ind w:left="14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Síntese da 1-(2-azidoetil)-3-metilimidazol-2-tiona (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4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1C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Por meio da reação entre o 1-metilimidazol (1,0 mL) e 1,2-dibromoetano (22 mL) em acetona a 85 °C, obteve-se o intermediário bromado (</w:t>
      </w:r>
      <w:r w:rsidDel="00000000" w:rsidR="00000000" w:rsidRPr="00000000">
        <w:rPr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) (97%). Ao reagir o intermediário </w:t>
      </w:r>
      <w:r w:rsidDel="00000000" w:rsidR="00000000" w:rsidRPr="00000000">
        <w:rPr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(1,0 g) com azida de sódio (2,4 g) a 60 °C, obteve-se o intermediário azido (</w:t>
      </w:r>
      <w:r w:rsidDel="00000000" w:rsidR="00000000" w:rsidRPr="00000000">
        <w:rPr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) (81%). O intermediário </w:t>
      </w:r>
      <w:r w:rsidDel="00000000" w:rsidR="00000000" w:rsidRPr="00000000">
        <w:rPr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 (0,31 g), ao reagir com enxofre molecular (0,21 g) na presença de carbonato de potássio (0,68 g) a 75 °C, levou à obtenção da tiona </w:t>
      </w:r>
      <w:r w:rsidDel="00000000" w:rsidR="00000000" w:rsidRPr="00000000">
        <w:rPr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 (71%).</w:t>
      </w:r>
    </w:p>
    <w:p w:rsidR="00000000" w:rsidDel="00000000" w:rsidP="00000000" w:rsidRDefault="00000000" w:rsidRPr="00000000" w14:paraId="0000001D">
      <w:pPr>
        <w:spacing w:before="60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Síntese da 1-metil-3-(2-(4-fenil-1H-1,2,3-triazol-1-il)etil)-imidazol-2-tiona (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5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1E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a obtenção da tiona fenílica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sz w:val="20"/>
          <w:szCs w:val="20"/>
          <w:rtl w:val="0"/>
        </w:rPr>
        <w:t xml:space="preserve">), partiu-se da tiona azido </w:t>
      </w:r>
      <w:r w:rsidDel="00000000" w:rsidR="00000000" w:rsidRPr="00000000">
        <w:rPr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 (0,12 g) e do fenilacetileno (0,11 mL) em condições de </w:t>
      </w:r>
      <w:r w:rsidDel="00000000" w:rsidR="00000000" w:rsidRPr="00000000">
        <w:rPr>
          <w:i w:val="1"/>
          <w:sz w:val="20"/>
          <w:szCs w:val="20"/>
          <w:rtl w:val="0"/>
        </w:rPr>
        <w:t xml:space="preserve">click chemistry</w:t>
      </w:r>
      <w:r w:rsidDel="00000000" w:rsidR="00000000" w:rsidRPr="00000000">
        <w:rPr>
          <w:sz w:val="20"/>
          <w:szCs w:val="20"/>
          <w:rtl w:val="0"/>
        </w:rPr>
        <w:t xml:space="preserve">, obtendo-se o produto fenílico (</w:t>
      </w:r>
      <w:r w:rsidDel="00000000" w:rsidR="00000000" w:rsidRPr="00000000">
        <w:rPr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sz w:val="20"/>
          <w:szCs w:val="20"/>
          <w:rtl w:val="0"/>
        </w:rPr>
        <w:t xml:space="preserve">) (88%). </w:t>
      </w:r>
    </w:p>
    <w:p w:rsidR="00000000" w:rsidDel="00000000" w:rsidP="00000000" w:rsidRDefault="00000000" w:rsidRPr="00000000" w14:paraId="0000001F">
      <w:pPr>
        <w:spacing w:before="60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Síntese da 3,3'-(etano-1,2-diil)-bis-(1-metilimidazol-2-tiona) (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7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20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a obtenção da tiona dimérica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7</w:t>
      </w:r>
      <w:r w:rsidDel="00000000" w:rsidR="00000000" w:rsidRPr="00000000">
        <w:rPr>
          <w:sz w:val="20"/>
          <w:szCs w:val="20"/>
          <w:rtl w:val="0"/>
        </w:rPr>
        <w:t xml:space="preserve">), partiu-se do 1,2-dibromoetano (5,0 mL) e do 1-metilimidazol (12 mL) em acetona a 85 °C, obtendo-se o intermediário dimérico (</w:t>
      </w:r>
      <w:r w:rsidDel="00000000" w:rsidR="00000000" w:rsidRPr="00000000">
        <w:rPr>
          <w:b w:val="1"/>
          <w:sz w:val="20"/>
          <w:szCs w:val="20"/>
          <w:rtl w:val="0"/>
        </w:rPr>
        <w:t xml:space="preserve">6</w:t>
      </w:r>
      <w:r w:rsidDel="00000000" w:rsidR="00000000" w:rsidRPr="00000000">
        <w:rPr>
          <w:sz w:val="20"/>
          <w:szCs w:val="20"/>
          <w:rtl w:val="0"/>
        </w:rPr>
        <w:t xml:space="preserve">) (85%). Ao reagir o intermediário </w:t>
      </w:r>
      <w:r w:rsidDel="00000000" w:rsidR="00000000" w:rsidRPr="00000000">
        <w:rPr>
          <w:b w:val="1"/>
          <w:sz w:val="20"/>
          <w:szCs w:val="20"/>
          <w:rtl w:val="0"/>
        </w:rPr>
        <w:t xml:space="preserve">6</w:t>
      </w:r>
      <w:r w:rsidDel="00000000" w:rsidR="00000000" w:rsidRPr="00000000">
        <w:rPr>
          <w:sz w:val="20"/>
          <w:szCs w:val="20"/>
          <w:rtl w:val="0"/>
        </w:rPr>
        <w:t xml:space="preserve"> (2,0 g) com enxofre molecular (0,54 g) na presença de carbonato de sódio (2,3 g) a 75 °C, levou à formação do </w:t>
      </w:r>
      <w:r w:rsidDel="00000000" w:rsidR="00000000" w:rsidRPr="00000000">
        <w:rPr>
          <w:sz w:val="20"/>
          <w:szCs w:val="2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-10949</wp:posOffset>
                </wp:positionH>
                <wp:positionV relativeFrom="page">
                  <wp:posOffset>21969</wp:posOffset>
                </wp:positionV>
                <wp:extent cx="7581900" cy="2260529"/>
                <wp:effectExtent b="0" l="0" r="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5"/>
                          <a:ext cx="7581900" cy="2260529"/>
                          <a:chOff x="0" y="25"/>
                          <a:chExt cx="10279500" cy="3053175"/>
                        </a:xfrm>
                      </wpg:grpSpPr>
                      <wpg:grpSp>
                        <wpg:cNvGrpSpPr/>
                        <wpg:grpSpPr>
                          <a:xfrm>
                            <a:off x="-10" y="45"/>
                            <a:ext cx="2646700" cy="3053150"/>
                            <a:chOff x="4022650" y="2253425"/>
                            <a:chExt cx="2646700" cy="30531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rect b="b" l="l" r="r" t="t"/>
                                  <a:pathLst>
                                    <a:path extrusionOk="0" h="3060065" w="264668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-73724" l="0" r="-82215" t="-8491"/>
                                <a:stretch/>
                              </pic:blipFill>
                              <pic:spPr>
                                <a:xfrm>
                                  <a:off x="109599" y="51133"/>
                                  <a:ext cx="1628775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2675" y="121750"/>
                            <a:ext cx="826825" cy="82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-10949</wp:posOffset>
                </wp:positionH>
                <wp:positionV relativeFrom="page">
                  <wp:posOffset>21969</wp:posOffset>
                </wp:positionV>
                <wp:extent cx="7581900" cy="2260529"/>
                <wp:effectExtent b="0" l="0" r="0" t="0"/>
                <wp:wrapNone/>
                <wp:docPr id="3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22605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20"/>
          <w:szCs w:val="20"/>
          <w:rtl w:val="0"/>
        </w:rPr>
        <w:t xml:space="preserve">produto dimérico (</w:t>
      </w:r>
      <w:r w:rsidDel="00000000" w:rsidR="00000000" w:rsidRPr="00000000">
        <w:rPr>
          <w:b w:val="1"/>
          <w:sz w:val="20"/>
          <w:szCs w:val="20"/>
          <w:rtl w:val="0"/>
        </w:rPr>
        <w:t xml:space="preserve">7</w:t>
      </w:r>
      <w:r w:rsidDel="00000000" w:rsidR="00000000" w:rsidRPr="00000000">
        <w:rPr>
          <w:sz w:val="20"/>
          <w:szCs w:val="20"/>
          <w:rtl w:val="0"/>
        </w:rPr>
        <w:t xml:space="preserve">) (57%). </w:t>
      </w:r>
    </w:p>
    <w:p w:rsidR="00000000" w:rsidDel="00000000" w:rsidP="00000000" w:rsidRDefault="00000000" w:rsidRPr="00000000" w14:paraId="00000021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Síntese da 1-benzil-3-metilimidazol-2-tiona (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9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intermediário benzílico (</w:t>
      </w:r>
      <w:r w:rsidDel="00000000" w:rsidR="00000000" w:rsidRPr="00000000">
        <w:rPr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sz w:val="20"/>
          <w:szCs w:val="20"/>
          <w:rtl w:val="0"/>
        </w:rPr>
        <w:t xml:space="preserve">) (94%) foi obtido a partir da reação do 1-metilimidazol (2,0 mL) com brometo de benzila (4,0 mL) em acetona a 85 °C. Ao reagir o intermediário </w:t>
      </w:r>
      <w:r w:rsidDel="00000000" w:rsidR="00000000" w:rsidRPr="00000000">
        <w:rPr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sz w:val="20"/>
          <w:szCs w:val="20"/>
          <w:rtl w:val="0"/>
        </w:rPr>
        <w:t xml:space="preserve"> (1,0 g) com enxofre molecular (0,64 g) na presença de carbonato de potássio (2,0 g), levou à obtenção da tiona benzílica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9</w:t>
      </w:r>
      <w:r w:rsidDel="00000000" w:rsidR="00000000" w:rsidRPr="00000000">
        <w:rPr>
          <w:sz w:val="20"/>
          <w:szCs w:val="20"/>
          <w:rtl w:val="0"/>
        </w:rPr>
        <w:t xml:space="preserve">) (63%). </w:t>
      </w:r>
    </w:p>
    <w:p w:rsidR="00000000" w:rsidDel="00000000" w:rsidP="00000000" w:rsidRDefault="00000000" w:rsidRPr="00000000" w14:paraId="00000023">
      <w:pPr>
        <w:spacing w:before="60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Síntese da tiona tetramérica (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12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24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a obtenção da tiona tetramérica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), partiu-se da reação entre o pentaeritritol (</w:t>
      </w:r>
      <w:r w:rsidDel="00000000" w:rsidR="00000000" w:rsidRPr="00000000">
        <w:rPr>
          <w:b w:val="1"/>
          <w:sz w:val="20"/>
          <w:szCs w:val="20"/>
          <w:rtl w:val="0"/>
        </w:rPr>
        <w:t xml:space="preserve">10</w:t>
      </w:r>
      <w:r w:rsidDel="00000000" w:rsidR="00000000" w:rsidRPr="00000000">
        <w:rPr>
          <w:sz w:val="20"/>
          <w:szCs w:val="20"/>
          <w:rtl w:val="0"/>
        </w:rPr>
        <w:t xml:space="preserve">) (1,0 g) e o brometo de propargila (5,0 mL) na presença de hidreto de sódio (1,8 g) à 25°C, obtendo-se o núcleo tetralquino (</w:t>
      </w:r>
      <w:r w:rsidDel="00000000" w:rsidR="00000000" w:rsidRPr="00000000">
        <w:rPr>
          <w:b w:val="1"/>
          <w:sz w:val="20"/>
          <w:szCs w:val="20"/>
          <w:rtl w:val="0"/>
        </w:rPr>
        <w:t xml:space="preserve">11)</w:t>
      </w:r>
      <w:r w:rsidDel="00000000" w:rsidR="00000000" w:rsidRPr="00000000">
        <w:rPr>
          <w:sz w:val="20"/>
          <w:szCs w:val="20"/>
          <w:rtl w:val="0"/>
        </w:rPr>
        <w:t xml:space="preserve"> (48%). O núcleo tetralquino </w:t>
      </w:r>
      <w:r w:rsidDel="00000000" w:rsidR="00000000" w:rsidRPr="00000000">
        <w:rPr>
          <w:b w:val="1"/>
          <w:sz w:val="20"/>
          <w:szCs w:val="20"/>
          <w:rtl w:val="0"/>
        </w:rPr>
        <w:t xml:space="preserve">11</w:t>
      </w:r>
      <w:r w:rsidDel="00000000" w:rsidR="00000000" w:rsidRPr="00000000">
        <w:rPr>
          <w:sz w:val="20"/>
          <w:szCs w:val="20"/>
          <w:rtl w:val="0"/>
        </w:rPr>
        <w:t xml:space="preserve"> (0,050 g), ao reagir com a tiona azido (</w:t>
      </w:r>
      <w:r w:rsidDel="00000000" w:rsidR="00000000" w:rsidRPr="00000000">
        <w:rPr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) (0,16 g) em condições de </w:t>
      </w:r>
      <w:r w:rsidDel="00000000" w:rsidR="00000000" w:rsidRPr="00000000">
        <w:rPr>
          <w:i w:val="1"/>
          <w:sz w:val="20"/>
          <w:szCs w:val="20"/>
          <w:rtl w:val="0"/>
        </w:rPr>
        <w:t xml:space="preserve">click chemistry</w:t>
      </w:r>
      <w:r w:rsidDel="00000000" w:rsidR="00000000" w:rsidRPr="00000000">
        <w:rPr>
          <w:sz w:val="20"/>
          <w:szCs w:val="20"/>
          <w:rtl w:val="0"/>
        </w:rPr>
        <w:t xml:space="preserve">, levou à formação do produto tetramérico (</w:t>
      </w:r>
      <w:r w:rsidDel="00000000" w:rsidR="00000000" w:rsidRPr="00000000">
        <w:rPr>
          <w:b w:val="1"/>
          <w:sz w:val="20"/>
          <w:szCs w:val="20"/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) (98%).     </w:t>
      </w:r>
    </w:p>
    <w:p w:rsidR="00000000" w:rsidDel="00000000" w:rsidP="00000000" w:rsidRDefault="00000000" w:rsidRPr="00000000" w14:paraId="00000025">
      <w:pPr>
        <w:spacing w:before="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Resultados e 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" w:line="240" w:lineRule="auto"/>
        <w:ind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As estruturas dos compostos obtidos foram determinadas por meio das técnicas de Espectroscopia de Absorção na Região do Infravermelho com Transformada de Fourier (FTIR) e de  Espectroscopia de Ressonância Magnética Nuclear (RMN)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 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13</w:t>
      </w:r>
      <w:r w:rsidDel="00000000" w:rsidR="00000000" w:rsidRPr="00000000">
        <w:rPr>
          <w:sz w:val="20"/>
          <w:szCs w:val="20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Os dados de RMN foram agrupados </w:t>
      </w:r>
      <w:r w:rsidDel="00000000" w:rsidR="00000000" w:rsidRPr="00000000">
        <w:rPr>
          <w:sz w:val="20"/>
          <w:szCs w:val="20"/>
          <w:rtl w:val="0"/>
        </w:rPr>
        <w:t xml:space="preserve">nas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tabelas 1 e 2 para melhor apreciação.</w:t>
      </w:r>
    </w:p>
    <w:p w:rsidR="00000000" w:rsidDel="00000000" w:rsidP="00000000" w:rsidRDefault="00000000" w:rsidRPr="00000000" w14:paraId="00000027">
      <w:pPr>
        <w:spacing w:before="60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Síntese da tiona tetramérica (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12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28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síntese da tiona tetramérica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) parte da reação entre o núcleo tetralquino (</w:t>
      </w:r>
      <w:r w:rsidDel="00000000" w:rsidR="00000000" w:rsidRPr="00000000">
        <w:rPr>
          <w:b w:val="1"/>
          <w:sz w:val="20"/>
          <w:szCs w:val="20"/>
          <w:rtl w:val="0"/>
        </w:rPr>
        <w:t xml:space="preserve">11</w:t>
      </w:r>
      <w:r w:rsidDel="00000000" w:rsidR="00000000" w:rsidRPr="00000000">
        <w:rPr>
          <w:sz w:val="20"/>
          <w:szCs w:val="20"/>
          <w:rtl w:val="0"/>
        </w:rPr>
        <w:t xml:space="preserve">) com a tiona azido (</w:t>
      </w:r>
      <w:r w:rsidDel="00000000" w:rsidR="00000000" w:rsidRPr="00000000">
        <w:rPr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) e segue um mecanismo de cicloadição catalizada por cobre. A reação foi acompanhada por Cromatografia em Camada Delgada (CCD) e, após 3 horas e 30 minutos, foi detectado seu término.</w:t>
      </w:r>
    </w:p>
    <w:p w:rsidR="00000000" w:rsidDel="00000000" w:rsidP="00000000" w:rsidRDefault="00000000" w:rsidRPr="00000000" w14:paraId="00000029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" w:line="240" w:lineRule="auto"/>
        <w:ind w:righ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remover o cobre da solução foi adicionada resina Quadrasil MP, e mantida agitação mecânica por 30 minutos. O produto foi, então, filtrado em coluna preenchida com algodão. Para sua purificação foi realizada uma coluna filtrante de sílica utilizando-se como eluente acetato de etila (100%), uma mistura de acetato de etila:metanol (1:1) e, em seguida, metanol (100%).</w:t>
      </w:r>
    </w:p>
    <w:p w:rsidR="00000000" w:rsidDel="00000000" w:rsidP="00000000" w:rsidRDefault="00000000" w:rsidRPr="00000000" w14:paraId="0000002A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" w:line="240" w:lineRule="auto"/>
        <w:ind w:righ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produto foi obtido com 98% de rendimento na forma de um óleo amarelo ouro e foi caracterizado por RMN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 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13</w:t>
      </w:r>
      <w:r w:rsidDel="00000000" w:rsidR="00000000" w:rsidRPr="00000000">
        <w:rPr>
          <w:sz w:val="20"/>
          <w:szCs w:val="20"/>
          <w:rtl w:val="0"/>
        </w:rPr>
        <w:t xml:space="preserve">C.</w:t>
      </w:r>
    </w:p>
    <w:p w:rsidR="00000000" w:rsidDel="00000000" w:rsidP="00000000" w:rsidRDefault="00000000" w:rsidRPr="00000000" w14:paraId="0000002B">
      <w:pPr>
        <w:spacing w:before="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444558" cy="2322810"/>
            <wp:effectExtent b="0" l="0" r="0" t="0"/>
            <wp:docPr id="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166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558" cy="2322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80" w:lineRule="auto"/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Figura 2. </w:t>
      </w:r>
      <w:r w:rsidDel="00000000" w:rsidR="00000000" w:rsidRPr="00000000">
        <w:rPr>
          <w:sz w:val="20"/>
          <w:szCs w:val="20"/>
          <w:rtl w:val="0"/>
        </w:rPr>
        <w:t xml:space="preserve">Espectro de RMN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 </w:t>
      </w:r>
      <w:r w:rsidDel="00000000" w:rsidR="00000000" w:rsidRPr="00000000">
        <w:rPr>
          <w:sz w:val="20"/>
          <w:szCs w:val="20"/>
          <w:rtl w:val="0"/>
        </w:rPr>
        <w:t xml:space="preserve">da tiona tetramérica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) (CDCl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, 400 MHz)</w:t>
      </w:r>
      <w:r w:rsidDel="00000000" w:rsidR="00000000" w:rsidRPr="00000000">
        <w:rPr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2D">
      <w:pPr>
        <w:spacing w:line="280" w:lineRule="auto"/>
        <w:ind w:left="14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445200" cy="2368122"/>
            <wp:effectExtent b="0" l="0" r="0" t="0"/>
            <wp:docPr id="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180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2368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80" w:lineRule="auto"/>
        <w:ind w:left="14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Figura 2. </w:t>
      </w:r>
      <w:r w:rsidDel="00000000" w:rsidR="00000000" w:rsidRPr="00000000">
        <w:rPr>
          <w:sz w:val="20"/>
          <w:szCs w:val="20"/>
          <w:rtl w:val="0"/>
        </w:rPr>
        <w:t xml:space="preserve">Espectro de RMN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13</w:t>
      </w:r>
      <w:r w:rsidDel="00000000" w:rsidR="00000000" w:rsidRPr="00000000">
        <w:rPr>
          <w:sz w:val="20"/>
          <w:szCs w:val="20"/>
          <w:rtl w:val="0"/>
        </w:rPr>
        <w:t xml:space="preserve">C</w:t>
      </w:r>
      <w:r w:rsidDel="00000000" w:rsidR="00000000" w:rsidRPr="00000000">
        <w:rPr>
          <w:sz w:val="20"/>
          <w:szCs w:val="20"/>
          <w:rtl w:val="0"/>
        </w:rPr>
        <w:t xml:space="preserve"> sobreposto ao subespectro DEPT-135 da tiona tetramérica (</w:t>
      </w:r>
      <w:r w:rsidDel="00000000" w:rsidR="00000000" w:rsidRPr="00000000">
        <w:rPr>
          <w:b w:val="1"/>
          <w:sz w:val="20"/>
          <w:szCs w:val="20"/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) (CDCl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, 100 MHz). </w:t>
      </w:r>
    </w:p>
    <w:p w:rsidR="00000000" w:rsidDel="00000000" w:rsidP="00000000" w:rsidRDefault="00000000" w:rsidRPr="00000000" w14:paraId="0000002F">
      <w:pPr>
        <w:spacing w:line="280" w:lineRule="auto"/>
        <w:ind w:left="14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476625" cy="939800"/>
            <wp:effectExtent b="0" l="0" r="0" t="0"/>
            <wp:docPr id="4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80" w:lineRule="auto"/>
        <w:ind w:left="14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Tabela 1. </w:t>
      </w:r>
      <w:r w:rsidDel="00000000" w:rsidR="00000000" w:rsidRPr="00000000">
        <w:rPr>
          <w:sz w:val="20"/>
          <w:szCs w:val="20"/>
          <w:rtl w:val="0"/>
        </w:rPr>
        <w:t xml:space="preserve">Dados</w:t>
      </w:r>
      <w:r w:rsidDel="00000000" w:rsidR="00000000" w:rsidRPr="00000000">
        <w:rPr>
          <w:sz w:val="20"/>
          <w:szCs w:val="20"/>
          <w:rtl w:val="0"/>
        </w:rPr>
        <w:t xml:space="preserve"> de RMN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</w:t>
      </w:r>
      <w:r w:rsidDel="00000000" w:rsidR="00000000" w:rsidRPr="00000000">
        <w:rPr>
          <w:sz w:val="20"/>
          <w:szCs w:val="20"/>
          <w:rtl w:val="0"/>
        </w:rPr>
        <w:t xml:space="preserve"> dos compostos sintetizados. </w:t>
      </w:r>
    </w:p>
    <w:p w:rsidR="00000000" w:rsidDel="00000000" w:rsidP="00000000" w:rsidRDefault="00000000" w:rsidRPr="00000000" w14:paraId="00000031">
      <w:pPr>
        <w:spacing w:line="280" w:lineRule="auto"/>
        <w:ind w:left="14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3476625" cy="787400"/>
            <wp:effectExtent b="0" l="0" r="0" t="0"/>
            <wp:docPr id="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80" w:lineRule="auto"/>
        <w:ind w:left="14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Tabela 2. </w:t>
      </w:r>
      <w:r w:rsidDel="00000000" w:rsidR="00000000" w:rsidRPr="00000000">
        <w:rPr>
          <w:sz w:val="20"/>
          <w:szCs w:val="20"/>
          <w:rtl w:val="0"/>
        </w:rPr>
        <w:t xml:space="preserve">Dados de RMN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13</w:t>
      </w:r>
      <w:r w:rsidDel="00000000" w:rsidR="00000000" w:rsidRPr="00000000">
        <w:rPr>
          <w:sz w:val="20"/>
          <w:szCs w:val="20"/>
          <w:rtl w:val="0"/>
        </w:rPr>
        <w:t xml:space="preserve">C</w:t>
      </w:r>
      <w:r w:rsidDel="00000000" w:rsidR="00000000" w:rsidRPr="00000000">
        <w:rPr>
          <w:sz w:val="20"/>
          <w:szCs w:val="20"/>
          <w:rtl w:val="0"/>
        </w:rPr>
        <w:t xml:space="preserve"> dos compostos sintetizados.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0" w:lineRule="auto"/>
        <w:ind w:left="14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Conclusões</w:t>
      </w:r>
    </w:p>
    <w:p w:rsidR="00000000" w:rsidDel="00000000" w:rsidP="00000000" w:rsidRDefault="00000000" w:rsidRPr="00000000" w14:paraId="00000034">
      <w:pPr>
        <w:spacing w:before="83" w:lineRule="auto"/>
        <w:ind w:left="9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Ao todo foram sintetizados dez compostos entre intermediários e produtos finais. Todos os compostos foram caracterizados pelas técnicas de espectroscopia de absorção na região do Infravermelho e RMN de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 e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13</w:t>
      </w:r>
      <w:r w:rsidDel="00000000" w:rsidR="00000000" w:rsidRPr="00000000">
        <w:rPr>
          <w:sz w:val="20"/>
          <w:szCs w:val="20"/>
          <w:rtl w:val="0"/>
        </w:rPr>
        <w:t xml:space="preserve">C.</w:t>
      </w:r>
    </w:p>
    <w:p w:rsidR="00000000" w:rsidDel="00000000" w:rsidP="00000000" w:rsidRDefault="00000000" w:rsidRPr="00000000" w14:paraId="00000035">
      <w:pPr>
        <w:spacing w:before="83" w:lineRule="auto"/>
        <w:ind w:left="9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Os compostos serão avaliados quanto à sua atividade biológica em parceria com a Universidade Federal de Alfenas, com a colaboração do Prof. Dr. Diogo Teixeira de Carvalho e na Escola de Farmácia da Universidade Federal de Ouro Preto, com a colaboração do Prof. Dr. Geraldo Célio Brandão.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Agradecimentos</w:t>
      </w:r>
    </w:p>
    <w:p w:rsidR="00000000" w:rsidDel="00000000" w:rsidP="00000000" w:rsidRDefault="00000000" w:rsidRPr="00000000" w14:paraId="00000037">
      <w:pPr>
        <w:spacing w:before="83" w:lineRule="auto"/>
        <w:ind w:left="9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0"/>
          <w:szCs w:val="20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4914900</wp:posOffset>
                </wp:positionH>
                <wp:positionV relativeFrom="page">
                  <wp:posOffset>7615425</wp:posOffset>
                </wp:positionV>
                <wp:extent cx="2662555" cy="307594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rect b="b" l="l" r="r" t="t"/>
                          <a:pathLst>
                            <a:path extrusionOk="0" h="3047365" w="263398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4914900</wp:posOffset>
                </wp:positionH>
                <wp:positionV relativeFrom="page">
                  <wp:posOffset>7615425</wp:posOffset>
                </wp:positionV>
                <wp:extent cx="2662555" cy="3075940"/>
                <wp:effectExtent b="0" l="0" r="0" t="0"/>
                <wp:wrapNone/>
                <wp:docPr id="3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2555" cy="3075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61251" cy="615203"/>
            <wp:effectExtent b="0" l="0" r="0" t="0"/>
            <wp:docPr id="4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51" cy="615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086127" cy="424703"/>
            <wp:effectExtent b="0" l="0" r="0" t="0"/>
            <wp:docPr id="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127" cy="424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63257" cy="416300"/>
            <wp:effectExtent b="0" l="0" r="0" t="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257" cy="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7533" cy="396619"/>
            <wp:effectExtent b="0" l="0" r="0" t="0"/>
            <wp:docPr id="4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33" cy="396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37900" cy="537900"/>
            <wp:effectExtent b="0" l="0" r="0" t="0"/>
            <wp:docPr id="4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900" cy="53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" w:line="240" w:lineRule="auto"/>
        <w:ind w:left="0" w:right="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qht7xzzbgucf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tabs>
          <w:tab w:val="left" w:leader="none" w:pos="211"/>
        </w:tabs>
        <w:ind w:left="211" w:hanging="202"/>
        <w:rPr/>
      </w:pPr>
      <w:r w:rsidDel="00000000" w:rsidR="00000000" w:rsidRPr="00000000">
        <w:rPr>
          <w:sz w:val="20"/>
          <w:szCs w:val="20"/>
          <w:rtl w:val="0"/>
        </w:rPr>
        <w:t xml:space="preserve">K. Jomova; R. Raptova; S. Y. Alomar; S. H. Alwasel;  E. Nepovimova; K. Kuca; M. Valko, </w:t>
      </w:r>
      <w:r w:rsidDel="00000000" w:rsidR="00000000" w:rsidRPr="00000000">
        <w:rPr>
          <w:i w:val="1"/>
          <w:sz w:val="20"/>
          <w:szCs w:val="20"/>
          <w:rtl w:val="0"/>
        </w:rPr>
        <w:t xml:space="preserve">Archives of Toxicology</w:t>
      </w:r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b w:val="1"/>
          <w:sz w:val="20"/>
          <w:szCs w:val="20"/>
          <w:rtl w:val="0"/>
        </w:rPr>
        <w:t xml:space="preserve">2023</w:t>
      </w:r>
      <w:r w:rsidDel="00000000" w:rsidR="00000000" w:rsidRPr="00000000">
        <w:rPr>
          <w:sz w:val="20"/>
          <w:szCs w:val="20"/>
          <w:rtl w:val="0"/>
        </w:rPr>
        <w:t xml:space="preserve">, 97, 2499-2574.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tabs>
          <w:tab w:val="left" w:leader="none" w:pos="211"/>
        </w:tabs>
        <w:ind w:left="211" w:hanging="202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M. Valko; C. J. Rhodes; J. Moncol; M. Izakovic; M. Mazur, </w:t>
      </w:r>
      <w:r w:rsidDel="00000000" w:rsidR="00000000" w:rsidRPr="00000000">
        <w:rPr>
          <w:i w:val="1"/>
          <w:sz w:val="20"/>
          <w:szCs w:val="20"/>
          <w:rtl w:val="0"/>
        </w:rPr>
        <w:t xml:space="preserve">Chemico-Biological Interactions. </w:t>
      </w:r>
      <w:r w:rsidDel="00000000" w:rsidR="00000000" w:rsidRPr="00000000">
        <w:rPr>
          <w:b w:val="1"/>
          <w:sz w:val="20"/>
          <w:szCs w:val="20"/>
          <w:rtl w:val="0"/>
        </w:rPr>
        <w:t xml:space="preserve">2006</w:t>
      </w:r>
      <w:r w:rsidDel="00000000" w:rsidR="00000000" w:rsidRPr="00000000">
        <w:rPr>
          <w:sz w:val="20"/>
          <w:szCs w:val="20"/>
          <w:rtl w:val="0"/>
        </w:rPr>
        <w:t xml:space="preserve">, 160, 1-40.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tabs>
          <w:tab w:val="left" w:leader="none" w:pos="211"/>
        </w:tabs>
        <w:ind w:left="211" w:hanging="202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A. L. B. S. Barreiros; J. M. David; J. P. David, </w:t>
      </w:r>
      <w:r w:rsidDel="00000000" w:rsidR="00000000" w:rsidRPr="00000000">
        <w:rPr>
          <w:i w:val="1"/>
          <w:sz w:val="20"/>
          <w:szCs w:val="20"/>
          <w:rtl w:val="0"/>
        </w:rPr>
        <w:t xml:space="preserve">Química Nova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2006</w:t>
      </w:r>
      <w:r w:rsidDel="00000000" w:rsidR="00000000" w:rsidRPr="00000000">
        <w:rPr>
          <w:sz w:val="20"/>
          <w:szCs w:val="20"/>
          <w:rtl w:val="0"/>
        </w:rPr>
        <w:t xml:space="preserve">, 29, 113–123.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tabs>
          <w:tab w:val="left" w:leader="none" w:pos="211"/>
        </w:tabs>
        <w:ind w:left="211" w:hanging="202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E. E. Battin; J. L. Brumaghim, </w:t>
      </w:r>
      <w:r w:rsidDel="00000000" w:rsidR="00000000" w:rsidRPr="00000000">
        <w:rPr>
          <w:i w:val="1"/>
          <w:sz w:val="20"/>
          <w:szCs w:val="20"/>
          <w:rtl w:val="0"/>
        </w:rPr>
        <w:t xml:space="preserve">Cell Biochemistry and Biophysics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2009</w:t>
      </w:r>
      <w:r w:rsidDel="00000000" w:rsidR="00000000" w:rsidRPr="00000000">
        <w:rPr>
          <w:sz w:val="20"/>
          <w:szCs w:val="20"/>
          <w:rtl w:val="0"/>
        </w:rPr>
        <w:t xml:space="preserve">, 55, 1–23.</w:t>
      </w:r>
      <w:r w:rsidDel="00000000" w:rsidR="00000000" w:rsidRPr="00000000">
        <w:rPr>
          <w:rtl w:val="0"/>
        </w:rPr>
      </w:r>
    </w:p>
    <w:sectPr>
      <w:type w:val="continuous"/>
      <w:pgSz w:h="16850" w:w="11910" w:orient="portrait"/>
      <w:pgMar w:bottom="0" w:top="1417.3228346456694" w:left="283" w:right="283" w:header="720" w:footer="720"/>
      <w:cols w:equalWidth="0" w:num="2">
        <w:col w:space="395" w:w="5472.240000000001"/>
        <w:col w:space="0" w:w="5472.24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cs="Times New Roman" w:eastAsia="Times New Roman" w:hAnsi="Times New Roman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745" w:hanging="205"/>
      </w:pPr>
      <w:rPr/>
    </w:lvl>
    <w:lvl w:ilvl="2">
      <w:start w:val="0"/>
      <w:numFmt w:val="bullet"/>
      <w:lvlText w:val="•"/>
      <w:lvlJc w:val="left"/>
      <w:pPr>
        <w:ind w:left="1271" w:hanging="205"/>
      </w:pPr>
      <w:rPr/>
    </w:lvl>
    <w:lvl w:ilvl="3">
      <w:start w:val="0"/>
      <w:numFmt w:val="bullet"/>
      <w:lvlText w:val="•"/>
      <w:lvlJc w:val="left"/>
      <w:pPr>
        <w:ind w:left="1797" w:hanging="205"/>
      </w:pPr>
      <w:rPr/>
    </w:lvl>
    <w:lvl w:ilvl="4">
      <w:start w:val="0"/>
      <w:numFmt w:val="bullet"/>
      <w:lvlText w:val="•"/>
      <w:lvlJc w:val="left"/>
      <w:pPr>
        <w:ind w:left="2323" w:hanging="205"/>
      </w:pPr>
      <w:rPr/>
    </w:lvl>
    <w:lvl w:ilvl="5">
      <w:start w:val="0"/>
      <w:numFmt w:val="bullet"/>
      <w:lvlText w:val="•"/>
      <w:lvlJc w:val="left"/>
      <w:pPr>
        <w:ind w:left="2849" w:hanging="205"/>
      </w:pPr>
      <w:rPr/>
    </w:lvl>
    <w:lvl w:ilvl="6">
      <w:start w:val="0"/>
      <w:numFmt w:val="bullet"/>
      <w:lvlText w:val="•"/>
      <w:lvlJc w:val="left"/>
      <w:pPr>
        <w:ind w:left="3375" w:hanging="205"/>
      </w:pPr>
      <w:rPr/>
    </w:lvl>
    <w:lvl w:ilvl="7">
      <w:start w:val="0"/>
      <w:numFmt w:val="bullet"/>
      <w:lvlText w:val="•"/>
      <w:lvlJc w:val="left"/>
      <w:pPr>
        <w:ind w:left="3901" w:hanging="205"/>
      </w:pPr>
      <w:rPr/>
    </w:lvl>
    <w:lvl w:ilvl="8">
      <w:start w:val="0"/>
      <w:numFmt w:val="bullet"/>
      <w:lvlText w:val="•"/>
      <w:lvlJc w:val="left"/>
      <w:pPr>
        <w:ind w:left="4427" w:hanging="205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4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3" w:default="1">
    <w:name w:val="Default Paragraph Font"/>
    <w:uiPriority w:val="1"/>
    <w:semiHidden w:val="1"/>
    <w:unhideWhenUsed w:val="1"/>
  </w:style>
  <w:style w:type="table" w:styleId="4" w:default="1">
    <w:name w:val="Normal Table"/>
    <w:uiPriority w:val="0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5">
    <w:name w:val="Body Text"/>
    <w:basedOn w:val="1"/>
    <w:uiPriority w:val="1"/>
    <w:qFormat w:val="1"/>
    <w:rPr>
      <w:rFonts w:ascii="Times New Roman" w:cs="Times New Roman" w:eastAsia="Times New Roman" w:hAnsi="Times New Roman"/>
      <w:sz w:val="20"/>
      <w:szCs w:val="20"/>
      <w:lang w:bidi="ar-SA" w:eastAsia="en-US" w:val="pt-PT"/>
    </w:rPr>
  </w:style>
  <w:style w:type="table" w:styleId="6">
    <w:name w:val="Table Grid"/>
    <w:basedOn w:val="4"/>
    <w:uiPriority w:val="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7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8">
    <w:name w:val="List Paragraph"/>
    <w:basedOn w:val="1"/>
    <w:uiPriority w:val="1"/>
    <w:qFormat w:val="1"/>
    <w:pPr>
      <w:spacing w:before="40"/>
      <w:ind w:left="9" w:hanging="202"/>
    </w:pPr>
    <w:rPr>
      <w:rFonts w:ascii="Times New Roman" w:cs="Times New Roman" w:eastAsia="Times New Roman" w:hAnsi="Times New Roman"/>
      <w:lang w:bidi="ar-SA" w:eastAsia="en-US" w:val="pt-PT"/>
    </w:rPr>
  </w:style>
  <w:style w:type="paragraph" w:styleId="9" w:customStyle="1">
    <w:name w:val="Table Paragraph"/>
    <w:basedOn w:val="1"/>
    <w:uiPriority w:val="1"/>
    <w:qFormat w:val="1"/>
    <w:rPr>
      <w:lang w:bidi="ar-SA" w:eastAsia="en-US" w:val="pt-PT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9.png"/><Relationship Id="rId10" Type="http://schemas.openxmlformats.org/officeDocument/2006/relationships/header" Target="header1.xml"/><Relationship Id="rId21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image" Target="media/image10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26.png"/><Relationship Id="rId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oq43gvJd8qFfy4s38y/ioJJulQ==">CgMxLjAyDmgucWh0N3h6emJndWNmOAByITFMcWFQOVhOX2VBRlZkUnFEdlR3bFMyOXBQWWl5M3JyYw==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2025-02-20T12:57:00Z</dcterms:created>
  <dc:creator>ALINE GOMES DE OLIVEIRA PARANHOS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