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E4FF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spacing w:before="135" w:after="1"/>
        <w:rPr>
          <w:color w:val="000000"/>
          <w:sz w:val="20"/>
          <w:szCs w:val="20"/>
        </w:rPr>
      </w:pPr>
    </w:p>
    <w:p w14:paraId="511BF1BD" w14:textId="77777777" w:rsidR="005B76C1" w:rsidRDefault="00000000">
      <w:pPr>
        <w:pBdr>
          <w:top w:val="nil"/>
          <w:left w:val="nil"/>
          <w:bottom w:val="nil"/>
          <w:right w:val="nil"/>
          <w:between w:val="nil"/>
        </w:pBdr>
        <w:ind w:left="9254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480A33CC" wp14:editId="4A71E1DD">
            <wp:extent cx="1457037" cy="1447514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037" cy="14475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15B71A" w14:textId="77777777" w:rsidR="005B76C1" w:rsidRDefault="00000000">
      <w:pPr>
        <w:pBdr>
          <w:top w:val="nil"/>
          <w:left w:val="nil"/>
          <w:bottom w:val="nil"/>
          <w:right w:val="nil"/>
          <w:between w:val="nil"/>
        </w:pBdr>
        <w:spacing w:before="108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DF2C370" wp14:editId="35406599">
            <wp:simplePos x="0" y="0"/>
            <wp:positionH relativeFrom="column">
              <wp:posOffset>104774</wp:posOffset>
            </wp:positionH>
            <wp:positionV relativeFrom="paragraph">
              <wp:posOffset>229995</wp:posOffset>
            </wp:positionV>
            <wp:extent cx="7217174" cy="247554"/>
            <wp:effectExtent l="0" t="0" r="0" b="0"/>
            <wp:wrapTopAndBottom distT="0" distB="0"/>
            <wp:docPr id="2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17174" cy="2475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1E3950" w14:textId="77777777" w:rsidR="005B76C1" w:rsidRDefault="00000000">
      <w:pPr>
        <w:pStyle w:val="Ttulo1"/>
        <w:spacing w:before="117"/>
        <w:ind w:left="1574"/>
        <w:jc w:val="both"/>
      </w:pPr>
      <w:r>
        <w:t>Otimização da Síntese e caracterização de nanopartículas de selênio.</w:t>
      </w:r>
    </w:p>
    <w:p w14:paraId="068975E0" w14:textId="77777777" w:rsidR="005B76C1" w:rsidRDefault="00000000">
      <w:pPr>
        <w:spacing w:before="230"/>
        <w:ind w:left="1589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Thaís</w:t>
      </w:r>
      <w:proofErr w:type="spellEnd"/>
      <w:r>
        <w:rPr>
          <w:b/>
          <w:sz w:val="20"/>
          <w:szCs w:val="20"/>
        </w:rPr>
        <w:t xml:space="preserve"> B. Correia (G) e Marco A. Schiavon (PQ)*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0286641F" wp14:editId="78BB9BF3">
            <wp:simplePos x="0" y="0"/>
            <wp:positionH relativeFrom="column">
              <wp:posOffset>-89534</wp:posOffset>
            </wp:positionH>
            <wp:positionV relativeFrom="paragraph">
              <wp:posOffset>-2436368</wp:posOffset>
            </wp:positionV>
            <wp:extent cx="2647950" cy="3057524"/>
            <wp:effectExtent l="0" t="0" r="0" b="0"/>
            <wp:wrapNone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057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7BD49C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spacing w:before="44"/>
        <w:rPr>
          <w:b/>
          <w:color w:val="000000"/>
          <w:sz w:val="20"/>
          <w:szCs w:val="20"/>
        </w:rPr>
      </w:pPr>
    </w:p>
    <w:p w14:paraId="43985464" w14:textId="77777777" w:rsidR="005B76C1" w:rsidRDefault="00000000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1559" w:right="102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Universidade Federal de São João </w:t>
      </w:r>
      <w:proofErr w:type="spellStart"/>
      <w:r>
        <w:rPr>
          <w:color w:val="000000"/>
          <w:sz w:val="20"/>
          <w:szCs w:val="20"/>
        </w:rPr>
        <w:t>del-Rei</w:t>
      </w:r>
      <w:proofErr w:type="spellEnd"/>
      <w:r>
        <w:rPr>
          <w:color w:val="000000"/>
          <w:sz w:val="20"/>
          <w:szCs w:val="20"/>
        </w:rPr>
        <w:t xml:space="preserve"> (UFSJ), Departamento de Ciências Naturais (DCNAT), São João </w:t>
      </w:r>
      <w:proofErr w:type="spellStart"/>
      <w:r>
        <w:rPr>
          <w:color w:val="000000"/>
          <w:sz w:val="20"/>
          <w:szCs w:val="20"/>
        </w:rPr>
        <w:t>del-Rei</w:t>
      </w:r>
      <w:proofErr w:type="spellEnd"/>
      <w:r>
        <w:rPr>
          <w:color w:val="000000"/>
          <w:sz w:val="20"/>
          <w:szCs w:val="20"/>
        </w:rPr>
        <w:t xml:space="preserve"> – MG, Brasil.</w:t>
      </w:r>
    </w:p>
    <w:p w14:paraId="45EA5380" w14:textId="77777777" w:rsidR="005B76C1" w:rsidRDefault="00000000">
      <w:pPr>
        <w:pBdr>
          <w:top w:val="nil"/>
          <w:left w:val="nil"/>
          <w:bottom w:val="nil"/>
          <w:right w:val="nil"/>
          <w:between w:val="nil"/>
        </w:pBdr>
        <w:spacing w:line="220" w:lineRule="auto"/>
        <w:ind w:left="1559"/>
        <w:jc w:val="both"/>
        <w:rPr>
          <w:color w:val="000000"/>
          <w:sz w:val="20"/>
          <w:szCs w:val="20"/>
        </w:rPr>
      </w:pPr>
      <w:hyperlink r:id="rId9">
        <w:r>
          <w:rPr>
            <w:color w:val="1153CC"/>
            <w:sz w:val="20"/>
            <w:szCs w:val="20"/>
            <w:u w:val="single"/>
          </w:rPr>
          <w:t>mgoisbraga@aluno.ufsj.edu.br</w:t>
        </w:r>
      </w:hyperlink>
      <w:r>
        <w:rPr>
          <w:color w:val="000000"/>
          <w:sz w:val="20"/>
          <w:szCs w:val="20"/>
        </w:rPr>
        <w:t xml:space="preserve">; </w:t>
      </w:r>
      <w:hyperlink r:id="rId10">
        <w:r>
          <w:rPr>
            <w:color w:val="000000"/>
            <w:sz w:val="20"/>
            <w:szCs w:val="20"/>
          </w:rPr>
          <w:t>schiavon@ufsj.edu.br</w:t>
        </w:r>
      </w:hyperlink>
    </w:p>
    <w:p w14:paraId="499220CD" w14:textId="77777777" w:rsidR="005B76C1" w:rsidRDefault="00000000">
      <w:pPr>
        <w:pBdr>
          <w:top w:val="nil"/>
          <w:left w:val="nil"/>
          <w:bottom w:val="nil"/>
          <w:right w:val="nil"/>
          <w:between w:val="nil"/>
        </w:pBdr>
        <w:spacing w:before="29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505ABD4D" wp14:editId="441D25D6">
            <wp:simplePos x="0" y="0"/>
            <wp:positionH relativeFrom="column">
              <wp:posOffset>85723</wp:posOffset>
            </wp:positionH>
            <wp:positionV relativeFrom="paragraph">
              <wp:posOffset>179975</wp:posOffset>
            </wp:positionV>
            <wp:extent cx="7217173" cy="247554"/>
            <wp:effectExtent l="0" t="0" r="0" b="0"/>
            <wp:wrapTopAndBottom distT="0" distB="0"/>
            <wp:docPr id="1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17173" cy="2475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01475F" w14:textId="77777777" w:rsidR="005B76C1" w:rsidRDefault="00000000">
      <w:pPr>
        <w:pBdr>
          <w:top w:val="nil"/>
          <w:left w:val="nil"/>
          <w:bottom w:val="nil"/>
          <w:right w:val="nil"/>
          <w:between w:val="nil"/>
        </w:pBdr>
        <w:spacing w:before="15"/>
        <w:ind w:left="1574" w:right="102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 nanopartículas de selênio vem sendo cada vez mais estudadas devido a sua variedade de aplicações, potencial antimicrobiano e grande biocompatibilidade, visto que o selênio é um elemento químico essencial para os seres vivos. Esse trabalho tem o objetivo de sintetizar nanopartículas de selênio, via rota química, estudando-se a variação nas condições de síntese como tempo de reação e a concentração do agente estabilizante, bem como a caracterização do material por meio de espectroscopia UV - Vis e EDL.</w:t>
      </w:r>
    </w:p>
    <w:p w14:paraId="7A1BB464" w14:textId="77777777" w:rsidR="005B76C1" w:rsidRDefault="00000000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D416E0A" wp14:editId="422753AB">
                <wp:simplePos x="0" y="0"/>
                <wp:positionH relativeFrom="column">
                  <wp:posOffset>76200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16" name="Forma Liv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59838" y="3779365"/>
                          <a:ext cx="7172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2325" h="120000" extrusionOk="0">
                              <a:moveTo>
                                <a:pt x="0" y="0"/>
                              </a:moveTo>
                              <a:lnTo>
                                <a:pt x="717232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3E458F7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color w:val="000000"/>
          <w:sz w:val="20"/>
          <w:szCs w:val="20"/>
        </w:rPr>
      </w:pPr>
    </w:p>
    <w:p w14:paraId="3A35C04A" w14:textId="77777777" w:rsidR="005B76C1" w:rsidRDefault="00000000">
      <w:pPr>
        <w:ind w:left="149"/>
        <w:rPr>
          <w:i/>
          <w:sz w:val="20"/>
          <w:szCs w:val="20"/>
        </w:rPr>
      </w:pPr>
      <w:r>
        <w:rPr>
          <w:i/>
          <w:sz w:val="20"/>
          <w:szCs w:val="20"/>
        </w:rPr>
        <w:t>Palavras-chave: Nanotecnologia, nanopartículas de selênio.</w:t>
      </w:r>
    </w:p>
    <w:p w14:paraId="3B1EB871" w14:textId="77777777" w:rsidR="005B76C1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i/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79C19F62" wp14:editId="140C71C2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14" name="Forma Liv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59838" y="3779365"/>
                          <a:ext cx="7172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2325" h="120000" extrusionOk="0">
                              <a:moveTo>
                                <a:pt x="0" y="0"/>
                              </a:moveTo>
                              <a:lnTo>
                                <a:pt x="717232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1270" cy="12700"/>
                <wp:effectExtent b="0" l="0" r="0" t="0"/>
                <wp:wrapTopAndBottom distB="0" distT="0"/>
                <wp:docPr id="1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4968D8F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3EC17DDE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spacing w:before="90"/>
        <w:rPr>
          <w:i/>
          <w:color w:val="000000"/>
          <w:sz w:val="20"/>
          <w:szCs w:val="20"/>
        </w:rPr>
        <w:sectPr w:rsidR="005B76C1">
          <w:pgSz w:w="11920" w:h="16840"/>
          <w:pgMar w:top="0" w:right="141" w:bottom="280" w:left="141" w:header="360" w:footer="360" w:gutter="0"/>
          <w:pgNumType w:start="1"/>
          <w:cols w:space="720"/>
        </w:sectPr>
      </w:pPr>
    </w:p>
    <w:p w14:paraId="20067C1A" w14:textId="77777777" w:rsidR="005B76C1" w:rsidRDefault="00000000">
      <w:pPr>
        <w:pStyle w:val="Ttulo1"/>
        <w:spacing w:before="244"/>
        <w:ind w:left="170"/>
      </w:pPr>
      <w:r>
        <w:t>Introdução</w:t>
      </w:r>
    </w:p>
    <w:p w14:paraId="33D3ABBE" w14:textId="77777777" w:rsidR="005B76C1" w:rsidRDefault="00000000">
      <w:pPr>
        <w:pBdr>
          <w:top w:val="nil"/>
          <w:left w:val="nil"/>
          <w:bottom w:val="nil"/>
          <w:right w:val="nil"/>
          <w:between w:val="nil"/>
        </w:pBdr>
        <w:spacing w:before="60"/>
        <w:ind w:left="134" w:right="3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Atualmente, as nanopartículas de selênio vem sendo cada vez mais exploradas, visto o seu potencial de serem </w:t>
      </w:r>
      <w:proofErr w:type="gramStart"/>
      <w:r>
        <w:rPr>
          <w:color w:val="000000"/>
          <w:sz w:val="20"/>
          <w:szCs w:val="20"/>
        </w:rPr>
        <w:t>empregadas</w:t>
      </w:r>
      <w:proofErr w:type="gramEnd"/>
      <w:r>
        <w:rPr>
          <w:color w:val="000000"/>
          <w:sz w:val="20"/>
          <w:szCs w:val="20"/>
        </w:rPr>
        <w:t xml:space="preserve"> desde em placas fotovoltaicas [1], até em suplementos alimentares [2]. O selênio é um elemento essencial na dieta humana e animal, visto que tem papel na síntese de DNA, na reprodução e na imunidade [3], sendo cofator de </w:t>
      </w:r>
      <w:proofErr w:type="spellStart"/>
      <w:r>
        <w:rPr>
          <w:color w:val="000000"/>
          <w:sz w:val="20"/>
          <w:szCs w:val="20"/>
        </w:rPr>
        <w:t>selenoproteínas</w:t>
      </w:r>
      <w:proofErr w:type="spellEnd"/>
      <w:r>
        <w:rPr>
          <w:color w:val="000000"/>
          <w:sz w:val="20"/>
          <w:szCs w:val="20"/>
        </w:rPr>
        <w:t xml:space="preserve"> que modulam o estresse oxidativo, protegem os lipídios e membranas, além de regular vias de sinalização que previnem a apoptose e favorecem a sobrevivência celular [4], podendo ser </w:t>
      </w:r>
      <w:proofErr w:type="gramStart"/>
      <w:r>
        <w:rPr>
          <w:color w:val="000000"/>
          <w:sz w:val="20"/>
          <w:szCs w:val="20"/>
        </w:rPr>
        <w:t>empregadas</w:t>
      </w:r>
      <w:proofErr w:type="gramEnd"/>
      <w:r>
        <w:rPr>
          <w:color w:val="000000"/>
          <w:sz w:val="20"/>
          <w:szCs w:val="20"/>
        </w:rPr>
        <w:t xml:space="preserve"> até mesmo em medicamentos contra o câncer [5]. O formato e as propriedades dessas nanopartículas variam de acordo com a rota de síntese utilizada, podendo esta ser biogênica [6], utilizando agentes biológicos como plantas ou microrganismos como precursores, ou química [7], na qual a síntese acontece por meio de reações com agentes redutores e ligantes de superfície (agentes estabilizadores). Nesse contexto, este trabalho utiliza a rota química para a síntese das nanopartículas de selênio, investigando as variações no tamanho médio e na faixa de absorção de acordo com a variação do tempo e a concentração do estabilizante.</w:t>
      </w:r>
    </w:p>
    <w:p w14:paraId="5A7057A3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spacing w:before="65"/>
        <w:rPr>
          <w:color w:val="000000"/>
          <w:sz w:val="20"/>
          <w:szCs w:val="20"/>
        </w:rPr>
      </w:pPr>
    </w:p>
    <w:p w14:paraId="22DEEA39" w14:textId="77777777" w:rsidR="005B76C1" w:rsidRDefault="00000000">
      <w:pPr>
        <w:pStyle w:val="Ttulo1"/>
        <w:ind w:left="170"/>
      </w:pPr>
      <w:r>
        <w:t>Experimental</w:t>
      </w:r>
    </w:p>
    <w:p w14:paraId="5CCC56A9" w14:textId="77777777" w:rsidR="005B76C1" w:rsidRDefault="00000000">
      <w:pPr>
        <w:ind w:left="16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Variação do tempo de reação:</w:t>
      </w:r>
    </w:p>
    <w:p w14:paraId="262575F3" w14:textId="77777777" w:rsidR="005B76C1" w:rsidRDefault="00000000">
      <w:pPr>
        <w:pBdr>
          <w:top w:val="nil"/>
          <w:left w:val="nil"/>
          <w:bottom w:val="nil"/>
          <w:right w:val="nil"/>
          <w:between w:val="nil"/>
        </w:pBdr>
        <w:spacing w:before="83"/>
        <w:ind w:left="149" w:right="5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 nanopartículas de selênio (</w:t>
      </w:r>
      <w:proofErr w:type="spellStart"/>
      <w:r>
        <w:rPr>
          <w:color w:val="000000"/>
          <w:sz w:val="20"/>
          <w:szCs w:val="20"/>
        </w:rPr>
        <w:t>SeNPs</w:t>
      </w:r>
      <w:proofErr w:type="spellEnd"/>
      <w:r>
        <w:rPr>
          <w:color w:val="000000"/>
          <w:sz w:val="20"/>
          <w:szCs w:val="20"/>
        </w:rPr>
        <w:t>) são preparadas a partir da redução de selenito de sódio (Na</w:t>
      </w:r>
      <w:r>
        <w:rPr>
          <w:color w:val="000000"/>
          <w:sz w:val="20"/>
          <w:szCs w:val="20"/>
          <w:vertAlign w:val="subscript"/>
        </w:rPr>
        <w:t>2</w:t>
      </w:r>
      <w:r>
        <w:rPr>
          <w:color w:val="000000"/>
          <w:sz w:val="20"/>
          <w:szCs w:val="20"/>
        </w:rPr>
        <w:t>SeO</w:t>
      </w:r>
      <w:r>
        <w:rPr>
          <w:color w:val="000000"/>
          <w:sz w:val="20"/>
          <w:szCs w:val="20"/>
          <w:vertAlign w:val="subscript"/>
        </w:rPr>
        <w:t>3</w:t>
      </w:r>
      <w:r>
        <w:rPr>
          <w:color w:val="000000"/>
          <w:sz w:val="20"/>
          <w:szCs w:val="20"/>
        </w:rPr>
        <w:t xml:space="preserve">) pelo </w:t>
      </w:r>
      <w:proofErr w:type="spellStart"/>
      <w:r>
        <w:rPr>
          <w:color w:val="000000"/>
          <w:sz w:val="20"/>
          <w:szCs w:val="20"/>
        </w:rPr>
        <w:t>borohidreto</w:t>
      </w:r>
      <w:proofErr w:type="spellEnd"/>
      <w:r>
        <w:rPr>
          <w:color w:val="000000"/>
          <w:sz w:val="20"/>
          <w:szCs w:val="20"/>
        </w:rPr>
        <w:t xml:space="preserve"> de sódio</w:t>
      </w:r>
    </w:p>
    <w:p w14:paraId="062ABBFB" w14:textId="30B6EE6A" w:rsidR="005B76C1" w:rsidRDefault="00000000">
      <w:pPr>
        <w:pBdr>
          <w:top w:val="nil"/>
          <w:left w:val="nil"/>
          <w:bottom w:val="nil"/>
          <w:right w:val="nil"/>
          <w:between w:val="nil"/>
        </w:pBdr>
        <w:spacing w:before="92"/>
        <w:ind w:left="134" w:right="131"/>
        <w:jc w:val="both"/>
        <w:rPr>
          <w:color w:val="000000"/>
          <w:sz w:val="20"/>
          <w:szCs w:val="20"/>
        </w:rPr>
      </w:pPr>
      <w:r>
        <w:br w:type="column"/>
      </w:r>
      <w:r>
        <w:rPr>
          <w:color w:val="000000"/>
          <w:sz w:val="20"/>
          <w:szCs w:val="20"/>
        </w:rPr>
        <w:t>(NaBH</w:t>
      </w:r>
      <w:r>
        <w:rPr>
          <w:color w:val="000000"/>
          <w:sz w:val="20"/>
          <w:szCs w:val="20"/>
          <w:vertAlign w:val="subscript"/>
        </w:rPr>
        <w:t>4</w:t>
      </w:r>
      <w:r>
        <w:rPr>
          <w:color w:val="000000"/>
          <w:sz w:val="20"/>
          <w:szCs w:val="20"/>
        </w:rPr>
        <w:t>), usando o citrato de sódio (Na</w:t>
      </w:r>
      <w:r>
        <w:rPr>
          <w:color w:val="000000"/>
          <w:sz w:val="20"/>
          <w:szCs w:val="20"/>
          <w:vertAlign w:val="subscript"/>
        </w:rPr>
        <w:t>3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vertAlign w:val="subscript"/>
        </w:rPr>
        <w:t>6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  <w:vertAlign w:val="subscript"/>
        </w:rPr>
        <w:t>5</w:t>
      </w:r>
      <w:r>
        <w:rPr>
          <w:color w:val="000000"/>
          <w:sz w:val="20"/>
          <w:szCs w:val="20"/>
        </w:rPr>
        <w:t>O</w:t>
      </w:r>
      <w:r>
        <w:rPr>
          <w:color w:val="000000"/>
          <w:sz w:val="20"/>
          <w:szCs w:val="20"/>
          <w:vertAlign w:val="subscript"/>
        </w:rPr>
        <w:t>7</w:t>
      </w:r>
      <w:r>
        <w:rPr>
          <w:color w:val="000000"/>
          <w:sz w:val="20"/>
          <w:szCs w:val="20"/>
        </w:rPr>
        <w:t xml:space="preserve">) como agente estabilizante. Em um balão de duas bocas, </w:t>
      </w:r>
      <w:r w:rsidR="002B61AB">
        <w:rPr>
          <w:color w:val="000000"/>
          <w:sz w:val="20"/>
          <w:szCs w:val="20"/>
        </w:rPr>
        <w:t>foram</w:t>
      </w:r>
      <w:r>
        <w:rPr>
          <w:color w:val="000000"/>
          <w:sz w:val="20"/>
          <w:szCs w:val="20"/>
        </w:rPr>
        <w:t xml:space="preserve"> adicionados 90 ml de água ultrapura (</w:t>
      </w:r>
      <w:proofErr w:type="spellStart"/>
      <w:r>
        <w:rPr>
          <w:color w:val="000000"/>
          <w:sz w:val="20"/>
          <w:szCs w:val="20"/>
        </w:rPr>
        <w:t>milli</w:t>
      </w:r>
      <w:proofErr w:type="spellEnd"/>
      <w:r>
        <w:rPr>
          <w:color w:val="000000"/>
          <w:sz w:val="20"/>
          <w:szCs w:val="20"/>
        </w:rPr>
        <w:t xml:space="preserve">-Q), juntamente com 0,30 g de selenito de sódio. Essa solução </w:t>
      </w:r>
      <w:r w:rsidR="002B61AB">
        <w:rPr>
          <w:color w:val="000000"/>
          <w:sz w:val="20"/>
          <w:szCs w:val="20"/>
        </w:rPr>
        <w:t>foi</w:t>
      </w:r>
      <w:r>
        <w:rPr>
          <w:color w:val="000000"/>
          <w:sz w:val="20"/>
          <w:szCs w:val="20"/>
        </w:rPr>
        <w:t xml:space="preserve"> colocada sob vigorosa agitação, a 45°, em seguida, </w:t>
      </w:r>
      <w:r w:rsidR="002B61AB">
        <w:rPr>
          <w:color w:val="000000"/>
          <w:sz w:val="20"/>
          <w:szCs w:val="20"/>
        </w:rPr>
        <w:t>foi</w:t>
      </w:r>
      <w:r>
        <w:rPr>
          <w:color w:val="000000"/>
          <w:sz w:val="20"/>
          <w:szCs w:val="20"/>
        </w:rPr>
        <w:t xml:space="preserve"> adicionada uma solução de </w:t>
      </w:r>
      <w:proofErr w:type="spellStart"/>
      <w:r>
        <w:rPr>
          <w:color w:val="000000"/>
          <w:sz w:val="20"/>
          <w:szCs w:val="20"/>
        </w:rPr>
        <w:t>borohidreto</w:t>
      </w:r>
      <w:proofErr w:type="spellEnd"/>
      <w:r>
        <w:rPr>
          <w:color w:val="000000"/>
          <w:sz w:val="20"/>
          <w:szCs w:val="20"/>
        </w:rPr>
        <w:t xml:space="preserve"> de sódio (5,7 x 10 </w:t>
      </w:r>
      <w:r>
        <w:rPr>
          <w:color w:val="000000"/>
          <w:sz w:val="20"/>
          <w:szCs w:val="20"/>
          <w:vertAlign w:val="superscript"/>
        </w:rPr>
        <w:t>-4</w:t>
      </w:r>
      <w:r>
        <w:rPr>
          <w:color w:val="000000"/>
          <w:sz w:val="20"/>
          <w:szCs w:val="20"/>
        </w:rPr>
        <w:t xml:space="preserve"> molL</w:t>
      </w:r>
      <w:r>
        <w:rPr>
          <w:color w:val="000000"/>
          <w:sz w:val="20"/>
          <w:szCs w:val="20"/>
          <w:vertAlign w:val="superscript"/>
        </w:rPr>
        <w:t>-1</w:t>
      </w:r>
      <w:r>
        <w:rPr>
          <w:color w:val="000000"/>
          <w:sz w:val="20"/>
          <w:szCs w:val="20"/>
        </w:rPr>
        <w:t xml:space="preserve">), gota a gota, de 2 em 2 ml. A cada 2 ml da solução de </w:t>
      </w:r>
      <w:proofErr w:type="spellStart"/>
      <w:r>
        <w:rPr>
          <w:color w:val="000000"/>
          <w:sz w:val="20"/>
          <w:szCs w:val="20"/>
        </w:rPr>
        <w:t>borohidreto</w:t>
      </w:r>
      <w:proofErr w:type="spellEnd"/>
      <w:r>
        <w:rPr>
          <w:color w:val="000000"/>
          <w:sz w:val="20"/>
          <w:szCs w:val="20"/>
        </w:rPr>
        <w:t xml:space="preserve"> de sódio, foi adicionado 10 µmolL</w:t>
      </w:r>
      <w:r>
        <w:rPr>
          <w:color w:val="000000"/>
          <w:sz w:val="20"/>
          <w:szCs w:val="20"/>
          <w:vertAlign w:val="superscript"/>
        </w:rPr>
        <w:t>-1</w:t>
      </w:r>
      <w:r>
        <w:rPr>
          <w:color w:val="000000"/>
          <w:sz w:val="20"/>
          <w:szCs w:val="20"/>
        </w:rPr>
        <w:t xml:space="preserve"> de solução de citrato de sódio (2,0 x 10</w:t>
      </w:r>
      <w:r>
        <w:rPr>
          <w:color w:val="000000"/>
          <w:sz w:val="20"/>
          <w:szCs w:val="20"/>
          <w:vertAlign w:val="superscript"/>
        </w:rPr>
        <w:t>-4</w:t>
      </w:r>
      <w:r>
        <w:rPr>
          <w:color w:val="000000"/>
          <w:sz w:val="20"/>
          <w:szCs w:val="20"/>
        </w:rPr>
        <w:t xml:space="preserve"> molL</w:t>
      </w:r>
      <w:r>
        <w:rPr>
          <w:color w:val="000000"/>
          <w:sz w:val="20"/>
          <w:szCs w:val="20"/>
          <w:vertAlign w:val="superscript"/>
        </w:rPr>
        <w:t>-1</w:t>
      </w:r>
      <w:r>
        <w:rPr>
          <w:color w:val="000000"/>
          <w:sz w:val="20"/>
          <w:szCs w:val="20"/>
        </w:rPr>
        <w:t xml:space="preserve">). Após o fim da síntese, a solução </w:t>
      </w:r>
      <w:r w:rsidR="002B61AB">
        <w:rPr>
          <w:color w:val="000000"/>
          <w:sz w:val="20"/>
          <w:szCs w:val="20"/>
        </w:rPr>
        <w:t>foi</w:t>
      </w:r>
      <w:r>
        <w:rPr>
          <w:color w:val="000000"/>
          <w:sz w:val="20"/>
          <w:szCs w:val="20"/>
        </w:rPr>
        <w:t xml:space="preserve"> deixada em banho, na mesma temperatura, durante 2 horas, a fim de verificar a influência que esse fator tem sob o material. Foram retiradas amostras após 10, 30, 60, 90 e 120 minutos de banho, que foram centrifugadas e o material foi lavado</w:t>
      </w:r>
      <w:r w:rsidR="002B61AB">
        <w:rPr>
          <w:color w:val="000000"/>
          <w:sz w:val="20"/>
          <w:szCs w:val="20"/>
        </w:rPr>
        <w:t xml:space="preserve"> e suspendido em água.</w:t>
      </w:r>
    </w:p>
    <w:p w14:paraId="307A3159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spacing w:before="166"/>
        <w:rPr>
          <w:color w:val="000000"/>
          <w:sz w:val="20"/>
          <w:szCs w:val="20"/>
        </w:rPr>
      </w:pPr>
    </w:p>
    <w:p w14:paraId="5AC400C4" w14:textId="77777777" w:rsidR="005B76C1" w:rsidRDefault="00000000">
      <w:pPr>
        <w:ind w:left="13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Variação da concentração do agente estabilizante:</w:t>
      </w:r>
    </w:p>
    <w:p w14:paraId="2C5E4C73" w14:textId="77777777" w:rsidR="005B76C1" w:rsidRDefault="00000000">
      <w:pPr>
        <w:pBdr>
          <w:top w:val="nil"/>
          <w:left w:val="nil"/>
          <w:bottom w:val="nil"/>
          <w:right w:val="nil"/>
          <w:between w:val="nil"/>
        </w:pBdr>
        <w:spacing w:before="83"/>
        <w:ind w:left="134" w:right="13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 soluções são preparadas do mesmo modo citado acima, mas com o dobro da concentração de citrato de sódio (Na</w:t>
      </w:r>
      <w:r>
        <w:rPr>
          <w:color w:val="000000"/>
          <w:sz w:val="20"/>
          <w:szCs w:val="20"/>
          <w:vertAlign w:val="subscript"/>
        </w:rPr>
        <w:t>3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vertAlign w:val="subscript"/>
        </w:rPr>
        <w:t>6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  <w:vertAlign w:val="subscript"/>
        </w:rPr>
        <w:t>5</w:t>
      </w:r>
      <w:r>
        <w:rPr>
          <w:color w:val="000000"/>
          <w:sz w:val="20"/>
          <w:szCs w:val="20"/>
        </w:rPr>
        <w:t>O</w:t>
      </w:r>
      <w:r>
        <w:rPr>
          <w:color w:val="000000"/>
          <w:sz w:val="20"/>
          <w:szCs w:val="20"/>
          <w:vertAlign w:val="subscript"/>
        </w:rPr>
        <w:t>7</w:t>
      </w:r>
      <w:r>
        <w:rPr>
          <w:color w:val="000000"/>
          <w:sz w:val="20"/>
          <w:szCs w:val="20"/>
        </w:rPr>
        <w:t>).</w:t>
      </w:r>
    </w:p>
    <w:p w14:paraId="38A7AB2C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spacing w:before="166"/>
        <w:rPr>
          <w:color w:val="000000"/>
          <w:sz w:val="20"/>
          <w:szCs w:val="20"/>
        </w:rPr>
      </w:pPr>
    </w:p>
    <w:p w14:paraId="135E9732" w14:textId="77777777" w:rsidR="005B76C1" w:rsidRDefault="00000000">
      <w:pPr>
        <w:ind w:left="13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Caracterização do material:</w:t>
      </w:r>
    </w:p>
    <w:p w14:paraId="2EDB1555" w14:textId="77777777" w:rsidR="005B76C1" w:rsidRDefault="00000000">
      <w:pPr>
        <w:pBdr>
          <w:top w:val="nil"/>
          <w:left w:val="nil"/>
          <w:bottom w:val="nil"/>
          <w:right w:val="nil"/>
          <w:between w:val="nil"/>
        </w:pBdr>
        <w:spacing w:before="83"/>
        <w:ind w:left="134" w:right="135"/>
        <w:jc w:val="both"/>
        <w:rPr>
          <w:color w:val="000000"/>
          <w:sz w:val="20"/>
          <w:szCs w:val="20"/>
        </w:rPr>
        <w:sectPr w:rsidR="005B76C1">
          <w:type w:val="continuous"/>
          <w:pgSz w:w="11920" w:h="16840"/>
          <w:pgMar w:top="0" w:right="141" w:bottom="280" w:left="141" w:header="360" w:footer="360" w:gutter="0"/>
          <w:cols w:num="2" w:space="720" w:equalWidth="0">
            <w:col w:w="5704" w:space="230"/>
            <w:col w:w="5704" w:space="0"/>
          </w:cols>
        </w:sectPr>
      </w:pPr>
      <w:r>
        <w:rPr>
          <w:color w:val="000000"/>
          <w:sz w:val="20"/>
          <w:szCs w:val="20"/>
        </w:rPr>
        <w:t>As amostras foram caracterizadas por espectroscopia UV-Vis e espalhamento dinâmico de luz (EDL) no dia da síntese, no dia seguinte e após 5 dias, a fim de verificar a absorbância e o tamanho médio das nanopartículas, além da sua estabilidade ao longo dos dias.</w:t>
      </w:r>
    </w:p>
    <w:p w14:paraId="25CE3240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26A88F4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C14F252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AA13364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53D6A0F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01A760D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22F97D4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6E08852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spacing w:before="155"/>
        <w:rPr>
          <w:color w:val="000000"/>
          <w:sz w:val="28"/>
          <w:szCs w:val="28"/>
        </w:rPr>
      </w:pPr>
    </w:p>
    <w:p w14:paraId="6EDA5F45" w14:textId="77777777" w:rsidR="005B76C1" w:rsidRDefault="00000000">
      <w:pPr>
        <w:pStyle w:val="Ttulo1"/>
        <w:ind w:left="1564"/>
        <w:jc w:val="left"/>
      </w:pPr>
      <w:r>
        <w:t>Resultados e Discussão</w:t>
      </w:r>
      <w:r>
        <w:rPr>
          <w:noProof/>
        </w:rPr>
        <w:drawing>
          <wp:anchor distT="0" distB="0" distL="0" distR="0" simplePos="0" relativeHeight="251663360" behindDoc="1" locked="0" layoutInCell="1" hidden="0" allowOverlap="1" wp14:anchorId="3C74DC65" wp14:editId="6A37DC04">
            <wp:simplePos x="0" y="0"/>
            <wp:positionH relativeFrom="column">
              <wp:posOffset>-89534</wp:posOffset>
            </wp:positionH>
            <wp:positionV relativeFrom="paragraph">
              <wp:posOffset>-1734045</wp:posOffset>
            </wp:positionV>
            <wp:extent cx="2647950" cy="3057524"/>
            <wp:effectExtent l="0" t="0" r="0" b="0"/>
            <wp:wrapNone/>
            <wp:docPr id="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057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7C0070AC" wp14:editId="37EF73EA">
                <wp:simplePos x="0" y="0"/>
                <wp:positionH relativeFrom="column">
                  <wp:posOffset>3835400</wp:posOffset>
                </wp:positionH>
                <wp:positionV relativeFrom="paragraph">
                  <wp:posOffset>-1498599</wp:posOffset>
                </wp:positionV>
                <wp:extent cx="3495675" cy="4419600"/>
                <wp:effectExtent l="0" t="0" r="0" b="0"/>
                <wp:wrapNone/>
                <wp:docPr id="15" name="Agrupar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5675" cy="4419600"/>
                          <a:chOff x="3598150" y="1570200"/>
                          <a:chExt cx="3495700" cy="4419600"/>
                        </a:xfrm>
                      </wpg:grpSpPr>
                      <wpg:grpSp>
                        <wpg:cNvPr id="901258611" name="Agrupar 901258611"/>
                        <wpg:cNvGrpSpPr/>
                        <wpg:grpSpPr>
                          <a:xfrm>
                            <a:off x="3598163" y="1570200"/>
                            <a:ext cx="3495675" cy="4419600"/>
                            <a:chOff x="0" y="0"/>
                            <a:chExt cx="3495675" cy="4419600"/>
                          </a:xfrm>
                        </wpg:grpSpPr>
                        <wps:wsp>
                          <wps:cNvPr id="33586211" name="Retângulo 33586211"/>
                          <wps:cNvSpPr/>
                          <wps:spPr>
                            <a:xfrm>
                              <a:off x="0" y="0"/>
                              <a:ext cx="3495675" cy="4419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E93E84" w14:textId="77777777" w:rsidR="005B76C1" w:rsidRDefault="005B76C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14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038214" y="0"/>
                              <a:ext cx="1457324" cy="1447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9050" y="2923678"/>
                              <a:ext cx="3419475" cy="1495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1456828"/>
                              <a:ext cx="3457575" cy="1457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-1498599</wp:posOffset>
                </wp:positionV>
                <wp:extent cx="3495675" cy="4419600"/>
                <wp:effectExtent b="0" l="0" r="0" t="0"/>
                <wp:wrapNone/>
                <wp:docPr id="1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5675" cy="441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A85BDB9" w14:textId="77777777" w:rsidR="005B76C1" w:rsidRDefault="00000000">
      <w:pPr>
        <w:pBdr>
          <w:top w:val="nil"/>
          <w:left w:val="nil"/>
          <w:bottom w:val="nil"/>
          <w:right w:val="nil"/>
          <w:between w:val="nil"/>
        </w:pBdr>
        <w:spacing w:before="70"/>
        <w:ind w:left="134" w:right="598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mudança da coloração das amostras para vermelho confirmou a formação das nanopartículas de selênio. A solução tende a mudar de cor de acordo com o tamanho das partículas. Como pode ser observado nas Figuras 1 e 2, os espectros na região do UV-Vis apresentaram uma ampla banda de absorção, com máximo de absorbância em aproximadamente 350 </w:t>
      </w:r>
      <w:proofErr w:type="spellStart"/>
      <w:r>
        <w:rPr>
          <w:color w:val="000000"/>
          <w:sz w:val="20"/>
          <w:szCs w:val="20"/>
        </w:rPr>
        <w:t>nm</w:t>
      </w:r>
      <w:proofErr w:type="spellEnd"/>
      <w:r>
        <w:rPr>
          <w:color w:val="000000"/>
          <w:sz w:val="20"/>
          <w:szCs w:val="20"/>
        </w:rPr>
        <w:t xml:space="preserve">, o que é característico das </w:t>
      </w:r>
      <w:proofErr w:type="spellStart"/>
      <w:r>
        <w:rPr>
          <w:color w:val="000000"/>
          <w:sz w:val="20"/>
          <w:szCs w:val="20"/>
        </w:rPr>
        <w:t>SeNPs</w:t>
      </w:r>
      <w:proofErr w:type="spellEnd"/>
      <w:r>
        <w:rPr>
          <w:color w:val="000000"/>
          <w:sz w:val="20"/>
          <w:szCs w:val="20"/>
        </w:rPr>
        <w:t>.</w:t>
      </w:r>
      <w:r>
        <w:rPr>
          <w:noProof/>
        </w:rPr>
        <w:drawing>
          <wp:anchor distT="0" distB="0" distL="0" distR="0" simplePos="0" relativeHeight="251665408" behindDoc="0" locked="0" layoutInCell="1" hidden="0" allowOverlap="1" wp14:anchorId="783EB48B" wp14:editId="18A11EDA">
            <wp:simplePos x="0" y="0"/>
            <wp:positionH relativeFrom="column">
              <wp:posOffset>247650</wp:posOffset>
            </wp:positionH>
            <wp:positionV relativeFrom="paragraph">
              <wp:posOffset>1247826</wp:posOffset>
            </wp:positionV>
            <wp:extent cx="2733675" cy="2076450"/>
            <wp:effectExtent l="0" t="0" r="0" b="0"/>
            <wp:wrapNone/>
            <wp:docPr id="18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076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CC2C2A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EC70573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428DD79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EC55CD9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87CE44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900F3F2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49B84AC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D3D9AC4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F673AB4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643DBA4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44DEAA9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C302532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spacing w:before="174"/>
        <w:rPr>
          <w:color w:val="000000"/>
          <w:sz w:val="20"/>
          <w:szCs w:val="20"/>
        </w:rPr>
        <w:sectPr w:rsidR="005B76C1">
          <w:pgSz w:w="11920" w:h="16840"/>
          <w:pgMar w:top="0" w:right="141" w:bottom="280" w:left="141" w:header="360" w:footer="360" w:gutter="0"/>
          <w:cols w:space="720"/>
        </w:sectPr>
      </w:pPr>
    </w:p>
    <w:p w14:paraId="4E0FB3CC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B7181A2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C870C9A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3FB473D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spacing w:before="134"/>
        <w:rPr>
          <w:color w:val="000000"/>
          <w:sz w:val="20"/>
          <w:szCs w:val="20"/>
        </w:rPr>
      </w:pPr>
    </w:p>
    <w:p w14:paraId="19E8BA17" w14:textId="77777777" w:rsidR="005B76C1" w:rsidRDefault="00000000" w:rsidP="009D5D32">
      <w:pPr>
        <w:pBdr>
          <w:top w:val="nil"/>
          <w:left w:val="nil"/>
          <w:bottom w:val="nil"/>
          <w:right w:val="nil"/>
          <w:between w:val="nil"/>
        </w:pBdr>
        <w:spacing w:before="1" w:line="280" w:lineRule="auto"/>
        <w:ind w:left="149" w:right="3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Figura 1. </w:t>
      </w:r>
      <w:r>
        <w:rPr>
          <w:color w:val="000000"/>
          <w:sz w:val="20"/>
          <w:szCs w:val="20"/>
        </w:rPr>
        <w:t xml:space="preserve">Espectros de absorção UV-Visível de uma amostra de </w:t>
      </w:r>
      <w:proofErr w:type="spellStart"/>
      <w:r>
        <w:rPr>
          <w:color w:val="000000"/>
          <w:sz w:val="20"/>
          <w:szCs w:val="20"/>
        </w:rPr>
        <w:t>SeNPs</w:t>
      </w:r>
      <w:proofErr w:type="spellEnd"/>
      <w:r>
        <w:rPr>
          <w:color w:val="000000"/>
          <w:sz w:val="20"/>
          <w:szCs w:val="20"/>
        </w:rPr>
        <w:t xml:space="preserve"> após 10 minutos de síntese, acompanhada no dia da síntese, no dia seguinte e após 5 dias.</w:t>
      </w:r>
    </w:p>
    <w:p w14:paraId="1037D069" w14:textId="77777777" w:rsidR="005B76C1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8"/>
          <w:szCs w:val="8"/>
        </w:rPr>
      </w:pPr>
      <w:r>
        <w:rPr>
          <w:noProof/>
        </w:rPr>
        <w:drawing>
          <wp:anchor distT="0" distB="0" distL="0" distR="0" simplePos="0" relativeHeight="251666432" behindDoc="0" locked="0" layoutInCell="1" hidden="0" allowOverlap="1" wp14:anchorId="78294977" wp14:editId="62F443E1">
            <wp:simplePos x="0" y="0"/>
            <wp:positionH relativeFrom="column">
              <wp:posOffset>247650</wp:posOffset>
            </wp:positionH>
            <wp:positionV relativeFrom="paragraph">
              <wp:posOffset>74639</wp:posOffset>
            </wp:positionV>
            <wp:extent cx="2754083" cy="2082355"/>
            <wp:effectExtent l="0" t="0" r="0" b="0"/>
            <wp:wrapTopAndBottom distT="0" distB="0"/>
            <wp:docPr id="2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4083" cy="2082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430DA2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spacing w:before="179"/>
        <w:rPr>
          <w:color w:val="000000"/>
          <w:sz w:val="20"/>
          <w:szCs w:val="20"/>
        </w:rPr>
      </w:pPr>
    </w:p>
    <w:p w14:paraId="4F6ED040" w14:textId="7E28C58E" w:rsidR="005B76C1" w:rsidRDefault="00000000" w:rsidP="009D5D32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149" w:right="3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Figura 2. </w:t>
      </w:r>
      <w:r>
        <w:rPr>
          <w:color w:val="000000"/>
          <w:sz w:val="20"/>
          <w:szCs w:val="20"/>
        </w:rPr>
        <w:t>Espectro</w:t>
      </w:r>
      <w:r w:rsidR="009D5D32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de absorção na faixa do UV-Visível de uma amostra de </w:t>
      </w:r>
      <w:proofErr w:type="spellStart"/>
      <w:r>
        <w:rPr>
          <w:color w:val="000000"/>
          <w:sz w:val="20"/>
          <w:szCs w:val="20"/>
        </w:rPr>
        <w:t>SeNPs</w:t>
      </w:r>
      <w:proofErr w:type="spellEnd"/>
      <w:r>
        <w:rPr>
          <w:color w:val="000000"/>
          <w:sz w:val="20"/>
          <w:szCs w:val="20"/>
        </w:rPr>
        <w:t xml:space="preserve"> após 120 minutos síntese, acompanhada no dia da síntese, no dia seguinte e após 5 dias.</w:t>
      </w:r>
    </w:p>
    <w:p w14:paraId="6937FD44" w14:textId="39BF4B14" w:rsidR="005B76C1" w:rsidRDefault="00000000" w:rsidP="009D5D32">
      <w:pPr>
        <w:pBdr>
          <w:top w:val="nil"/>
          <w:left w:val="nil"/>
          <w:bottom w:val="nil"/>
          <w:right w:val="nil"/>
          <w:between w:val="nil"/>
        </w:pBdr>
        <w:spacing w:before="123"/>
        <w:ind w:left="269" w:right="4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 análises de EDL mostraram que </w:t>
      </w:r>
      <w:r w:rsidR="009D5D32">
        <w:rPr>
          <w:color w:val="000000"/>
          <w:sz w:val="20"/>
          <w:szCs w:val="20"/>
        </w:rPr>
        <w:t>os tamanhos das nanopartículas variam</w:t>
      </w:r>
      <w:r>
        <w:rPr>
          <w:color w:val="000000"/>
          <w:sz w:val="20"/>
          <w:szCs w:val="20"/>
        </w:rPr>
        <w:t xml:space="preserve"> de acordo com o tempo de síntese, como mostrado na </w:t>
      </w:r>
      <w:r w:rsidR="009D5D32">
        <w:rPr>
          <w:color w:val="000000"/>
          <w:sz w:val="20"/>
          <w:szCs w:val="20"/>
        </w:rPr>
        <w:t>F</w:t>
      </w:r>
      <w:r>
        <w:rPr>
          <w:color w:val="000000"/>
          <w:sz w:val="20"/>
          <w:szCs w:val="20"/>
        </w:rPr>
        <w:t xml:space="preserve">igura 3. O tamanho médio das </w:t>
      </w:r>
      <w:proofErr w:type="spellStart"/>
      <w:r>
        <w:rPr>
          <w:color w:val="000000"/>
          <w:sz w:val="20"/>
          <w:szCs w:val="20"/>
        </w:rPr>
        <w:t>SeNPs</w:t>
      </w:r>
      <w:proofErr w:type="spellEnd"/>
      <w:r>
        <w:rPr>
          <w:color w:val="000000"/>
          <w:sz w:val="20"/>
          <w:szCs w:val="20"/>
        </w:rPr>
        <w:t xml:space="preserve"> após 10 minutos de banho </w:t>
      </w:r>
      <w:r w:rsidR="009D5D32">
        <w:rPr>
          <w:color w:val="000000"/>
          <w:sz w:val="20"/>
          <w:szCs w:val="20"/>
        </w:rPr>
        <w:t>foi</w:t>
      </w:r>
      <w:r>
        <w:rPr>
          <w:color w:val="000000"/>
          <w:sz w:val="20"/>
          <w:szCs w:val="20"/>
        </w:rPr>
        <w:t xml:space="preserve"> de 1,3 </w:t>
      </w:r>
      <w:proofErr w:type="spellStart"/>
      <w:r>
        <w:rPr>
          <w:color w:val="000000"/>
          <w:sz w:val="20"/>
          <w:szCs w:val="20"/>
        </w:rPr>
        <w:t>nm</w:t>
      </w:r>
      <w:proofErr w:type="spellEnd"/>
      <w:r>
        <w:rPr>
          <w:color w:val="000000"/>
          <w:sz w:val="20"/>
          <w:szCs w:val="20"/>
        </w:rPr>
        <w:t>, enquanto o tamanho médio após 120 minutos de banho</w:t>
      </w:r>
      <w:r w:rsidR="009D5D32">
        <w:rPr>
          <w:color w:val="000000"/>
          <w:sz w:val="20"/>
          <w:szCs w:val="20"/>
        </w:rPr>
        <w:t xml:space="preserve"> foi</w:t>
      </w:r>
      <w:r>
        <w:rPr>
          <w:color w:val="000000"/>
          <w:sz w:val="20"/>
          <w:szCs w:val="20"/>
        </w:rPr>
        <w:t xml:space="preserve"> de 38,8 </w:t>
      </w:r>
      <w:proofErr w:type="spellStart"/>
      <w:r>
        <w:rPr>
          <w:color w:val="000000"/>
          <w:sz w:val="20"/>
          <w:szCs w:val="20"/>
        </w:rPr>
        <w:t>nm</w:t>
      </w:r>
      <w:proofErr w:type="spellEnd"/>
      <w:r>
        <w:rPr>
          <w:color w:val="000000"/>
          <w:sz w:val="20"/>
          <w:szCs w:val="20"/>
        </w:rPr>
        <w:t>.</w:t>
      </w:r>
    </w:p>
    <w:p w14:paraId="23FC07A0" w14:textId="374629D5" w:rsidR="005B76C1" w:rsidRDefault="00000000">
      <w:pPr>
        <w:pBdr>
          <w:top w:val="nil"/>
          <w:left w:val="nil"/>
          <w:bottom w:val="nil"/>
          <w:right w:val="nil"/>
          <w:between w:val="nil"/>
        </w:pBdr>
        <w:spacing w:before="92" w:line="280" w:lineRule="auto"/>
        <w:ind w:left="164"/>
        <w:rPr>
          <w:color w:val="000000"/>
          <w:sz w:val="20"/>
          <w:szCs w:val="20"/>
        </w:rPr>
      </w:pPr>
      <w:r>
        <w:br w:type="column"/>
      </w:r>
      <w:r>
        <w:rPr>
          <w:b/>
          <w:color w:val="000000"/>
          <w:sz w:val="20"/>
          <w:szCs w:val="20"/>
        </w:rPr>
        <w:t xml:space="preserve">Figura 3. </w:t>
      </w:r>
      <w:r w:rsidR="009D5D32" w:rsidRPr="009D5D32">
        <w:rPr>
          <w:bCs/>
          <w:color w:val="000000"/>
          <w:sz w:val="20"/>
          <w:szCs w:val="20"/>
        </w:rPr>
        <w:t xml:space="preserve">Gráficos de número diferencial versus diâmetro obtidos por EDL </w:t>
      </w:r>
      <w:r w:rsidRPr="009D5D32">
        <w:rPr>
          <w:bCs/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>endo o primeiro correspondente a amostra de 10 min e o segundo correspondente a amostra de 120 min, ambas no dia 1.</w:t>
      </w:r>
    </w:p>
    <w:p w14:paraId="16BD4A83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color w:val="000000"/>
          <w:sz w:val="20"/>
          <w:szCs w:val="20"/>
        </w:rPr>
      </w:pPr>
    </w:p>
    <w:p w14:paraId="76E03EB5" w14:textId="77777777" w:rsidR="005B76C1" w:rsidRDefault="00000000">
      <w:pPr>
        <w:pStyle w:val="Ttulo1"/>
        <w:ind w:firstLine="167"/>
      </w:pPr>
      <w:r>
        <w:t>Conclusões</w:t>
      </w:r>
    </w:p>
    <w:p w14:paraId="13D28BA9" w14:textId="77777777" w:rsidR="005B76C1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left="149" w:right="17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Tendo em vista os resultados obtidos, foi possível avaliar que o controle da temperatura e do tempo de síntese, bem como a concentração do ligante, são fatores essenciais na determinação do tamanho e da estabilidade das nanopartículas. Isso porque, ao se variar essas condições de síntese, é possível obter diferentes perfis de </w:t>
      </w:r>
      <w:proofErr w:type="spellStart"/>
      <w:r>
        <w:rPr>
          <w:color w:val="000000"/>
          <w:sz w:val="20"/>
          <w:szCs w:val="20"/>
        </w:rPr>
        <w:t>SeNPs</w:t>
      </w:r>
      <w:proofErr w:type="spellEnd"/>
      <w:r>
        <w:rPr>
          <w:color w:val="000000"/>
          <w:sz w:val="20"/>
          <w:szCs w:val="20"/>
        </w:rPr>
        <w:t>, com distintas variações de tamanho.</w:t>
      </w:r>
    </w:p>
    <w:p w14:paraId="0F448713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2FE8B9D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p w14:paraId="0A3EEA38" w14:textId="77777777" w:rsidR="005B76C1" w:rsidRDefault="00000000">
      <w:pPr>
        <w:pStyle w:val="Ttulo1"/>
        <w:ind w:firstLine="167"/>
      </w:pPr>
      <w:r>
        <w:t>Agradecimentos</w:t>
      </w:r>
    </w:p>
    <w:p w14:paraId="2AAC1434" w14:textId="77777777" w:rsidR="005B76C1" w:rsidRDefault="00000000">
      <w:pPr>
        <w:pBdr>
          <w:top w:val="nil"/>
          <w:left w:val="nil"/>
          <w:bottom w:val="nil"/>
          <w:right w:val="nil"/>
          <w:between w:val="nil"/>
        </w:pBdr>
        <w:spacing w:before="83"/>
        <w:ind w:left="164" w:right="21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Os autores agradecem às agências de fomento FAPEMIG, CAPES, FINEP e </w:t>
      </w:r>
      <w:proofErr w:type="spellStart"/>
      <w:r>
        <w:rPr>
          <w:color w:val="000000"/>
          <w:sz w:val="20"/>
          <w:szCs w:val="20"/>
        </w:rPr>
        <w:t>CNPq</w:t>
      </w:r>
      <w:proofErr w:type="spellEnd"/>
      <w:r>
        <w:rPr>
          <w:color w:val="000000"/>
          <w:sz w:val="20"/>
          <w:szCs w:val="20"/>
        </w:rPr>
        <w:t>.</w:t>
      </w:r>
    </w:p>
    <w:p w14:paraId="268FC8AA" w14:textId="77777777" w:rsidR="005B76C1" w:rsidRDefault="005B76C1">
      <w:pPr>
        <w:pBdr>
          <w:top w:val="nil"/>
          <w:left w:val="nil"/>
          <w:bottom w:val="nil"/>
          <w:right w:val="nil"/>
          <w:between w:val="nil"/>
        </w:pBdr>
        <w:spacing w:before="170"/>
        <w:rPr>
          <w:color w:val="000000"/>
          <w:sz w:val="20"/>
          <w:szCs w:val="20"/>
        </w:rPr>
      </w:pPr>
    </w:p>
    <w:p w14:paraId="7511D6F4" w14:textId="77777777" w:rsidR="005B76C1" w:rsidRDefault="00000000">
      <w:pPr>
        <w:pStyle w:val="Ttulo1"/>
        <w:ind w:right="15" w:firstLine="167"/>
      </w:pPr>
      <w:r>
        <w:t>Referências</w:t>
      </w:r>
    </w:p>
    <w:p w14:paraId="48704D7E" w14:textId="77777777" w:rsidR="005B76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</w:tabs>
        <w:spacing w:before="308"/>
        <w:ind w:left="373" w:hanging="224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A. </w:t>
      </w:r>
      <w:proofErr w:type="spellStart"/>
      <w:r>
        <w:rPr>
          <w:color w:val="000000"/>
          <w:sz w:val="20"/>
          <w:szCs w:val="20"/>
        </w:rPr>
        <w:t>Rahman</w:t>
      </w:r>
      <w:proofErr w:type="spellEnd"/>
      <w:r>
        <w:rPr>
          <w:color w:val="000000"/>
          <w:sz w:val="20"/>
          <w:szCs w:val="20"/>
        </w:rPr>
        <w:t xml:space="preserve">; B. </w:t>
      </w:r>
      <w:proofErr w:type="spellStart"/>
      <w:r>
        <w:rPr>
          <w:color w:val="000000"/>
          <w:sz w:val="20"/>
          <w:szCs w:val="20"/>
        </w:rPr>
        <w:t>Krause</w:t>
      </w:r>
      <w:proofErr w:type="spellEnd"/>
      <w:r>
        <w:rPr>
          <w:color w:val="000000"/>
          <w:sz w:val="20"/>
          <w:szCs w:val="20"/>
        </w:rPr>
        <w:t xml:space="preserve">; T. </w:t>
      </w:r>
      <w:proofErr w:type="spellStart"/>
      <w:r>
        <w:rPr>
          <w:color w:val="000000"/>
          <w:sz w:val="20"/>
          <w:szCs w:val="20"/>
        </w:rPr>
        <w:t>Hoang</w:t>
      </w:r>
      <w:proofErr w:type="spellEnd"/>
      <w:r>
        <w:rPr>
          <w:color w:val="000000"/>
          <w:sz w:val="20"/>
          <w:szCs w:val="20"/>
        </w:rPr>
        <w:t xml:space="preserve">; G. </w:t>
      </w:r>
      <w:proofErr w:type="spellStart"/>
      <w:r>
        <w:rPr>
          <w:color w:val="000000"/>
          <w:sz w:val="20"/>
          <w:szCs w:val="20"/>
        </w:rPr>
        <w:t>Guisbiers</w:t>
      </w:r>
      <w:proofErr w:type="spellEnd"/>
      <w:r>
        <w:rPr>
          <w:color w:val="000000"/>
          <w:sz w:val="20"/>
          <w:szCs w:val="20"/>
        </w:rPr>
        <w:t xml:space="preserve">, </w:t>
      </w:r>
      <w:r>
        <w:rPr>
          <w:i/>
          <w:color w:val="000000"/>
          <w:sz w:val="20"/>
          <w:szCs w:val="20"/>
        </w:rPr>
        <w:t xml:space="preserve">J. </w:t>
      </w:r>
      <w:proofErr w:type="spellStart"/>
      <w:r>
        <w:rPr>
          <w:i/>
          <w:color w:val="000000"/>
          <w:sz w:val="20"/>
          <w:szCs w:val="20"/>
        </w:rPr>
        <w:t>Phys</w:t>
      </w:r>
      <w:proofErr w:type="spellEnd"/>
      <w:r>
        <w:rPr>
          <w:i/>
          <w:color w:val="000000"/>
          <w:sz w:val="20"/>
          <w:szCs w:val="20"/>
        </w:rPr>
        <w:t xml:space="preserve">. </w:t>
      </w:r>
      <w:proofErr w:type="spellStart"/>
      <w:r>
        <w:rPr>
          <w:i/>
          <w:color w:val="000000"/>
          <w:sz w:val="20"/>
          <w:szCs w:val="20"/>
        </w:rPr>
        <w:t>Chem</w:t>
      </w:r>
      <w:proofErr w:type="spellEnd"/>
      <w:r>
        <w:rPr>
          <w:i/>
          <w:color w:val="000000"/>
          <w:sz w:val="20"/>
          <w:szCs w:val="20"/>
        </w:rPr>
        <w:t>. C</w:t>
      </w:r>
    </w:p>
    <w:p w14:paraId="1759C88C" w14:textId="77777777" w:rsidR="005B76C1" w:rsidRDefault="00000000">
      <w:pPr>
        <w:pBdr>
          <w:top w:val="nil"/>
          <w:left w:val="nil"/>
          <w:bottom w:val="nil"/>
          <w:right w:val="nil"/>
          <w:between w:val="nil"/>
        </w:pBdr>
        <w:ind w:left="14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2023, </w:t>
      </w:r>
      <w:r>
        <w:rPr>
          <w:i/>
          <w:color w:val="000000"/>
          <w:sz w:val="20"/>
          <w:szCs w:val="20"/>
        </w:rPr>
        <w:t>127</w:t>
      </w:r>
      <w:r>
        <w:rPr>
          <w:color w:val="000000"/>
          <w:sz w:val="20"/>
          <w:szCs w:val="20"/>
        </w:rPr>
        <w:t>, 12345–12352.</w:t>
      </w:r>
    </w:p>
    <w:p w14:paraId="6A6F5A4E" w14:textId="77777777" w:rsidR="005B76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8"/>
        </w:tabs>
        <w:spacing w:before="39"/>
        <w:ind w:left="358" w:hanging="2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S. </w:t>
      </w:r>
      <w:proofErr w:type="spellStart"/>
      <w:r>
        <w:rPr>
          <w:color w:val="000000"/>
          <w:sz w:val="20"/>
          <w:szCs w:val="20"/>
        </w:rPr>
        <w:t>Skalickova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et</w:t>
      </w:r>
      <w:proofErr w:type="spellEnd"/>
      <w:r>
        <w:rPr>
          <w:i/>
          <w:color w:val="000000"/>
          <w:sz w:val="20"/>
          <w:szCs w:val="20"/>
        </w:rPr>
        <w:t xml:space="preserve"> al.</w:t>
      </w:r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i/>
          <w:color w:val="000000"/>
          <w:sz w:val="20"/>
          <w:szCs w:val="20"/>
        </w:rPr>
        <w:t>Nutrition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2017, </w:t>
      </w:r>
      <w:r>
        <w:rPr>
          <w:i/>
          <w:color w:val="000000"/>
          <w:sz w:val="20"/>
          <w:szCs w:val="20"/>
        </w:rPr>
        <w:t>33</w:t>
      </w:r>
      <w:r>
        <w:rPr>
          <w:color w:val="000000"/>
          <w:sz w:val="20"/>
          <w:szCs w:val="20"/>
        </w:rPr>
        <w:t>.</w:t>
      </w:r>
    </w:p>
    <w:p w14:paraId="4CE84C0F" w14:textId="77777777" w:rsidR="005B76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9"/>
        </w:tabs>
        <w:spacing w:before="39"/>
        <w:ind w:left="149" w:right="382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C. M. </w:t>
      </w:r>
      <w:proofErr w:type="spellStart"/>
      <w:r>
        <w:rPr>
          <w:color w:val="000000"/>
          <w:sz w:val="20"/>
          <w:szCs w:val="20"/>
        </w:rPr>
        <w:t>Weekley</w:t>
      </w:r>
      <w:proofErr w:type="spellEnd"/>
      <w:r>
        <w:rPr>
          <w:color w:val="000000"/>
          <w:sz w:val="20"/>
          <w:szCs w:val="20"/>
        </w:rPr>
        <w:t xml:space="preserve">; H. H. </w:t>
      </w:r>
      <w:proofErr w:type="spellStart"/>
      <w:r>
        <w:rPr>
          <w:color w:val="000000"/>
          <w:sz w:val="20"/>
          <w:szCs w:val="20"/>
        </w:rPr>
        <w:t>Harris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i/>
          <w:color w:val="000000"/>
          <w:sz w:val="20"/>
          <w:szCs w:val="20"/>
        </w:rPr>
        <w:t>Chem</w:t>
      </w:r>
      <w:proofErr w:type="spellEnd"/>
      <w:r>
        <w:rPr>
          <w:i/>
          <w:color w:val="000000"/>
          <w:sz w:val="20"/>
          <w:szCs w:val="20"/>
        </w:rPr>
        <w:t xml:space="preserve">. </w:t>
      </w:r>
      <w:proofErr w:type="spellStart"/>
      <w:r>
        <w:rPr>
          <w:i/>
          <w:color w:val="000000"/>
          <w:sz w:val="20"/>
          <w:szCs w:val="20"/>
        </w:rPr>
        <w:t>Soc</w:t>
      </w:r>
      <w:proofErr w:type="spellEnd"/>
      <w:r>
        <w:rPr>
          <w:i/>
          <w:color w:val="000000"/>
          <w:sz w:val="20"/>
          <w:szCs w:val="20"/>
        </w:rPr>
        <w:t xml:space="preserve">. Rev. </w:t>
      </w:r>
      <w:r>
        <w:rPr>
          <w:color w:val="000000"/>
          <w:sz w:val="20"/>
          <w:szCs w:val="20"/>
        </w:rPr>
        <w:t xml:space="preserve">2013, </w:t>
      </w:r>
      <w:r>
        <w:rPr>
          <w:i/>
          <w:color w:val="000000"/>
          <w:sz w:val="20"/>
          <w:szCs w:val="20"/>
        </w:rPr>
        <w:t>42</w:t>
      </w:r>
      <w:r>
        <w:rPr>
          <w:color w:val="000000"/>
          <w:sz w:val="20"/>
          <w:szCs w:val="20"/>
        </w:rPr>
        <w:t>, 8870–8894.</w:t>
      </w:r>
    </w:p>
    <w:p w14:paraId="06BAC09B" w14:textId="77777777" w:rsidR="005B76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3"/>
        </w:tabs>
        <w:spacing w:before="39"/>
        <w:ind w:left="403" w:hanging="254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L. B. Maia; B. K. </w:t>
      </w:r>
      <w:proofErr w:type="spellStart"/>
      <w:r>
        <w:rPr>
          <w:color w:val="000000"/>
          <w:sz w:val="20"/>
          <w:szCs w:val="20"/>
        </w:rPr>
        <w:t>Maiti</w:t>
      </w:r>
      <w:proofErr w:type="spellEnd"/>
      <w:r>
        <w:rPr>
          <w:color w:val="000000"/>
          <w:sz w:val="20"/>
          <w:szCs w:val="20"/>
        </w:rPr>
        <w:t xml:space="preserve">; I. Moura; J. J. G. Moura, </w:t>
      </w:r>
      <w:proofErr w:type="spellStart"/>
      <w:r>
        <w:rPr>
          <w:i/>
          <w:color w:val="000000"/>
          <w:sz w:val="20"/>
          <w:szCs w:val="20"/>
        </w:rPr>
        <w:t>Molecules</w:t>
      </w:r>
      <w:proofErr w:type="spellEnd"/>
    </w:p>
    <w:p w14:paraId="457BB607" w14:textId="77777777" w:rsidR="005B76C1" w:rsidRDefault="00000000">
      <w:pPr>
        <w:pBdr>
          <w:top w:val="nil"/>
          <w:left w:val="nil"/>
          <w:bottom w:val="nil"/>
          <w:right w:val="nil"/>
          <w:between w:val="nil"/>
        </w:pBdr>
        <w:ind w:left="14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2023, </w:t>
      </w:r>
      <w:r>
        <w:rPr>
          <w:i/>
          <w:color w:val="000000"/>
          <w:sz w:val="20"/>
          <w:szCs w:val="20"/>
        </w:rPr>
        <w:t>29</w:t>
      </w:r>
      <w:r>
        <w:rPr>
          <w:color w:val="000000"/>
          <w:sz w:val="20"/>
          <w:szCs w:val="20"/>
        </w:rPr>
        <w:t>, 120.</w:t>
      </w:r>
    </w:p>
    <w:p w14:paraId="3602FB77" w14:textId="77777777" w:rsidR="005B76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</w:tabs>
        <w:spacing w:before="39"/>
        <w:ind w:left="373" w:hanging="22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B. </w:t>
      </w:r>
      <w:proofErr w:type="spellStart"/>
      <w:r>
        <w:rPr>
          <w:color w:val="000000"/>
          <w:sz w:val="20"/>
          <w:szCs w:val="20"/>
        </w:rPr>
        <w:t>Yu</w:t>
      </w:r>
      <w:proofErr w:type="spellEnd"/>
      <w:r>
        <w:rPr>
          <w:color w:val="000000"/>
          <w:sz w:val="20"/>
          <w:szCs w:val="20"/>
        </w:rPr>
        <w:t xml:space="preserve">; Y. </w:t>
      </w:r>
      <w:proofErr w:type="spellStart"/>
      <w:r>
        <w:rPr>
          <w:color w:val="000000"/>
          <w:sz w:val="20"/>
          <w:szCs w:val="20"/>
        </w:rPr>
        <w:t>Zhang</w:t>
      </w:r>
      <w:proofErr w:type="spellEnd"/>
      <w:r>
        <w:rPr>
          <w:color w:val="000000"/>
          <w:sz w:val="20"/>
          <w:szCs w:val="20"/>
        </w:rPr>
        <w:t xml:space="preserve">; W. </w:t>
      </w:r>
      <w:proofErr w:type="spellStart"/>
      <w:r>
        <w:rPr>
          <w:color w:val="000000"/>
          <w:sz w:val="20"/>
          <w:szCs w:val="20"/>
        </w:rPr>
        <w:t>Zheng</w:t>
      </w:r>
      <w:proofErr w:type="spellEnd"/>
      <w:r>
        <w:rPr>
          <w:color w:val="000000"/>
          <w:sz w:val="20"/>
          <w:szCs w:val="20"/>
        </w:rPr>
        <w:t xml:space="preserve">; C. Fan; T. </w:t>
      </w:r>
      <w:proofErr w:type="spellStart"/>
      <w:r>
        <w:rPr>
          <w:color w:val="000000"/>
          <w:sz w:val="20"/>
          <w:szCs w:val="20"/>
        </w:rPr>
        <w:t>Chen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i/>
          <w:color w:val="000000"/>
          <w:sz w:val="20"/>
          <w:szCs w:val="20"/>
        </w:rPr>
        <w:t>Inorg</w:t>
      </w:r>
      <w:proofErr w:type="spellEnd"/>
      <w:r>
        <w:rPr>
          <w:i/>
          <w:color w:val="000000"/>
          <w:sz w:val="20"/>
          <w:szCs w:val="20"/>
        </w:rPr>
        <w:t xml:space="preserve">. </w:t>
      </w:r>
      <w:proofErr w:type="spellStart"/>
      <w:r>
        <w:rPr>
          <w:i/>
          <w:color w:val="000000"/>
          <w:sz w:val="20"/>
          <w:szCs w:val="20"/>
        </w:rPr>
        <w:t>Chem</w:t>
      </w:r>
      <w:proofErr w:type="spellEnd"/>
      <w:r>
        <w:rPr>
          <w:i/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2012,</w:t>
      </w:r>
    </w:p>
    <w:p w14:paraId="2B75E4AA" w14:textId="77777777" w:rsidR="005B76C1" w:rsidRDefault="00000000">
      <w:pPr>
        <w:pBdr>
          <w:top w:val="nil"/>
          <w:left w:val="nil"/>
          <w:bottom w:val="nil"/>
          <w:right w:val="nil"/>
          <w:between w:val="nil"/>
        </w:pBdr>
        <w:ind w:left="149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51</w:t>
      </w:r>
      <w:r>
        <w:rPr>
          <w:color w:val="000000"/>
          <w:sz w:val="20"/>
          <w:szCs w:val="20"/>
        </w:rPr>
        <w:t>, 8956–8963.</w:t>
      </w:r>
    </w:p>
    <w:p w14:paraId="64D21ED4" w14:textId="77777777" w:rsidR="005B76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8"/>
        </w:tabs>
        <w:spacing w:before="39"/>
        <w:ind w:left="358" w:hanging="2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V. </w:t>
      </w:r>
      <w:proofErr w:type="spellStart"/>
      <w:r>
        <w:rPr>
          <w:color w:val="000000"/>
          <w:sz w:val="20"/>
          <w:szCs w:val="20"/>
        </w:rPr>
        <w:t>Alagesan</w:t>
      </w:r>
      <w:proofErr w:type="spellEnd"/>
      <w:r>
        <w:rPr>
          <w:color w:val="000000"/>
          <w:sz w:val="20"/>
          <w:szCs w:val="20"/>
        </w:rPr>
        <w:t xml:space="preserve">; S. </w:t>
      </w:r>
      <w:proofErr w:type="spellStart"/>
      <w:r>
        <w:rPr>
          <w:color w:val="000000"/>
          <w:sz w:val="20"/>
          <w:szCs w:val="20"/>
        </w:rPr>
        <w:t>Venugopal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i/>
          <w:color w:val="000000"/>
          <w:sz w:val="20"/>
          <w:szCs w:val="20"/>
        </w:rPr>
        <w:t>BioNanoScience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2018, </w:t>
      </w:r>
      <w:r>
        <w:rPr>
          <w:i/>
          <w:color w:val="000000"/>
          <w:sz w:val="20"/>
          <w:szCs w:val="20"/>
        </w:rPr>
        <w:t>9</w:t>
      </w:r>
      <w:r>
        <w:rPr>
          <w:color w:val="000000"/>
          <w:sz w:val="20"/>
          <w:szCs w:val="20"/>
        </w:rPr>
        <w:t>, 150–158.</w:t>
      </w:r>
    </w:p>
    <w:p w14:paraId="6BF59962" w14:textId="77777777" w:rsidR="005B76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8"/>
        </w:tabs>
        <w:spacing w:before="39"/>
        <w:ind w:left="358" w:hanging="2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X. </w:t>
      </w:r>
      <w:proofErr w:type="spellStart"/>
      <w:r>
        <w:rPr>
          <w:color w:val="000000"/>
          <w:sz w:val="20"/>
          <w:szCs w:val="20"/>
        </w:rPr>
        <w:t>Xiao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et</w:t>
      </w:r>
      <w:proofErr w:type="spellEnd"/>
      <w:r>
        <w:rPr>
          <w:i/>
          <w:color w:val="000000"/>
          <w:sz w:val="20"/>
          <w:szCs w:val="20"/>
        </w:rPr>
        <w:t xml:space="preserve"> al.</w:t>
      </w:r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i/>
          <w:color w:val="000000"/>
          <w:sz w:val="20"/>
          <w:szCs w:val="20"/>
        </w:rPr>
        <w:t>Chem</w:t>
      </w:r>
      <w:proofErr w:type="spellEnd"/>
      <w:r>
        <w:rPr>
          <w:i/>
          <w:color w:val="000000"/>
          <w:sz w:val="20"/>
          <w:szCs w:val="20"/>
        </w:rPr>
        <w:t xml:space="preserve">. </w:t>
      </w:r>
      <w:proofErr w:type="spellStart"/>
      <w:r>
        <w:rPr>
          <w:i/>
          <w:color w:val="000000"/>
          <w:sz w:val="20"/>
          <w:szCs w:val="20"/>
        </w:rPr>
        <w:t>Biol</w:t>
      </w:r>
      <w:proofErr w:type="spellEnd"/>
      <w:r>
        <w:rPr>
          <w:i/>
          <w:color w:val="000000"/>
          <w:sz w:val="20"/>
          <w:szCs w:val="20"/>
        </w:rPr>
        <w:t xml:space="preserve">. </w:t>
      </w:r>
      <w:proofErr w:type="spellStart"/>
      <w:r>
        <w:rPr>
          <w:i/>
          <w:color w:val="000000"/>
          <w:sz w:val="20"/>
          <w:szCs w:val="20"/>
        </w:rPr>
        <w:t>Interact</w:t>
      </w:r>
      <w:proofErr w:type="spellEnd"/>
      <w:r>
        <w:rPr>
          <w:i/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2023, </w:t>
      </w:r>
      <w:r>
        <w:rPr>
          <w:i/>
          <w:color w:val="000000"/>
          <w:sz w:val="20"/>
          <w:szCs w:val="20"/>
        </w:rPr>
        <w:t>378</w:t>
      </w:r>
      <w:r>
        <w:rPr>
          <w:color w:val="000000"/>
          <w:sz w:val="20"/>
          <w:szCs w:val="20"/>
        </w:rPr>
        <w:t>, 110483.</w:t>
      </w:r>
    </w:p>
    <w:sectPr w:rsidR="005B76C1">
      <w:type w:val="continuous"/>
      <w:pgSz w:w="11920" w:h="16840"/>
      <w:pgMar w:top="0" w:right="141" w:bottom="280" w:left="141" w:header="360" w:footer="360" w:gutter="0"/>
      <w:cols w:num="2" w:space="720" w:equalWidth="0">
        <w:col w:w="5712" w:space="213"/>
        <w:col w:w="571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B66E9"/>
    <w:multiLevelType w:val="multilevel"/>
    <w:tmpl w:val="9C18D17C"/>
    <w:lvl w:ilvl="0">
      <w:start w:val="1"/>
      <w:numFmt w:val="decimal"/>
      <w:lvlText w:val="%1."/>
      <w:lvlJc w:val="left"/>
      <w:pPr>
        <w:ind w:left="375" w:hanging="225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916" w:hanging="225"/>
      </w:pPr>
    </w:lvl>
    <w:lvl w:ilvl="2">
      <w:numFmt w:val="bullet"/>
      <w:lvlText w:val="•"/>
      <w:lvlJc w:val="left"/>
      <w:pPr>
        <w:ind w:left="1452" w:hanging="225"/>
      </w:pPr>
    </w:lvl>
    <w:lvl w:ilvl="3">
      <w:numFmt w:val="bullet"/>
      <w:lvlText w:val="•"/>
      <w:lvlJc w:val="left"/>
      <w:pPr>
        <w:ind w:left="1988" w:hanging="225"/>
      </w:pPr>
    </w:lvl>
    <w:lvl w:ilvl="4">
      <w:numFmt w:val="bullet"/>
      <w:lvlText w:val="•"/>
      <w:lvlJc w:val="left"/>
      <w:pPr>
        <w:ind w:left="2525" w:hanging="225"/>
      </w:pPr>
    </w:lvl>
    <w:lvl w:ilvl="5">
      <w:numFmt w:val="bullet"/>
      <w:lvlText w:val="•"/>
      <w:lvlJc w:val="left"/>
      <w:pPr>
        <w:ind w:left="3061" w:hanging="225"/>
      </w:pPr>
    </w:lvl>
    <w:lvl w:ilvl="6">
      <w:numFmt w:val="bullet"/>
      <w:lvlText w:val="•"/>
      <w:lvlJc w:val="left"/>
      <w:pPr>
        <w:ind w:left="3597" w:hanging="225"/>
      </w:pPr>
    </w:lvl>
    <w:lvl w:ilvl="7">
      <w:numFmt w:val="bullet"/>
      <w:lvlText w:val="•"/>
      <w:lvlJc w:val="left"/>
      <w:pPr>
        <w:ind w:left="4134" w:hanging="225"/>
      </w:pPr>
    </w:lvl>
    <w:lvl w:ilvl="8">
      <w:numFmt w:val="bullet"/>
      <w:lvlText w:val="•"/>
      <w:lvlJc w:val="left"/>
      <w:pPr>
        <w:ind w:left="4670" w:hanging="225"/>
      </w:pPr>
    </w:lvl>
  </w:abstractNum>
  <w:num w:numId="1" w16cid:durableId="62870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C1"/>
    <w:rsid w:val="002B61AB"/>
    <w:rsid w:val="005B76C1"/>
    <w:rsid w:val="009D5D32"/>
    <w:rsid w:val="00EC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1F081E"/>
  <w15:docId w15:val="{7F9FF40C-5CF1-2640-89DE-32717C8C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67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  <w:lang w:eastAsia="en-US"/>
    </w:rPr>
  </w:style>
  <w:style w:type="paragraph" w:styleId="PargrafodaLista">
    <w:name w:val="List Paragraph"/>
    <w:basedOn w:val="Normal"/>
    <w:uiPriority w:val="1"/>
    <w:qFormat/>
    <w:pPr>
      <w:spacing w:before="39"/>
      <w:ind w:left="358" w:hanging="209"/>
    </w:pPr>
    <w:rPr>
      <w:lang w:eastAsia="en-US"/>
    </w:rPr>
  </w:style>
  <w:style w:type="paragraph" w:customStyle="1" w:styleId="TableParagraph">
    <w:name w:val="Table Paragraph"/>
    <w:basedOn w:val="Normal"/>
    <w:uiPriority w:val="1"/>
    <w:qFormat/>
    <w:rPr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9.png"/><Relationship Id="rId18" Type="http://schemas.openxmlformats.org/officeDocument/2006/relationships/image" Target="media/image9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mailto:schiavon@ufsj.edu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goisbraga@aluno.ufsj.edu.br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PITl1z6p3g5bXyj7PSiv2O2HhQ==">CgMxLjA4AHIhMWg1Nl9GR2dJRDZpbEw0YV9CN2NfTkN3QlpfenhPakNE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898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Antonio SCHIAVON</cp:lastModifiedBy>
  <cp:revision>3</cp:revision>
  <dcterms:created xsi:type="dcterms:W3CDTF">2025-07-31T19:07:00Z</dcterms:created>
  <dcterms:modified xsi:type="dcterms:W3CDTF">2025-07-31T19:23:00Z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2025-07-31T00:00:00Z</vt:filetime>
  </property>
</Properties>
</file>