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A Curadoria Digital e o Modelo DCC</w:t>
      </w:r>
      <w:r w:rsidDel="00000000" w:rsidR="00000000" w:rsidRPr="00000000">
        <w:rPr>
          <w:rFonts w:ascii="Times New Roman" w:cs="Times New Roman" w:eastAsia="Times New Roman" w:hAnsi="Times New Roman"/>
          <w:rtl w:val="0"/>
        </w:rPr>
        <w:t xml:space="preserve">: Um Olhar Conceitual e Aplicado - Fundamentos, evolução histórica e práticas do ciclo de vida na gestão de acervos digitais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Rodrigo Moreira Garcia, Universidade de São Paulo, Escola de Comunicações e Artes, Programa de Pós-Graduação em Ciência da Informação, Brasil </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ORCID: </w:t>
      </w:r>
      <w:hyperlink r:id="rId7">
        <w:r w:rsidDel="00000000" w:rsidR="00000000" w:rsidRPr="00000000">
          <w:rPr>
            <w:rFonts w:ascii="Times New Roman" w:cs="Times New Roman" w:eastAsia="Times New Roman" w:hAnsi="Times New Roman"/>
            <w:color w:val="1155cc"/>
            <w:sz w:val="20"/>
            <w:szCs w:val="20"/>
            <w:u w:val="single"/>
            <w:rtl w:val="0"/>
          </w:rPr>
          <w:t xml:space="preserve">0000-0003-2694-5988</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5">
      <w:pPr>
        <w:spacing w:after="12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120" w:before="120" w:line="30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8">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artigo parte da contextualização teórica e histórica da curadoria digital para detalhar o Modelo de Ciclo de Vida de Curadoria do Digital Curation Centre (DCC). O objetivo é analisar as etapas do modelo DCC — da conceituação e criação de objetos digitais, passando pela avaliação, ingestão, preservação, armazenamento, acesso, reuso e transformação —, bem como suas ações contínuas, que conferem flexibilidade e adaptabilidade ao processo curatorial. A metodologia fundamenta-se em revisão teórica crítica da literatura nacional e internacional, associada à análise documental dos principais manuais e diretrizes do DCC, articulando discussões conceituais aplicadas ao contexto de acervos digitais. A análise contempla a relação entre curadoria digital e Humanidades Digitais, enfatizando como práticas curatoriais contribuem para a preservação, autenticidade, documentação e promoção do reuso de grandes volumes de objetos culturais digitais. Discute-se ainda o papel estratégico da curadoria digital no contexto do Linked Data, destacando sua importância para qualificação, interoperabilidade e integração de acervos em redes globais de conhecimento. São explorados os desafios contemporâneos da curadoria digital, entre eles a escalabilidade dos acervos, a obsolescência tecnológica, as demandas de privacidade, a sustentabilidade econômica e a padronização de processos, assim como o engajamento comunitário na gestão dos acervos. No horizonte das tendências emergentes, destacam-se a automação de processos, a adoção de princípios FAIR, o uso de linked data e o desenvolvimento de estratégias institucionais para viabilização econômica e fortalecimento da governança. Os resultados evidenciam que estratégias como planejamento cíclico, capacitação permanente, adoção de padrões abertos e participação colaborativa são essenciais para a superação dos desafios do campo. Conclui-se que a curadoria digital, ancorada em modelos robustos como o DCC, constitui-se como hub central, articulando pessoas, tecnologias e informação, e promovendo impacto social, científico e cultural dos acervos digitais frente às demandas do século XXI.</w:t>
      </w:r>
    </w:p>
    <w:p w:rsidR="00000000" w:rsidDel="00000000" w:rsidP="00000000" w:rsidRDefault="00000000" w:rsidRPr="00000000" w14:paraId="00000009">
      <w:pPr>
        <w:spacing w:after="120" w:before="120" w:line="3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120" w:before="12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Curadoria Digital; Modelo de ciclo de vida de curadoria; Humanidades Digitais; Linked Data; Gestão de Dados Digitais; Preservação Digital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E">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article begins with the theoretical and historical contextualization of digital curation to detail the Digital Curation Centre (DCC) Curation Lifecycle Model. The objective is to analyze the stages of the DCC model — from the conceptualization and creation of digital objects, through evaluation, ingestion, preservation, storage, access, reuse and transformation —, as well as its ongoing actions, which provide flexibility and adaptability to the curatorial process. The methodology is based on a critical theoretical review of national and international literature, associated with documentary analysis of the main DCC manuals and guidelines, articulating conceptual discussions applied to the context of digital collections. The analysis considers the relationship between digital curation and Digital Humanities, emphasizing how curatorial practices contribute to the preservation, authenticity, documentation and promotion of the reuse of large volumes of digital cultural objects. It also discusses the strategic role of digital curation in the context of Linked Data, highlighting its importance for the qualification, interoperability and integration of collections in global knowledge networks. The contemporary challenges of digital curation are explored, including collection scalability, technological obsolescence, privacy demands, economic sustainability, and process standardization, as well as community engagement in collection management. Emerging trends include process automation, the adoption of FAIR principles, the use of linked data, and the development of institutional strategies for economic viability and strengthening governance. The results show that strategies such as cyclical planning, ongoing training, the adoption of open standards, and collaborative participation are essential to overcoming the challenges in the field. The conclusion is that digital curation, anchored in robust models such as DCC, constitutes a central hub, articulating people, technologies, and information, and promoting the social, scientific, and cultural impact of digital collections in the face of the demands of the 21st century.</w:t>
      </w:r>
    </w:p>
    <w:p w:rsidR="00000000" w:rsidDel="00000000" w:rsidP="00000000" w:rsidRDefault="00000000" w:rsidRPr="00000000" w14:paraId="0000000F">
      <w:pPr>
        <w:spacing w:after="120" w:before="12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Digital Curation; Curation Lifecycle Model; Digital Humanities; Linked Data; Digital Data Management; Digital Preservation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1"/>
        <w:tblW w:w="94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843"/>
        <w:gridCol w:w="2126"/>
        <w:gridCol w:w="2111"/>
        <w:tblGridChange w:id="0">
          <w:tblGrid>
            <w:gridCol w:w="3397"/>
            <w:gridCol w:w="1843"/>
            <w:gridCol w:w="2126"/>
            <w:gridCol w:w="2111"/>
          </w:tblGrid>
        </w:tblGridChange>
      </w:tblGrid>
      <w:tr>
        <w:trPr>
          <w:cantSplit w:val="0"/>
          <w:trHeight w:val="699" w:hRule="atLeast"/>
          <w:tblHeader w:val="0"/>
        </w:trPr>
        <w:tc>
          <w:tcPr>
            <w:gridSpan w:val="4"/>
            <w:tcBorders>
              <w:top w:color="000000" w:space="0" w:sz="24" w:val="single"/>
              <w:left w:color="000000" w:space="0" w:sz="24" w:val="single"/>
              <w:bottom w:color="000000" w:space="0" w:sz="6" w:val="single"/>
              <w:right w:color="000000" w:space="0" w:sz="24" w:val="single"/>
            </w:tcBorders>
          </w:tcPr>
          <w:p w:rsidR="00000000" w:rsidDel="00000000" w:rsidP="00000000" w:rsidRDefault="00000000" w:rsidRPr="00000000" w14:paraId="00000012">
            <w:pPr>
              <w:jc w:val="center"/>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2060"/>
                <w:sz w:val="28"/>
                <w:szCs w:val="28"/>
                <w:rtl w:val="0"/>
              </w:rPr>
              <w:t xml:space="preserve">CONGRESS APPLICATION FORM</w:t>
            </w:r>
            <w:r w:rsidDel="00000000" w:rsidR="00000000" w:rsidRPr="00000000">
              <w:rPr>
                <w:rtl w:val="0"/>
              </w:rPr>
            </w:r>
          </w:p>
        </w:tc>
      </w:tr>
      <w:tr>
        <w:trPr>
          <w:cantSplit w:val="0"/>
          <w:trHeight w:val="594"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1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Authors Name Surname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 Address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University, Faculty, Department, Country</w:t>
            </w:r>
          </w:p>
        </w:tc>
        <w:tc>
          <w:tcPr>
            <w:tcBorders>
              <w:top w:color="000000" w:space="0" w:sz="6" w:val="single"/>
              <w:left w:color="000000" w:space="0" w:sz="6" w:val="single"/>
              <w:bottom w:color="000000" w:space="0" w:sz="6" w:val="single"/>
              <w:right w:color="000000" w:space="0" w:sz="24" w:val="single"/>
            </w:tcBorders>
            <w:vAlign w:val="center"/>
          </w:tcPr>
          <w:p w:rsidR="00000000" w:rsidDel="00000000" w:rsidP="00000000" w:rsidRDefault="00000000" w:rsidRPr="00000000" w14:paraId="0000001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ORCID</w:t>
            </w:r>
          </w:p>
        </w:tc>
      </w:tr>
      <w:tr>
        <w:trPr>
          <w:cantSplit w:val="0"/>
          <w:trHeight w:val="506"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1B">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Rodrigo Moreira Garcia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jc w:val="center"/>
              <w:rPr>
                <w:rFonts w:ascii="Times New Roman" w:cs="Times New Roman" w:eastAsia="Times New Roman" w:hAnsi="Times New Roman"/>
                <w:b w:val="1"/>
                <w:color w:val="ff0000"/>
                <w:sz w:val="14"/>
                <w:szCs w:val="14"/>
              </w:rPr>
            </w:pPr>
            <w:hyperlink r:id="rId8">
              <w:r w:rsidDel="00000000" w:rsidR="00000000" w:rsidRPr="00000000">
                <w:rPr>
                  <w:rFonts w:ascii="Times New Roman" w:cs="Times New Roman" w:eastAsia="Times New Roman" w:hAnsi="Times New Roman"/>
                  <w:b w:val="1"/>
                  <w:color w:val="1155cc"/>
                  <w:sz w:val="14"/>
                  <w:szCs w:val="14"/>
                  <w:u w:val="single"/>
                  <w:rtl w:val="0"/>
                </w:rPr>
                <w:t xml:space="preserve">garcia.rodrigo77@gmail.com</w:t>
              </w:r>
            </w:hyperlink>
            <w:r w:rsidDel="00000000" w:rsidR="00000000" w:rsidRPr="00000000">
              <w:rPr>
                <w:rFonts w:ascii="Times New Roman" w:cs="Times New Roman" w:eastAsia="Times New Roman" w:hAnsi="Times New Roman"/>
                <w:b w:val="1"/>
                <w:color w:val="ff0000"/>
                <w:sz w:val="14"/>
                <w:szCs w:val="1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Universidade de São Paulo, Escola de Comunicações e Artes, Programa de Pós-Graduação em Ciência da Informação, Brasil </w:t>
            </w:r>
          </w:p>
          <w:p w:rsidR="00000000" w:rsidDel="00000000" w:rsidP="00000000" w:rsidRDefault="00000000" w:rsidRPr="00000000" w14:paraId="0000001E">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24" w:val="single"/>
            </w:tcBorders>
            <w:vAlign w:val="center"/>
          </w:tcPr>
          <w:p w:rsidR="00000000" w:rsidDel="00000000" w:rsidP="00000000" w:rsidRDefault="00000000" w:rsidRPr="00000000" w14:paraId="0000001F">
            <w:pPr>
              <w:jc w:val="center"/>
              <w:rPr>
                <w:rFonts w:ascii="Times New Roman" w:cs="Times New Roman" w:eastAsia="Times New Roman" w:hAnsi="Times New Roman"/>
                <w:b w:val="1"/>
                <w:color w:val="ff0000"/>
                <w:sz w:val="14"/>
                <w:szCs w:val="14"/>
              </w:rPr>
            </w:pPr>
            <w:hyperlink r:id="rId9">
              <w:r w:rsidDel="00000000" w:rsidR="00000000" w:rsidRPr="00000000">
                <w:rPr>
                  <w:rFonts w:ascii="Times New Roman" w:cs="Times New Roman" w:eastAsia="Times New Roman" w:hAnsi="Times New Roman"/>
                  <w:b w:val="1"/>
                  <w:color w:val="1155cc"/>
                  <w:sz w:val="14"/>
                  <w:szCs w:val="14"/>
                  <w:u w:val="single"/>
                  <w:rtl w:val="0"/>
                </w:rPr>
                <w:t xml:space="preserve">https://orcid.org/0000-0003-2694-5988</w:t>
              </w:r>
            </w:hyperlink>
            <w:r w:rsidDel="00000000" w:rsidR="00000000" w:rsidRPr="00000000">
              <w:rPr>
                <w:rFonts w:ascii="Times New Roman" w:cs="Times New Roman" w:eastAsia="Times New Roman" w:hAnsi="Times New Roman"/>
                <w:b w:val="1"/>
                <w:color w:val="ff0000"/>
                <w:sz w:val="14"/>
                <w:szCs w:val="14"/>
                <w:rtl w:val="0"/>
              </w:rPr>
              <w:t xml:space="preserve"> </w:t>
            </w:r>
          </w:p>
        </w:tc>
      </w:tr>
      <w:tr>
        <w:trPr>
          <w:cantSplit w:val="0"/>
          <w:trHeight w:val="506"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20">
            <w:pPr>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24" w:val="single"/>
            </w:tcBorders>
            <w:vAlign w:val="center"/>
          </w:tcPr>
          <w:p w:rsidR="00000000" w:rsidDel="00000000" w:rsidP="00000000" w:rsidRDefault="00000000" w:rsidRPr="00000000" w14:paraId="00000023">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506"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24">
            <w:pPr>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24" w:val="single"/>
            </w:tcBorders>
            <w:vAlign w:val="center"/>
          </w:tcPr>
          <w:p w:rsidR="00000000" w:rsidDel="00000000" w:rsidP="00000000" w:rsidRDefault="00000000" w:rsidRPr="00000000" w14:paraId="00000027">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506"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28">
            <w:pPr>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24" w:val="single"/>
            </w:tcBorders>
            <w:vAlign w:val="center"/>
          </w:tcPr>
          <w:p w:rsidR="00000000" w:rsidDel="00000000" w:rsidP="00000000" w:rsidRDefault="00000000" w:rsidRPr="00000000" w14:paraId="0000002B">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506"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2C">
            <w:pPr>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24" w:val="single"/>
            </w:tcBorders>
            <w:vAlign w:val="center"/>
          </w:tcPr>
          <w:p w:rsidR="00000000" w:rsidDel="00000000" w:rsidP="00000000" w:rsidRDefault="00000000" w:rsidRPr="00000000" w14:paraId="0000002F">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506"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30">
            <w:pPr>
              <w:jc w:val="center"/>
              <w:rPr>
                <w:rFonts w:ascii="Times New Roman" w:cs="Times New Roman" w:eastAsia="Times New Roman" w:hAnsi="Times New Roman"/>
                <w:b w:val="1"/>
                <w:color w:val="ff0000"/>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jc w:val="center"/>
              <w:rPr>
                <w:rFonts w:ascii="Times New Roman" w:cs="Times New Roman" w:eastAsia="Times New Roman" w:hAnsi="Times New Roman"/>
                <w:b w:val="1"/>
                <w:color w:val="ff0000"/>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24" w:val="single"/>
            </w:tcBorders>
            <w:vAlign w:val="center"/>
          </w:tcPr>
          <w:p w:rsidR="00000000" w:rsidDel="00000000" w:rsidP="00000000" w:rsidRDefault="00000000" w:rsidRPr="00000000" w14:paraId="00000033">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506" w:hRule="atLeast"/>
          <w:tblHeader w:val="0"/>
        </w:trPr>
        <w:tc>
          <w:tcPr>
            <w:gridSpan w:val="4"/>
            <w:tcBorders>
              <w:top w:color="000000" w:space="0" w:sz="6" w:val="single"/>
              <w:left w:color="000000" w:space="0" w:sz="24" w:val="single"/>
              <w:bottom w:color="000000" w:space="0" w:sz="6" w:val="single"/>
              <w:right w:color="000000" w:space="0" w:sz="24" w:val="single"/>
            </w:tcBorders>
            <w:vAlign w:val="center"/>
          </w:tcPr>
          <w:p w:rsidR="00000000" w:rsidDel="00000000" w:rsidP="00000000" w:rsidRDefault="00000000" w:rsidRPr="00000000" w14:paraId="0000003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color w:val="002060"/>
                <w:sz w:val="24"/>
                <w:szCs w:val="24"/>
                <w:rtl w:val="0"/>
              </w:rPr>
              <w:t xml:space="preserve">PAPER INFORMATION</w:t>
            </w:r>
            <w:r w:rsidDel="00000000" w:rsidR="00000000" w:rsidRPr="00000000">
              <w:rPr>
                <w:rtl w:val="0"/>
              </w:rPr>
            </w:r>
          </w:p>
        </w:tc>
      </w:tr>
      <w:tr>
        <w:trPr>
          <w:cantSplit w:val="0"/>
          <w:trHeight w:val="506" w:hRule="atLeast"/>
          <w:tblHeader w:val="0"/>
        </w:trPr>
        <w:tc>
          <w:tcPr>
            <w:gridSpan w:val="4"/>
            <w:tcBorders>
              <w:top w:color="000000" w:space="0" w:sz="6" w:val="single"/>
              <w:left w:color="000000" w:space="0" w:sz="24" w:val="single"/>
              <w:bottom w:color="000000" w:space="0" w:sz="6" w:val="single"/>
              <w:right w:color="000000" w:space="0" w:sz="24" w:val="single"/>
            </w:tcBorders>
            <w:vAlign w:val="center"/>
          </w:tcPr>
          <w:p w:rsidR="00000000" w:rsidDel="00000000" w:rsidP="00000000" w:rsidRDefault="00000000" w:rsidRPr="00000000" w14:paraId="00000038">
            <w:pPr>
              <w:jc w:val="center"/>
              <w:rPr>
                <w:rFonts w:ascii="Times New Roman" w:cs="Times New Roman" w:eastAsia="Times New Roman" w:hAnsi="Times New Roman"/>
                <w:b w:val="1"/>
                <w:color w:val="002060"/>
                <w:sz w:val="24"/>
                <w:szCs w:val="24"/>
              </w:rPr>
            </w:pPr>
            <w:r w:rsidDel="00000000" w:rsidR="00000000" w:rsidRPr="00000000">
              <w:rPr>
                <w:rtl w:val="0"/>
              </w:rPr>
            </w:r>
          </w:p>
        </w:tc>
      </w:tr>
      <w:tr>
        <w:trPr>
          <w:cantSplit w:val="0"/>
          <w:trHeight w:val="58" w:hRule="atLeast"/>
          <w:tblHeader w:val="0"/>
        </w:trPr>
        <w:tc>
          <w:tcPr>
            <w:tcBorders>
              <w:top w:color="000000" w:space="0" w:sz="6" w:val="single"/>
              <w:left w:color="000000" w:space="0" w:sz="24" w:val="single"/>
              <w:bottom w:color="000000" w:space="0" w:sz="6" w:val="single"/>
              <w:right w:color="000000" w:space="0" w:sz="6" w:val="single"/>
            </w:tcBorders>
            <w:vAlign w:val="center"/>
          </w:tcPr>
          <w:p w:rsidR="00000000" w:rsidDel="00000000" w:rsidP="00000000" w:rsidRDefault="00000000" w:rsidRPr="00000000" w14:paraId="0000003C">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Participation Type (Online or In-person)</w:t>
            </w:r>
          </w:p>
          <w:p w:rsidR="00000000" w:rsidDel="00000000" w:rsidP="00000000" w:rsidRDefault="00000000" w:rsidRPr="00000000" w14:paraId="0000003E">
            <w:pPr>
              <w:jc w:val="center"/>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Field of Study</w:t>
            </w:r>
          </w:p>
        </w:tc>
        <w:tc>
          <w:tcPr>
            <w:tcBorders>
              <w:top w:color="000000" w:space="0" w:sz="6" w:val="single"/>
              <w:left w:color="000000" w:space="0" w:sz="6" w:val="single"/>
              <w:bottom w:color="000000" w:space="0" w:sz="6" w:val="single"/>
              <w:right w:color="000000" w:space="0" w:sz="24" w:val="single"/>
            </w:tcBorders>
          </w:tcPr>
          <w:p w:rsidR="00000000" w:rsidDel="00000000" w:rsidP="00000000" w:rsidRDefault="00000000" w:rsidRPr="00000000" w14:paraId="00000042">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Presentation Language</w:t>
            </w:r>
            <w:r w:rsidDel="00000000" w:rsidR="00000000" w:rsidRPr="00000000">
              <w:rPr>
                <w:rtl w:val="0"/>
              </w:rPr>
            </w:r>
          </w:p>
        </w:tc>
      </w:tr>
      <w:tr>
        <w:trPr>
          <w:cantSplit w:val="0"/>
          <w:trHeight w:val="506" w:hRule="atLeast"/>
          <w:tblHeader w:val="0"/>
        </w:trPr>
        <w:tc>
          <w:tcPr>
            <w:tcBorders>
              <w:top w:color="000000" w:space="0" w:sz="6" w:val="single"/>
              <w:left w:color="000000" w:space="0" w:sz="24" w:val="single"/>
              <w:bottom w:color="000000" w:space="0" w:sz="24" w:val="single"/>
              <w:right w:color="000000" w:space="0" w:sz="6" w:val="single"/>
            </w:tcBorders>
            <w:vAlign w:val="center"/>
          </w:tcPr>
          <w:p w:rsidR="00000000" w:rsidDel="00000000" w:rsidP="00000000" w:rsidRDefault="00000000" w:rsidRPr="00000000" w14:paraId="00000044">
            <w:pPr>
              <w:jc w:val="center"/>
              <w:rPr>
                <w:rFonts w:ascii="Times New Roman" w:cs="Times New Roman" w:eastAsia="Times New Roman" w:hAnsi="Times New Roman"/>
                <w:b w:val="1"/>
                <w:color w:val="ff0000"/>
                <w:sz w:val="14"/>
                <w:szCs w:val="14"/>
              </w:rPr>
            </w:pPr>
            <w:r w:rsidDel="00000000" w:rsidR="00000000" w:rsidRPr="00000000">
              <w:rPr>
                <w:rFonts w:ascii="Times New Roman" w:cs="Times New Roman" w:eastAsia="Times New Roman" w:hAnsi="Times New Roman"/>
                <w:b w:val="1"/>
                <w:color w:val="ff0000"/>
                <w:sz w:val="14"/>
                <w:szCs w:val="14"/>
                <w:rtl w:val="0"/>
              </w:rPr>
              <w:t xml:space="preserve">online</w:t>
            </w:r>
          </w:p>
        </w:tc>
        <w:tc>
          <w:tcPr>
            <w:gridSpan w:val="2"/>
            <w:tcBorders>
              <w:top w:color="000000" w:space="0" w:sz="6" w:val="single"/>
              <w:left w:color="000000" w:space="0" w:sz="6" w:val="single"/>
              <w:bottom w:color="000000" w:space="0" w:sz="24" w:val="single"/>
              <w:right w:color="000000" w:space="0" w:sz="6" w:val="single"/>
            </w:tcBorders>
            <w:vAlign w:val="center"/>
          </w:tcPr>
          <w:p w:rsidR="00000000" w:rsidDel="00000000" w:rsidP="00000000" w:rsidRDefault="00000000" w:rsidRPr="00000000" w14:paraId="00000045">
            <w:pPr>
              <w:jc w:val="center"/>
              <w:rPr>
                <w:rFonts w:ascii="Times New Roman" w:cs="Times New Roman" w:eastAsia="Times New Roman" w:hAnsi="Times New Roman"/>
                <w:b w:val="1"/>
                <w:color w:val="ff0000"/>
                <w:sz w:val="14"/>
                <w:szCs w:val="14"/>
              </w:rPr>
            </w:pPr>
            <w:r w:rsidDel="00000000" w:rsidR="00000000" w:rsidRPr="00000000">
              <w:rPr>
                <w:rFonts w:ascii="Times New Roman" w:cs="Times New Roman" w:eastAsia="Times New Roman" w:hAnsi="Times New Roman"/>
                <w:b w:val="1"/>
                <w:color w:val="ff0000"/>
                <w:sz w:val="14"/>
                <w:szCs w:val="14"/>
                <w:rtl w:val="0"/>
              </w:rPr>
              <w:t xml:space="preserve">Ciência da Informação</w:t>
            </w:r>
          </w:p>
        </w:tc>
        <w:tc>
          <w:tcPr>
            <w:tcBorders>
              <w:top w:color="000000" w:space="0" w:sz="6" w:val="single"/>
              <w:left w:color="000000" w:space="0" w:sz="6" w:val="single"/>
              <w:bottom w:color="000000" w:space="0" w:sz="24" w:val="single"/>
              <w:right w:color="000000" w:space="0" w:sz="24" w:val="single"/>
            </w:tcBorders>
            <w:vAlign w:val="center"/>
          </w:tcPr>
          <w:p w:rsidR="00000000" w:rsidDel="00000000" w:rsidP="00000000" w:rsidRDefault="00000000" w:rsidRPr="00000000" w14:paraId="00000047">
            <w:pPr>
              <w:jc w:val="left"/>
              <w:rPr>
                <w:rFonts w:ascii="Times New Roman" w:cs="Times New Roman" w:eastAsia="Times New Roman" w:hAnsi="Times New Roman"/>
                <w:b w:val="1"/>
                <w:color w:val="ff0000"/>
                <w:sz w:val="14"/>
                <w:szCs w:val="14"/>
              </w:rPr>
            </w:pPr>
            <w:r w:rsidDel="00000000" w:rsidR="00000000" w:rsidRPr="00000000">
              <w:rPr>
                <w:rFonts w:ascii="Times New Roman" w:cs="Times New Roman" w:eastAsia="Times New Roman" w:hAnsi="Times New Roman"/>
                <w:b w:val="1"/>
                <w:color w:val="ff0000"/>
                <w:sz w:val="14"/>
                <w:szCs w:val="14"/>
                <w:rtl w:val="0"/>
              </w:rPr>
              <w:t xml:space="preserve">Português</w:t>
            </w:r>
          </w:p>
        </w:tc>
      </w:tr>
    </w:tbl>
    <w:p w:rsidR="00000000" w:rsidDel="00000000" w:rsidP="00000000" w:rsidRDefault="00000000" w:rsidRPr="00000000" w14:paraId="0000004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semiHidden w:val="1"/>
    <w:unhideWhenUsed w:val="1"/>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32451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24514"/>
  </w:style>
  <w:style w:type="paragraph" w:styleId="Rodap">
    <w:name w:val="footer"/>
    <w:basedOn w:val="Normal"/>
    <w:link w:val="RodapChar"/>
    <w:uiPriority w:val="99"/>
    <w:unhideWhenUsed w:val="1"/>
    <w:rsid w:val="00324514"/>
    <w:pPr>
      <w:tabs>
        <w:tab w:val="center" w:pos="4252"/>
        <w:tab w:val="right" w:pos="8504"/>
      </w:tabs>
      <w:spacing w:after="0" w:line="240" w:lineRule="auto"/>
    </w:pPr>
  </w:style>
  <w:style w:type="character" w:styleId="RodapChar" w:customStyle="1">
    <w:name w:val="Rodapé Char"/>
    <w:basedOn w:val="Fontepargpadro"/>
    <w:link w:val="Rodap"/>
    <w:uiPriority w:val="99"/>
    <w:rsid w:val="003245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0-0003-2694-598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3-2694-5988" TargetMode="External"/><Relationship Id="rId8" Type="http://schemas.openxmlformats.org/officeDocument/2006/relationships/hyperlink" Target="mailto:garcia.rodrigo77@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jtZ/IpbB1imxJPV6jOUEW9MOQ==">CgMxLjA4AHIhMTRZZ1JzOVZwRFo3UnlMQ05jaVdsVDAyeXRlU1Fha1Bk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2025-06-14T17:33:00Z</dcterms:created>
  <dc:creator>TOI Organização</dc:creator>
</cp:coreProperties>
</file>