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E64DB" w14:textId="2C5408B6" w:rsidR="009C2E72" w:rsidRPr="00F40DA4" w:rsidRDefault="002216A8">
      <w:pPr>
        <w:spacing w:line="360" w:lineRule="auto"/>
        <w:jc w:val="center"/>
      </w:pPr>
      <w:r>
        <w:rPr>
          <w:b/>
          <w:bCs/>
          <w:sz w:val="24"/>
          <w:szCs w:val="24"/>
        </w:rPr>
        <w:t xml:space="preserve">PARTICIPAÇÃO FEMININA NOS ESPAÇOS DE TRABALHO: </w:t>
      </w:r>
      <w:r w:rsidR="00450280">
        <w:rPr>
          <w:sz w:val="24"/>
          <w:szCs w:val="24"/>
        </w:rPr>
        <w:t>igualdade de oportunidades</w:t>
      </w:r>
    </w:p>
    <w:p w14:paraId="13D010DC" w14:textId="77777777" w:rsidR="009C2E72" w:rsidRDefault="009C2E72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30237F98" w14:textId="6D37EDEE" w:rsidR="009C2E72" w:rsidRDefault="00407B57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Neyago</w:t>
      </w:r>
      <w:proofErr w:type="spellEnd"/>
      <w:r>
        <w:rPr>
          <w:sz w:val="24"/>
          <w:szCs w:val="24"/>
        </w:rPr>
        <w:t xml:space="preserve"> Santos</w:t>
      </w:r>
      <w:r w:rsidR="008C70D1">
        <w:rPr>
          <w:sz w:val="24"/>
          <w:szCs w:val="24"/>
        </w:rPr>
        <w:t xml:space="preserve"> Silva</w:t>
      </w:r>
      <w:r w:rsidR="00BB26D2">
        <w:rPr>
          <w:sz w:val="24"/>
          <w:szCs w:val="24"/>
          <w:vertAlign w:val="superscript"/>
        </w:rPr>
        <w:footnoteReference w:id="1"/>
      </w:r>
    </w:p>
    <w:p w14:paraId="5CE2C27C" w14:textId="56124E22" w:rsidR="009C2E72" w:rsidRPr="005B4EF6" w:rsidRDefault="00BF6762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Adriana Vitoria da Silva</w:t>
      </w:r>
      <w:r w:rsidR="005B4EF6">
        <w:rPr>
          <w:sz w:val="24"/>
          <w:szCs w:val="24"/>
          <w:vertAlign w:val="superscript"/>
        </w:rPr>
        <w:t>1</w:t>
      </w:r>
    </w:p>
    <w:p w14:paraId="024BE7D7" w14:textId="66F7C001" w:rsidR="009C2E72" w:rsidRPr="005F0E40" w:rsidRDefault="005F0E4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Maria Eduarda Sousa Gomes</w:t>
      </w:r>
      <w:r>
        <w:rPr>
          <w:sz w:val="24"/>
          <w:szCs w:val="24"/>
          <w:vertAlign w:val="superscript"/>
        </w:rPr>
        <w:t>1</w:t>
      </w:r>
    </w:p>
    <w:p w14:paraId="3509DFF3" w14:textId="697F8C70" w:rsidR="009C2E72" w:rsidRPr="005F0E40" w:rsidRDefault="005F0E4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Lucas de Souza Araújo</w:t>
      </w:r>
      <w:r>
        <w:rPr>
          <w:sz w:val="24"/>
          <w:szCs w:val="24"/>
          <w:vertAlign w:val="superscript"/>
        </w:rPr>
        <w:t>1</w:t>
      </w:r>
    </w:p>
    <w:p w14:paraId="56E133A3" w14:textId="6E5BAC79" w:rsidR="009C2E72" w:rsidRPr="00A630C0" w:rsidRDefault="00A630C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Guilherme Antônio Lopes de Oliveira</w:t>
      </w:r>
      <w:r>
        <w:rPr>
          <w:sz w:val="24"/>
          <w:szCs w:val="24"/>
          <w:vertAlign w:val="superscript"/>
        </w:rPr>
        <w:t>2</w:t>
      </w:r>
    </w:p>
    <w:p w14:paraId="1886D433" w14:textId="77777777" w:rsidR="009C2E72" w:rsidRDefault="009C2E7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07877628" w14:textId="77777777" w:rsidR="009C2E72" w:rsidRDefault="00BB26D2" w:rsidP="0032168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2837D6D8" w14:textId="5CB72255" w:rsidR="00963ABA" w:rsidRPr="00727066" w:rsidRDefault="00141FAB" w:rsidP="0072706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estudo </w:t>
      </w:r>
      <w:r w:rsidR="001E3A13">
        <w:rPr>
          <w:sz w:val="24"/>
          <w:szCs w:val="24"/>
        </w:rPr>
        <w:t>analisa</w:t>
      </w:r>
      <w:r>
        <w:rPr>
          <w:sz w:val="24"/>
          <w:szCs w:val="24"/>
        </w:rPr>
        <w:t xml:space="preserve"> a situação das mulheres no mercado de trabalho </w:t>
      </w:r>
      <w:r w:rsidR="00BA7990">
        <w:rPr>
          <w:sz w:val="24"/>
          <w:szCs w:val="24"/>
        </w:rPr>
        <w:t>nos</w:t>
      </w:r>
      <w:r>
        <w:rPr>
          <w:sz w:val="24"/>
          <w:szCs w:val="24"/>
        </w:rPr>
        <w:t xml:space="preserve"> dia</w:t>
      </w:r>
      <w:r w:rsidR="00BA7990">
        <w:rPr>
          <w:sz w:val="24"/>
          <w:szCs w:val="24"/>
        </w:rPr>
        <w:t xml:space="preserve"> atuais</w:t>
      </w:r>
      <w:r>
        <w:rPr>
          <w:sz w:val="24"/>
          <w:szCs w:val="24"/>
        </w:rPr>
        <w:t xml:space="preserve">, mostrando </w:t>
      </w:r>
      <w:r w:rsidR="00F572BB">
        <w:rPr>
          <w:sz w:val="24"/>
          <w:szCs w:val="24"/>
        </w:rPr>
        <w:t xml:space="preserve">não só as </w:t>
      </w:r>
      <w:r>
        <w:rPr>
          <w:sz w:val="24"/>
          <w:szCs w:val="24"/>
        </w:rPr>
        <w:t xml:space="preserve">barreiras </w:t>
      </w:r>
      <w:r w:rsidR="001A56E1">
        <w:rPr>
          <w:sz w:val="24"/>
          <w:szCs w:val="24"/>
        </w:rPr>
        <w:t>estruturais</w:t>
      </w:r>
      <w:r>
        <w:rPr>
          <w:sz w:val="24"/>
          <w:szCs w:val="24"/>
        </w:rPr>
        <w:t>, na sociedade e na cultura</w:t>
      </w:r>
      <w:r w:rsidR="00E47698">
        <w:rPr>
          <w:sz w:val="24"/>
          <w:szCs w:val="24"/>
        </w:rPr>
        <w:t>, mas como isso</w:t>
      </w:r>
      <w:r w:rsidR="0010484D">
        <w:rPr>
          <w:sz w:val="24"/>
          <w:szCs w:val="24"/>
        </w:rPr>
        <w:t xml:space="preserve"> </w:t>
      </w:r>
      <w:r w:rsidR="000F6F73">
        <w:rPr>
          <w:sz w:val="24"/>
          <w:szCs w:val="24"/>
        </w:rPr>
        <w:t xml:space="preserve">impactam </w:t>
      </w:r>
      <w:r w:rsidR="0010484D">
        <w:rPr>
          <w:sz w:val="24"/>
          <w:szCs w:val="24"/>
        </w:rPr>
        <w:t xml:space="preserve">e </w:t>
      </w:r>
      <w:r>
        <w:rPr>
          <w:sz w:val="24"/>
          <w:szCs w:val="24"/>
        </w:rPr>
        <w:t>travam a igualdade de oportunidades e o crescimento</w:t>
      </w:r>
      <w:r w:rsidR="00126982">
        <w:rPr>
          <w:sz w:val="24"/>
          <w:szCs w:val="24"/>
        </w:rPr>
        <w:t xml:space="preserve"> feminino </w:t>
      </w:r>
      <w:r w:rsidR="00732050">
        <w:rPr>
          <w:sz w:val="24"/>
          <w:szCs w:val="24"/>
        </w:rPr>
        <w:t xml:space="preserve">no trabalho </w:t>
      </w:r>
      <w:r>
        <w:rPr>
          <w:sz w:val="24"/>
          <w:szCs w:val="24"/>
        </w:rPr>
        <w:t>profissional. A pesquisa foi feita através de um levantamento de artigos no Google Acadêmico em agosto de 2026, pegando publicações lançadas de 2021 a 2026, onde 7 estudos acabaram entrando na análise final. O que se percebe é que o avanço feminino ainda esbarra nos velhos preconceitos de uma sociedade machista. Quando olhamos para a firma ou para o setor público,</w:t>
      </w:r>
      <w:r w:rsidR="00E41A2A">
        <w:rPr>
          <w:sz w:val="24"/>
          <w:szCs w:val="24"/>
        </w:rPr>
        <w:t xml:space="preserve"> aparecem o teto de vidro, que são as barreiras invisíveis para chegar à chefia, e as paredes de vidro, que prendem as mulheres em áreas de menor prestígio. No campo, o </w:t>
      </w:r>
      <w:r w:rsidR="00D02B9E">
        <w:rPr>
          <w:sz w:val="24"/>
          <w:szCs w:val="24"/>
        </w:rPr>
        <w:t xml:space="preserve">trabalho </w:t>
      </w:r>
      <w:r w:rsidR="00E41A2A">
        <w:rPr>
          <w:sz w:val="24"/>
          <w:szCs w:val="24"/>
        </w:rPr>
        <w:t>delas é apagado e visto só como ajuda doméstica. Olhando por raça e classe, a situação piora bastante para mulheres negras, pardas e periféricas, que acumulam o peso dos cuidados não pagos. Além disso, a diferença de salário continua forte até na tecnologia, mostrando a urgência de mudanças. No fim, garantir equidade de gênero vai além da justiça social: é ponto central para a economia crescer, a inovação rolar e o governo funcionar bem. Para vencer isso, Estado, faculdades e empresas precisam se unir com ações como cotas, mentorias, transparência nos salários e horários flexíveis.</w:t>
      </w:r>
    </w:p>
    <w:p w14:paraId="1B8F268A" w14:textId="73218581" w:rsidR="009C2E72" w:rsidRPr="004E2849" w:rsidRDefault="00BB26D2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4E2849">
        <w:rPr>
          <w:sz w:val="24"/>
          <w:szCs w:val="24"/>
        </w:rPr>
        <w:t>Mulheres; Trabalho; Igualdade; Oportunidades; Gênero.</w:t>
      </w:r>
    </w:p>
    <w:p w14:paraId="5DC62E09" w14:textId="77777777" w:rsidR="009C2E72" w:rsidRDefault="009C2E72">
      <w:pPr>
        <w:spacing w:line="360" w:lineRule="auto"/>
        <w:rPr>
          <w:sz w:val="24"/>
          <w:szCs w:val="24"/>
        </w:rPr>
      </w:pPr>
    </w:p>
    <w:p w14:paraId="75E42086" w14:textId="4E5EDC8C" w:rsidR="001022A6" w:rsidRPr="008228C9" w:rsidRDefault="001022A6" w:rsidP="008228C9">
      <w:pPr>
        <w:spacing w:line="360" w:lineRule="auto"/>
        <w:rPr>
          <w:b/>
          <w:bCs/>
          <w:sz w:val="24"/>
          <w:szCs w:val="24"/>
        </w:rPr>
      </w:pPr>
    </w:p>
    <w:p w14:paraId="21AD77C6" w14:textId="77777777" w:rsidR="003916DF" w:rsidRDefault="003916DF">
      <w:pPr>
        <w:spacing w:line="360" w:lineRule="auto"/>
        <w:rPr>
          <w:sz w:val="24"/>
          <w:szCs w:val="24"/>
        </w:rPr>
      </w:pPr>
    </w:p>
    <w:p w14:paraId="16E0E810" w14:textId="77777777" w:rsidR="009C2E72" w:rsidRDefault="00BB26D2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 INTRODUÇÃO</w:t>
      </w:r>
    </w:p>
    <w:p w14:paraId="521D45F2" w14:textId="77777777" w:rsidR="00352DD5" w:rsidRDefault="00352DD5" w:rsidP="00FB07AF">
      <w:pPr>
        <w:spacing w:line="360" w:lineRule="auto"/>
        <w:ind w:firstLine="720"/>
        <w:jc w:val="both"/>
        <w:rPr>
          <w:sz w:val="24"/>
          <w:szCs w:val="24"/>
        </w:rPr>
      </w:pPr>
      <w:r w:rsidRPr="599FB006">
        <w:rPr>
          <w:sz w:val="24"/>
          <w:szCs w:val="24"/>
        </w:rPr>
        <w:t xml:space="preserve">A participação feminina nos espaços de trabalho e a procura por igualdade de oportunidades encontram divisões complexas no setor público, no qual a atuação das mulheres persiste sendo afetada pelos estereótipos da sociedade patriarcal. Nesse cenário a superação desses obstáculos e a ampliação da representatividade de gênero nos ambientes de trabalhos são fundamentais para não apenas para segurança e igualdade profissional nos cargos mais altos, mas para potencializar e estimular a eficiência da gestão das políticas públicas (Santos; </w:t>
      </w:r>
      <w:proofErr w:type="spellStart"/>
      <w:r w:rsidRPr="599FB006">
        <w:rPr>
          <w:sz w:val="24"/>
          <w:szCs w:val="24"/>
        </w:rPr>
        <w:t>Kauchakje</w:t>
      </w:r>
      <w:proofErr w:type="spellEnd"/>
      <w:r w:rsidRPr="599FB006">
        <w:rPr>
          <w:sz w:val="24"/>
          <w:szCs w:val="24"/>
        </w:rPr>
        <w:t>, 2026).</w:t>
      </w:r>
    </w:p>
    <w:p w14:paraId="48112AC8" w14:textId="6DFF9AB8" w:rsidR="00352DD5" w:rsidRDefault="00352DD5" w:rsidP="00FB07AF">
      <w:pPr>
        <w:spacing w:line="360" w:lineRule="auto"/>
        <w:ind w:firstLine="720"/>
        <w:jc w:val="both"/>
        <w:rPr>
          <w:sz w:val="24"/>
          <w:szCs w:val="24"/>
        </w:rPr>
      </w:pPr>
      <w:r w:rsidRPr="599FB006">
        <w:rPr>
          <w:sz w:val="24"/>
          <w:szCs w:val="24"/>
        </w:rPr>
        <w:t xml:space="preserve">Diante dessas fronteiras, o incentivo das práticas de responsabilidade social das organizações e ambientes corporativos seguros e acolhedores surgir como mecanismo indispensável para permitir a autonomia financeira e a permanência das mulheres no mercado. Seguindo esse raciocínio, a implementação de políticas institucionais voltadas à equidade de gênero, à igualdade salarial e ao suporte contra discriminações fortalece para a construção de ecossistemas organizacionais inclusivos </w:t>
      </w:r>
      <w:r w:rsidR="00695267">
        <w:rPr>
          <w:sz w:val="24"/>
          <w:szCs w:val="24"/>
        </w:rPr>
        <w:t>(Pinto Júnior</w:t>
      </w:r>
      <w:r w:rsidRPr="599FB006">
        <w:rPr>
          <w:sz w:val="24"/>
          <w:szCs w:val="24"/>
        </w:rPr>
        <w:t xml:space="preserve">; Oliveira, 2025). </w:t>
      </w:r>
    </w:p>
    <w:p w14:paraId="6D41D334" w14:textId="13A50D35" w:rsidR="00352DD5" w:rsidRDefault="00352DD5" w:rsidP="00257B37">
      <w:pPr>
        <w:spacing w:line="360" w:lineRule="auto"/>
        <w:ind w:firstLine="720"/>
        <w:jc w:val="both"/>
        <w:rPr>
          <w:sz w:val="24"/>
          <w:szCs w:val="24"/>
        </w:rPr>
      </w:pPr>
      <w:r w:rsidRPr="599FB006">
        <w:rPr>
          <w:sz w:val="24"/>
          <w:szCs w:val="24"/>
        </w:rPr>
        <w:t>Analisando as transformações históricas e sociais destacar como as conquistas legais, como os direitos assegurados, foram fundamentais para expandir a presença feminina no mercado de trabalho. Porém, a superação dos obstáculos atuais exige a continuidade dessas ações por meio de iniciativas de monitoria corporativa, estratégias de transparência salarial e incentivo ao empreendedorismo. Assim, a progressão da equidade de gênero deixa de ser apenas uma pauta de justiça social e se estabelece como fator determinante para a inovação e o crescimento sustentável das organizações (Araújo; Machado; Machado, 2025).</w:t>
      </w:r>
    </w:p>
    <w:p w14:paraId="0344E28F" w14:textId="77BADFF1" w:rsidR="003C0723" w:rsidRDefault="003C0723" w:rsidP="00FB07A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face disso, torna-se claro que a busca pela igualdade de oportunidades no mercado de trabalho exige a quebra de barreiras estruturais e culturais profundas. A divisão sexual do trabalho e o peso dos cuidados domésticos continuam limitando a progressão profissional feminina, cenário agravado sob a perspectiva transversal, onde raça e classe social reforçam a exclusão de mulheres negras e periféricas em cargos de liderança. Assim, a promoção da equidade de gênero em espaços corporativos requer políticas públicas eficazes para valorização e garantias das capacidades femininas em todos os setores sociais (Martins; Gouvêa; </w:t>
      </w:r>
      <w:proofErr w:type="spellStart"/>
      <w:r>
        <w:rPr>
          <w:sz w:val="24"/>
          <w:szCs w:val="24"/>
        </w:rPr>
        <w:t>Angelo</w:t>
      </w:r>
      <w:proofErr w:type="spellEnd"/>
      <w:r>
        <w:rPr>
          <w:sz w:val="24"/>
          <w:szCs w:val="24"/>
        </w:rPr>
        <w:t>, 2026).</w:t>
      </w:r>
    </w:p>
    <w:p w14:paraId="115052A0" w14:textId="77777777" w:rsidR="00352DD5" w:rsidRDefault="00352DD5" w:rsidP="00FB07AF">
      <w:pPr>
        <w:spacing w:line="360" w:lineRule="auto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Além das barreiras culturais a inclusão e permanência das mulheres no mercado tecnológico, a diferenças salariais ainda persiste como um dos maiores desafios à igualdade de </w:t>
      </w:r>
      <w:r>
        <w:rPr>
          <w:sz w:val="24"/>
          <w:szCs w:val="24"/>
          <w:lang w:val="en-US"/>
        </w:rPr>
        <w:lastRenderedPageBreak/>
        <w:t>oportunidades. Conforme a análise por Rocha (2024) evidência que, no setor de software do Distrito Federal, a assimetria salarial se manifesta mesmo entre profissionais qualificados com funções de complexidade equivalente. Esse fenômeno reflete as manutenções estruturais no ambiente corporativo, que subestimar o trabalho feminino e limita o alcance da equidade de gênero.</w:t>
      </w:r>
    </w:p>
    <w:p w14:paraId="517E8AC8" w14:textId="77777777" w:rsidR="00352DD5" w:rsidRDefault="00352DD5" w:rsidP="00FB07AF">
      <w:pPr>
        <w:spacing w:line="360" w:lineRule="auto"/>
        <w:ind w:firstLine="720"/>
        <w:jc w:val="both"/>
        <w:rPr>
          <w:sz w:val="24"/>
          <w:szCs w:val="24"/>
          <w:lang w:val="en-US"/>
        </w:rPr>
      </w:pPr>
      <w:r w:rsidRPr="599FB006">
        <w:rPr>
          <w:sz w:val="24"/>
          <w:szCs w:val="24"/>
          <w:lang w:val="en-US"/>
        </w:rPr>
        <w:t>A superação das desigualdades mapeados exige um desempenho integral entre o poder público, as instituições de ensino e o setor privado no incentivo às carreiras técnicas. Promover a presença feminina no controle tecnológico da informação não representa apenas a garantia do cumprimento de direitos fundamentais de igualdade, mas trata-se de um fato que determina o fortalecimento da economia criativa, que impulsionado pela diversidade de perspectivas e formação do conhecimento e inovação tecnológica (Rocha, 2024).</w:t>
      </w:r>
    </w:p>
    <w:p w14:paraId="7E9EFF82" w14:textId="4A82136F" w:rsidR="00352DD5" w:rsidRDefault="00352DD5" w:rsidP="00FB07AF">
      <w:pPr>
        <w:spacing w:line="360" w:lineRule="auto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 persistência das desigualdades no setor público manifesta-se no fenômeno do “teto de vidro”, caracterizado por barreiras invisíveis que limitam a ascensão feminina a cargos de liderança (</w:t>
      </w:r>
      <w:r w:rsidR="3919C3E0" w:rsidRPr="348A7B26">
        <w:rPr>
          <w:sz w:val="24"/>
          <w:szCs w:val="24"/>
          <w:lang w:val="en-US"/>
        </w:rPr>
        <w:t>Luz</w:t>
      </w:r>
      <w:r w:rsidRPr="00FE3C26">
        <w:rPr>
          <w:color w:val="EE0000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et al., 2026). Tais obstáculos são sustentados por estereótipos de gênero e pela dificuldade de conciliação entre trabalho e família (</w:t>
      </w:r>
      <w:r w:rsidR="4E269172" w:rsidRPr="348A7B26">
        <w:rPr>
          <w:sz w:val="24"/>
          <w:szCs w:val="24"/>
          <w:lang w:val="en-US"/>
        </w:rPr>
        <w:t>Luz</w:t>
      </w:r>
      <w:r w:rsidRPr="00FE3C26">
        <w:rPr>
          <w:color w:val="EE0000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et al., 2026). Adicionalmente, as profissionais enfrentam as “paredes de vidro”, segregando-as em áreas de menor prestígio gerencial e reforçando antigos papéis sociais (</w:t>
      </w:r>
      <w:r w:rsidRPr="348A7B26">
        <w:rPr>
          <w:sz w:val="24"/>
          <w:szCs w:val="24"/>
          <w:lang w:val="en-US"/>
        </w:rPr>
        <w:t>L</w:t>
      </w:r>
      <w:r w:rsidR="675698D1" w:rsidRPr="348A7B26">
        <w:rPr>
          <w:sz w:val="24"/>
          <w:szCs w:val="24"/>
          <w:lang w:val="en-US"/>
        </w:rPr>
        <w:t>uz</w:t>
      </w:r>
      <w:r>
        <w:rPr>
          <w:sz w:val="24"/>
          <w:szCs w:val="24"/>
          <w:lang w:val="en-US"/>
        </w:rPr>
        <w:t xml:space="preserve"> et al., 2026).</w:t>
      </w:r>
    </w:p>
    <w:p w14:paraId="34BD0ACC" w14:textId="089B0075" w:rsidR="00352DD5" w:rsidRDefault="00352DD5" w:rsidP="00FB07AF">
      <w:pPr>
        <w:spacing w:line="360" w:lineRule="auto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Essa dinâmica de exclusão estrutural ultrapassa os espaços urbanos corporativos e atinge profundamente o meio rural (</w:t>
      </w:r>
      <w:r w:rsidR="30C4E32E" w:rsidRPr="348A7B26">
        <w:rPr>
          <w:sz w:val="24"/>
          <w:szCs w:val="24"/>
          <w:lang w:val="en-US"/>
        </w:rPr>
        <w:t>Lima</w:t>
      </w:r>
      <w:r w:rsidRPr="00FE3C26">
        <w:rPr>
          <w:color w:val="EE0000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et al., 2024). Na agricultura cacaueira, por exemplo, o labor feminino é frequentemente invisibilizado e rotulado apenas como ajuda doméstica (</w:t>
      </w:r>
      <w:r w:rsidRPr="348A7B26">
        <w:rPr>
          <w:sz w:val="24"/>
          <w:szCs w:val="24"/>
          <w:lang w:val="en-US"/>
        </w:rPr>
        <w:t>L</w:t>
      </w:r>
      <w:r w:rsidR="7C44BFAE" w:rsidRPr="348A7B26">
        <w:rPr>
          <w:sz w:val="24"/>
          <w:szCs w:val="24"/>
          <w:lang w:val="en-US"/>
        </w:rPr>
        <w:t>ima</w:t>
      </w:r>
      <w:r>
        <w:rPr>
          <w:sz w:val="24"/>
          <w:szCs w:val="24"/>
          <w:lang w:val="en-US"/>
        </w:rPr>
        <w:t xml:space="preserve"> et al., 2024). O cenário agrava-se sob a ótica interseccional, visto que mulheres pretas e pardas assumem uma carga desproporcional de cuidados familiares, restringindo severamente sua autonomia (</w:t>
      </w:r>
      <w:r w:rsidRPr="348A7B26">
        <w:rPr>
          <w:sz w:val="24"/>
          <w:szCs w:val="24"/>
          <w:lang w:val="en-US"/>
        </w:rPr>
        <w:t>L</w:t>
      </w:r>
      <w:r w:rsidR="662B8A60" w:rsidRPr="348A7B26">
        <w:rPr>
          <w:sz w:val="24"/>
          <w:szCs w:val="24"/>
          <w:lang w:val="en-US"/>
        </w:rPr>
        <w:t>ima</w:t>
      </w:r>
      <w:r>
        <w:rPr>
          <w:sz w:val="24"/>
          <w:szCs w:val="24"/>
          <w:lang w:val="en-US"/>
        </w:rPr>
        <w:t xml:space="preserve"> et al., 2024).</w:t>
      </w:r>
    </w:p>
    <w:p w14:paraId="53541597" w14:textId="1C1A82CD" w:rsidR="00352DD5" w:rsidRDefault="00352DD5" w:rsidP="00FB07AF">
      <w:pPr>
        <w:spacing w:line="360" w:lineRule="auto"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Para mitigar essas barreiras, torna-se imprescindível a implementação de programas de mentoria, cotas de gênero e políticas efetivas de flexibilização do trabalho (</w:t>
      </w:r>
      <w:r w:rsidRPr="348A7B26">
        <w:rPr>
          <w:sz w:val="24"/>
          <w:szCs w:val="24"/>
          <w:lang w:val="en-US"/>
        </w:rPr>
        <w:t>L</w:t>
      </w:r>
      <w:r w:rsidR="4CED1402" w:rsidRPr="348A7B26">
        <w:rPr>
          <w:sz w:val="24"/>
          <w:szCs w:val="24"/>
          <w:lang w:val="en-US"/>
        </w:rPr>
        <w:t>uz</w:t>
      </w:r>
      <w:r>
        <w:rPr>
          <w:sz w:val="24"/>
          <w:szCs w:val="24"/>
          <w:lang w:val="en-US"/>
        </w:rPr>
        <w:t xml:space="preserve"> et al., 2026). O alinhamento dessas ações aos Objetivos de Desenvolvimento Sustentável (ODS) da Agenda 2030 da ONU oferece um direcionamento essencial (</w:t>
      </w:r>
      <w:r w:rsidRPr="348A7B26">
        <w:rPr>
          <w:sz w:val="24"/>
          <w:szCs w:val="24"/>
          <w:lang w:val="en-US"/>
        </w:rPr>
        <w:t>L</w:t>
      </w:r>
      <w:r w:rsidR="5A852015" w:rsidRPr="348A7B26">
        <w:rPr>
          <w:sz w:val="24"/>
          <w:szCs w:val="24"/>
          <w:lang w:val="en-US"/>
        </w:rPr>
        <w:t>ima</w:t>
      </w:r>
      <w:r>
        <w:rPr>
          <w:sz w:val="24"/>
          <w:szCs w:val="24"/>
          <w:lang w:val="en-US"/>
        </w:rPr>
        <w:t xml:space="preserve"> et al., 2024). </w:t>
      </w:r>
      <w:r w:rsidR="002A448B">
        <w:rPr>
          <w:sz w:val="24"/>
          <w:szCs w:val="24"/>
          <w:lang w:val="en-US"/>
        </w:rPr>
        <w:t>Portanto</w:t>
      </w:r>
      <w:r w:rsidR="005A0B9B">
        <w:rPr>
          <w:sz w:val="24"/>
          <w:szCs w:val="24"/>
          <w:lang w:val="en-US"/>
        </w:rPr>
        <w:t xml:space="preserve">, </w:t>
      </w:r>
      <w:r w:rsidR="00FC4F2C">
        <w:rPr>
          <w:sz w:val="24"/>
          <w:szCs w:val="24"/>
          <w:lang w:val="en-US"/>
        </w:rPr>
        <w:t>t</w:t>
      </w:r>
      <w:r>
        <w:rPr>
          <w:sz w:val="24"/>
          <w:szCs w:val="24"/>
          <w:lang w:val="en-US"/>
        </w:rPr>
        <w:t>ais medidas possuem o potencial de desconstruir o teto de vidro e garantir o empoderamento nas esferas de decisão (</w:t>
      </w:r>
      <w:r w:rsidR="00563E40">
        <w:rPr>
          <w:sz w:val="24"/>
          <w:szCs w:val="24"/>
          <w:lang w:val="en-US"/>
        </w:rPr>
        <w:t>Lima</w:t>
      </w:r>
      <w:r>
        <w:rPr>
          <w:sz w:val="24"/>
          <w:szCs w:val="24"/>
          <w:lang w:val="en-US"/>
        </w:rPr>
        <w:t xml:space="preserve"> et al., 2024; </w:t>
      </w:r>
      <w:r w:rsidR="00563E40">
        <w:rPr>
          <w:sz w:val="24"/>
          <w:szCs w:val="24"/>
          <w:lang w:val="en-US"/>
        </w:rPr>
        <w:t>Luz</w:t>
      </w:r>
      <w:r>
        <w:rPr>
          <w:sz w:val="24"/>
          <w:szCs w:val="24"/>
          <w:lang w:val="en-US"/>
        </w:rPr>
        <w:t xml:space="preserve"> et al., 2026).</w:t>
      </w:r>
    </w:p>
    <w:p w14:paraId="488F7564" w14:textId="77777777" w:rsidR="009C2E72" w:rsidRDefault="009C2E72">
      <w:pPr>
        <w:spacing w:line="360" w:lineRule="auto"/>
        <w:rPr>
          <w:b/>
          <w:bCs/>
          <w:sz w:val="24"/>
          <w:szCs w:val="24"/>
        </w:rPr>
      </w:pPr>
    </w:p>
    <w:p w14:paraId="3FB915EA" w14:textId="77777777" w:rsidR="00206E56" w:rsidRDefault="00206E56">
      <w:pPr>
        <w:spacing w:line="360" w:lineRule="auto"/>
        <w:rPr>
          <w:b/>
          <w:bCs/>
          <w:sz w:val="24"/>
          <w:szCs w:val="24"/>
        </w:rPr>
      </w:pPr>
    </w:p>
    <w:p w14:paraId="4297464F" w14:textId="77777777" w:rsidR="009C2E72" w:rsidRDefault="00BB26D2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 OBJETIVOS</w:t>
      </w:r>
    </w:p>
    <w:p w14:paraId="40711B64" w14:textId="1FABEFD5" w:rsidR="009C2E72" w:rsidRDefault="009015B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 Objetivo Geral</w:t>
      </w:r>
    </w:p>
    <w:p w14:paraId="37E134E3" w14:textId="06ABEEEE" w:rsidR="009015B1" w:rsidRDefault="001052C8" w:rsidP="0015627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Analisar a participação feminina nos espaços de trabalho, identificando o impacto dos marcos legais, dos papéis sociais de gênero e das barreiras estruturais, a fim de</w:t>
      </w:r>
      <w:r w:rsidR="00DB500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proporcaminhos</w:t>
      </w:r>
      <w:proofErr w:type="spellEnd"/>
      <w:r>
        <w:rPr>
          <w:sz w:val="24"/>
          <w:szCs w:val="24"/>
        </w:rPr>
        <w:t xml:space="preserve"> para assegurar a igualdade de oportunidades e a progressão profissional das mulheres.</w:t>
      </w:r>
    </w:p>
    <w:p w14:paraId="7187AAA9" w14:textId="77777777" w:rsidR="00FE3C26" w:rsidRDefault="00FE3C26" w:rsidP="0015627F">
      <w:pPr>
        <w:spacing w:line="360" w:lineRule="auto"/>
        <w:ind w:firstLine="720"/>
        <w:jc w:val="both"/>
        <w:rPr>
          <w:sz w:val="24"/>
          <w:szCs w:val="24"/>
        </w:rPr>
      </w:pPr>
    </w:p>
    <w:p w14:paraId="7F4AA215" w14:textId="598C9EAE" w:rsidR="001052C8" w:rsidRDefault="00DB500B" w:rsidP="001052C8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2.2 Objetivos Específicos</w:t>
      </w:r>
    </w:p>
    <w:p w14:paraId="7516609A" w14:textId="4CD67715" w:rsidR="007A7860" w:rsidRPr="00FE3C26" w:rsidRDefault="007A7860" w:rsidP="00FE3C26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sz w:val="24"/>
          <w:szCs w:val="24"/>
        </w:rPr>
      </w:pPr>
      <w:r w:rsidRPr="00FE3C26">
        <w:rPr>
          <w:sz w:val="24"/>
          <w:szCs w:val="24"/>
        </w:rPr>
        <w:t>Identificar os principais desafios e barreiras estruturais enfrentados pelas mulheres no mercado de trabalho.</w:t>
      </w:r>
    </w:p>
    <w:p w14:paraId="65AE2684" w14:textId="27413F2B" w:rsidR="007A7860" w:rsidRPr="00FE3C26" w:rsidRDefault="007A7860" w:rsidP="00FE3C26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sz w:val="24"/>
          <w:szCs w:val="24"/>
        </w:rPr>
      </w:pPr>
      <w:r w:rsidRPr="00FE3C26">
        <w:rPr>
          <w:sz w:val="24"/>
          <w:szCs w:val="24"/>
        </w:rPr>
        <w:t>Analisar a importância da equidade e da igualdade de oportunidades para o desenvolvimento profissional feminino.</w:t>
      </w:r>
    </w:p>
    <w:p w14:paraId="11817BBB" w14:textId="4840CADA" w:rsidR="007A7860" w:rsidRPr="00FE3C26" w:rsidRDefault="007A7860" w:rsidP="00FE3C26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sz w:val="24"/>
          <w:szCs w:val="24"/>
        </w:rPr>
      </w:pPr>
      <w:r w:rsidRPr="00FE3C26">
        <w:rPr>
          <w:sz w:val="24"/>
          <w:szCs w:val="24"/>
        </w:rPr>
        <w:t>Discutir estratégias para o combate à discriminação de gênero e a promoção da inclusão no ambiente corporativo.</w:t>
      </w:r>
    </w:p>
    <w:p w14:paraId="2F7460C5" w14:textId="77777777" w:rsidR="007A7860" w:rsidRDefault="007A7860" w:rsidP="007A7860">
      <w:pPr>
        <w:spacing w:line="360" w:lineRule="auto"/>
        <w:jc w:val="both"/>
        <w:rPr>
          <w:sz w:val="24"/>
          <w:szCs w:val="24"/>
        </w:rPr>
      </w:pPr>
    </w:p>
    <w:p w14:paraId="49464B22" w14:textId="77777777" w:rsidR="00FE3C26" w:rsidRDefault="00FE3C26" w:rsidP="007A7860">
      <w:pPr>
        <w:spacing w:line="360" w:lineRule="auto"/>
        <w:jc w:val="both"/>
        <w:rPr>
          <w:sz w:val="24"/>
          <w:szCs w:val="24"/>
        </w:rPr>
      </w:pPr>
    </w:p>
    <w:p w14:paraId="4E34AB3C" w14:textId="77777777" w:rsidR="009C2E72" w:rsidRDefault="00BB26D2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10B09A38" w14:textId="77777777" w:rsidR="00FD7DEC" w:rsidRPr="005B1E05" w:rsidRDefault="00FD7DEC" w:rsidP="00FB07AF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Trata-se de uma revisão narrativa de literatura, sob a ótica de Motta (2010), como um mapeamento crítico da produção intelectual já consolidada sobre um assunto. Foi realizada no mês de agosto de 2026, consultando a base Google Acadêmico, sendo incluídos os artigos completos escritos em português, inglês e espanhol compreendidos no recorte temporal de 2021 a 2026, disponíveis de forma gratuita. Os descritores utilizados foram os seguintes termos: mulher AND trabalho AND igualdade AND oportunidade AND gênero. A seleção inicial foi feita a partir da aplicação do filtro de recorte temporal nas bases de dados. Consequentemente, foram selecionados para análise, por meio da leitura dos títulos e resumos, os artigos científicos que mencionavam a participação feminina nos espaços de trabalho: igualdade de oportunidades.</w:t>
      </w:r>
    </w:p>
    <w:p w14:paraId="559A09D1" w14:textId="77777777" w:rsidR="009C2E72" w:rsidRPr="00FD7DEC" w:rsidRDefault="009C2E72" w:rsidP="00421C87">
      <w:pPr>
        <w:spacing w:line="360" w:lineRule="auto"/>
        <w:ind w:firstLine="720"/>
        <w:rPr>
          <w:sz w:val="24"/>
          <w:szCs w:val="24"/>
        </w:rPr>
      </w:pPr>
    </w:p>
    <w:p w14:paraId="11777BC8" w14:textId="77777777" w:rsidR="009C2E72" w:rsidRDefault="00BB26D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56CCB330" w14:textId="77777777" w:rsidR="00FE3C26" w:rsidRDefault="00FE3C26">
      <w:pPr>
        <w:spacing w:line="360" w:lineRule="auto"/>
        <w:rPr>
          <w:b/>
          <w:bCs/>
          <w:sz w:val="24"/>
          <w:szCs w:val="24"/>
        </w:rPr>
      </w:pPr>
    </w:p>
    <w:p w14:paraId="2FD46DDE" w14:textId="352E2429" w:rsidR="009C2E72" w:rsidRDefault="002C01FB" w:rsidP="00B6359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partir da busca inicial, foram identificados 181.000 estudos. Após a triagem de títulos e resumos, 179.360 artigos foram excluídos por não abordarem o tema proposto. Dos 1.640 artigos restantes submetidos à análise detalhada, 590 foram descartados, resultando em 970 </w:t>
      </w:r>
      <w:r>
        <w:rPr>
          <w:sz w:val="24"/>
          <w:szCs w:val="24"/>
        </w:rPr>
        <w:lastRenderedPageBreak/>
        <w:t>artigos elegíveis para a revisão. Desses, 7 estudos atenderam a todos os critérios e compuseram o corpus final do trabalho.</w:t>
      </w:r>
    </w:p>
    <w:p w14:paraId="57D9808A" w14:textId="77777777" w:rsidR="00513FEF" w:rsidRDefault="00513FEF" w:rsidP="00FB07AF">
      <w:pPr>
        <w:spacing w:line="360" w:lineRule="auto"/>
        <w:rPr>
          <w:b/>
          <w:bCs/>
          <w:sz w:val="24"/>
          <w:szCs w:val="24"/>
        </w:rPr>
      </w:pPr>
      <w:r w:rsidRPr="0E81F510">
        <w:rPr>
          <w:b/>
          <w:bCs/>
          <w:sz w:val="24"/>
          <w:szCs w:val="24"/>
        </w:rPr>
        <w:t xml:space="preserve">Quadro 1 – </w:t>
      </w:r>
      <w:r w:rsidRPr="00FE3C26">
        <w:rPr>
          <w:sz w:val="24"/>
          <w:szCs w:val="24"/>
        </w:rPr>
        <w:t>Síntese dos artigos selecionados para a pesquisa</w:t>
      </w:r>
    </w:p>
    <w:p w14:paraId="38D6A68A" w14:textId="77777777" w:rsidR="004A4BA3" w:rsidRPr="004A4BA3" w:rsidRDefault="004A4BA3" w:rsidP="00FB07AF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10"/>
        <w:gridCol w:w="1808"/>
        <w:gridCol w:w="1804"/>
        <w:gridCol w:w="1829"/>
        <w:gridCol w:w="1810"/>
      </w:tblGrid>
      <w:tr w:rsidR="0038643F" w14:paraId="79733AD5" w14:textId="77777777" w:rsidTr="00FE3C26">
        <w:tc>
          <w:tcPr>
            <w:tcW w:w="1812" w:type="dxa"/>
            <w:vAlign w:val="center"/>
          </w:tcPr>
          <w:p w14:paraId="719F6215" w14:textId="595F42CD" w:rsidR="0038643F" w:rsidRPr="00AE4094" w:rsidRDefault="00DE55E4" w:rsidP="00FE3C26">
            <w:pPr>
              <w:jc w:val="center"/>
              <w:rPr>
                <w:b/>
                <w:bCs/>
              </w:rPr>
            </w:pPr>
            <w:r w:rsidRPr="00AE4094">
              <w:rPr>
                <w:b/>
                <w:bCs/>
              </w:rPr>
              <w:t>Título</w:t>
            </w:r>
          </w:p>
        </w:tc>
        <w:tc>
          <w:tcPr>
            <w:tcW w:w="1812" w:type="dxa"/>
            <w:vAlign w:val="center"/>
          </w:tcPr>
          <w:p w14:paraId="0A82A982" w14:textId="060320F7" w:rsidR="0038643F" w:rsidRPr="00B876CB" w:rsidRDefault="005A0DDE" w:rsidP="00FE3C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Autor</w:t>
            </w:r>
          </w:p>
        </w:tc>
        <w:tc>
          <w:tcPr>
            <w:tcW w:w="1812" w:type="dxa"/>
            <w:vAlign w:val="center"/>
          </w:tcPr>
          <w:p w14:paraId="51AD86AA" w14:textId="70A445D6" w:rsidR="0038643F" w:rsidRPr="008458FC" w:rsidRDefault="005A0DDE" w:rsidP="00FE3C26">
            <w:pPr>
              <w:jc w:val="center"/>
              <w:rPr>
                <w:b/>
                <w:bCs/>
              </w:rPr>
            </w:pPr>
            <w:r w:rsidRPr="008458FC">
              <w:rPr>
                <w:b/>
                <w:bCs/>
              </w:rPr>
              <w:t>Ano</w:t>
            </w:r>
          </w:p>
        </w:tc>
        <w:tc>
          <w:tcPr>
            <w:tcW w:w="1812" w:type="dxa"/>
            <w:vAlign w:val="center"/>
          </w:tcPr>
          <w:p w14:paraId="09140892" w14:textId="4114661E" w:rsidR="0038643F" w:rsidRPr="008458FC" w:rsidRDefault="008458FC" w:rsidP="00FE3C26">
            <w:pPr>
              <w:jc w:val="center"/>
              <w:rPr>
                <w:b/>
                <w:bCs/>
              </w:rPr>
            </w:pPr>
            <w:r w:rsidRPr="008458FC">
              <w:rPr>
                <w:b/>
                <w:bCs/>
              </w:rPr>
              <w:t>Objetivo</w:t>
            </w:r>
          </w:p>
        </w:tc>
        <w:tc>
          <w:tcPr>
            <w:tcW w:w="1813" w:type="dxa"/>
            <w:vAlign w:val="center"/>
          </w:tcPr>
          <w:p w14:paraId="6099703A" w14:textId="67FAF976" w:rsidR="0038643F" w:rsidRPr="00F8524D" w:rsidRDefault="00F8524D" w:rsidP="00FE3C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Desenho de estudo</w:t>
            </w:r>
          </w:p>
        </w:tc>
      </w:tr>
      <w:tr w:rsidR="0038643F" w14:paraId="7A8A3036" w14:textId="77777777" w:rsidTr="00FE3C26">
        <w:tc>
          <w:tcPr>
            <w:tcW w:w="1812" w:type="dxa"/>
            <w:vAlign w:val="center"/>
          </w:tcPr>
          <w:p w14:paraId="54A4EE72" w14:textId="469E6431" w:rsidR="0038643F" w:rsidRDefault="00F8524D" w:rsidP="00FE3C26">
            <w:pPr>
              <w:jc w:val="center"/>
            </w:pPr>
            <w:r>
              <w:t xml:space="preserve">Desigualdade de gênero nas burocracias </w:t>
            </w:r>
            <w:r w:rsidR="004C32BA">
              <w:t>estatais em perspectiva comparada:</w:t>
            </w:r>
            <w:r w:rsidR="00C501A9">
              <w:t xml:space="preserve"> uma </w:t>
            </w:r>
            <w:r w:rsidR="008D30B8">
              <w:t xml:space="preserve">revisão </w:t>
            </w:r>
            <w:r w:rsidR="00077DCC">
              <w:t xml:space="preserve">sistemática da </w:t>
            </w:r>
            <w:r w:rsidR="00B2191F">
              <w:t>produção científica</w:t>
            </w:r>
          </w:p>
        </w:tc>
        <w:tc>
          <w:tcPr>
            <w:tcW w:w="1812" w:type="dxa"/>
            <w:vAlign w:val="center"/>
          </w:tcPr>
          <w:p w14:paraId="565C6900" w14:textId="1FC17989" w:rsidR="0038643F" w:rsidRDefault="00D13AA4" w:rsidP="00FE3C26">
            <w:pPr>
              <w:jc w:val="center"/>
            </w:pPr>
            <w:r>
              <w:t>Santos;</w:t>
            </w:r>
            <w:r w:rsidR="00676E95">
              <w:t xml:space="preserve"> </w:t>
            </w:r>
            <w:proofErr w:type="spellStart"/>
            <w:r w:rsidR="00676E95">
              <w:t>Kauchakje</w:t>
            </w:r>
            <w:proofErr w:type="spellEnd"/>
          </w:p>
        </w:tc>
        <w:tc>
          <w:tcPr>
            <w:tcW w:w="1812" w:type="dxa"/>
            <w:vAlign w:val="center"/>
          </w:tcPr>
          <w:p w14:paraId="3234F9D2" w14:textId="35A5F781" w:rsidR="0038643F" w:rsidRDefault="00676E95" w:rsidP="00FE3C26">
            <w:pPr>
              <w:jc w:val="center"/>
            </w:pPr>
            <w:r>
              <w:t>2026</w:t>
            </w:r>
          </w:p>
        </w:tc>
        <w:tc>
          <w:tcPr>
            <w:tcW w:w="1812" w:type="dxa"/>
            <w:vAlign w:val="center"/>
          </w:tcPr>
          <w:p w14:paraId="3560B871" w14:textId="457676BB" w:rsidR="0038643F" w:rsidRDefault="00676E95" w:rsidP="00FE3C26">
            <w:pPr>
              <w:jc w:val="center"/>
            </w:pPr>
            <w:r>
              <w:t xml:space="preserve">Analisar a desigualdade de </w:t>
            </w:r>
            <w:r w:rsidR="00331BE0">
              <w:t xml:space="preserve">gêneros </w:t>
            </w:r>
            <w:r w:rsidR="007D5257">
              <w:t xml:space="preserve">nas burocracias estatais </w:t>
            </w:r>
            <w:r w:rsidR="00647F67">
              <w:t xml:space="preserve">e a </w:t>
            </w:r>
            <w:r w:rsidR="00135BEF">
              <w:t>representatividade</w:t>
            </w:r>
            <w:r w:rsidR="00370D8C">
              <w:t xml:space="preserve"> em cargos de </w:t>
            </w:r>
            <w:r w:rsidR="001630B0">
              <w:t xml:space="preserve">decisão no setor </w:t>
            </w:r>
            <w:r w:rsidR="006248D2">
              <w:t>público.</w:t>
            </w:r>
          </w:p>
        </w:tc>
        <w:tc>
          <w:tcPr>
            <w:tcW w:w="1813" w:type="dxa"/>
            <w:vAlign w:val="center"/>
          </w:tcPr>
          <w:p w14:paraId="5A90A802" w14:textId="6CB5AFFC" w:rsidR="0038643F" w:rsidRDefault="00C31DED" w:rsidP="00FE3C26">
            <w:pPr>
              <w:jc w:val="center"/>
            </w:pPr>
            <w:r>
              <w:t>Pesquisa bibliográfica</w:t>
            </w:r>
          </w:p>
        </w:tc>
      </w:tr>
      <w:tr w:rsidR="0038643F" w14:paraId="3A44E7CE" w14:textId="77777777" w:rsidTr="00FE3C26">
        <w:tc>
          <w:tcPr>
            <w:tcW w:w="1812" w:type="dxa"/>
            <w:vAlign w:val="center"/>
          </w:tcPr>
          <w:p w14:paraId="22687F81" w14:textId="112D3E67" w:rsidR="0038643F" w:rsidRDefault="00BE5FFE" w:rsidP="00FE3C26">
            <w:pPr>
              <w:jc w:val="center"/>
            </w:pPr>
            <w:r>
              <w:t>Revisão Integrativa</w:t>
            </w:r>
            <w:r w:rsidR="006313A0">
              <w:t>: Uma Análise de Violência no Mercado de Trabalho</w:t>
            </w:r>
          </w:p>
        </w:tc>
        <w:tc>
          <w:tcPr>
            <w:tcW w:w="1812" w:type="dxa"/>
            <w:vAlign w:val="center"/>
          </w:tcPr>
          <w:p w14:paraId="1DF04352" w14:textId="0FBF9F9B" w:rsidR="0038643F" w:rsidRDefault="006313A0" w:rsidP="00FE3C26">
            <w:pPr>
              <w:jc w:val="center"/>
            </w:pPr>
            <w:r>
              <w:t>Júnior; Oliveira</w:t>
            </w:r>
          </w:p>
        </w:tc>
        <w:tc>
          <w:tcPr>
            <w:tcW w:w="1812" w:type="dxa"/>
            <w:vAlign w:val="center"/>
          </w:tcPr>
          <w:p w14:paraId="255350E5" w14:textId="1A5F62E8" w:rsidR="0038643F" w:rsidRDefault="006313A0" w:rsidP="00FE3C26">
            <w:pPr>
              <w:jc w:val="center"/>
            </w:pPr>
            <w:r>
              <w:t>2025</w:t>
            </w:r>
          </w:p>
        </w:tc>
        <w:tc>
          <w:tcPr>
            <w:tcW w:w="1812" w:type="dxa"/>
            <w:vAlign w:val="center"/>
          </w:tcPr>
          <w:p w14:paraId="08532C33" w14:textId="3566DF79" w:rsidR="0038643F" w:rsidRDefault="00FA1A27" w:rsidP="00FE3C26">
            <w:pPr>
              <w:jc w:val="center"/>
            </w:pPr>
            <w:r>
              <w:t xml:space="preserve">Mapear as manifestações de violência e discriminação </w:t>
            </w:r>
            <w:r w:rsidR="008B47EE">
              <w:t xml:space="preserve">contra </w:t>
            </w:r>
            <w:r w:rsidR="003C1C80">
              <w:t xml:space="preserve">mulheres no ambiente </w:t>
            </w:r>
            <w:r w:rsidR="0072751B">
              <w:t xml:space="preserve">corporativo e </w:t>
            </w:r>
            <w:r w:rsidR="009A463D">
              <w:t>formas de combater.</w:t>
            </w:r>
          </w:p>
        </w:tc>
        <w:tc>
          <w:tcPr>
            <w:tcW w:w="1813" w:type="dxa"/>
            <w:vAlign w:val="center"/>
          </w:tcPr>
          <w:p w14:paraId="79D34D2E" w14:textId="455ABAE6" w:rsidR="0038643F" w:rsidRDefault="00D94D1B" w:rsidP="00FE3C26">
            <w:pPr>
              <w:jc w:val="center"/>
            </w:pPr>
            <w:r>
              <w:t>Pesquisa bibliográfica</w:t>
            </w:r>
          </w:p>
        </w:tc>
      </w:tr>
      <w:tr w:rsidR="0038643F" w14:paraId="3A9B74AA" w14:textId="77777777" w:rsidTr="00FE3C26">
        <w:tc>
          <w:tcPr>
            <w:tcW w:w="1812" w:type="dxa"/>
            <w:vAlign w:val="center"/>
          </w:tcPr>
          <w:p w14:paraId="007D9AB0" w14:textId="44C0EF3B" w:rsidR="0038643F" w:rsidRDefault="006B3F9E" w:rsidP="00FE3C26">
            <w:pPr>
              <w:jc w:val="center"/>
            </w:pPr>
            <w:r>
              <w:t xml:space="preserve">Liderança Feminina e Transformação </w:t>
            </w:r>
            <w:r w:rsidR="00002BEB">
              <w:t xml:space="preserve">Organizacional: </w:t>
            </w:r>
            <w:r w:rsidR="007E7583">
              <w:t>Impactos</w:t>
            </w:r>
            <w:r w:rsidR="00E75C45">
              <w:t xml:space="preserve">, Desafios e Oportunidades no Mercado </w:t>
            </w:r>
            <w:r w:rsidR="0054419A">
              <w:t>de Trabalho</w:t>
            </w:r>
          </w:p>
        </w:tc>
        <w:tc>
          <w:tcPr>
            <w:tcW w:w="1812" w:type="dxa"/>
            <w:vAlign w:val="center"/>
          </w:tcPr>
          <w:p w14:paraId="6DA40509" w14:textId="38A696EE" w:rsidR="0038643F" w:rsidRDefault="00302CE3" w:rsidP="00FE3C26">
            <w:pPr>
              <w:jc w:val="center"/>
            </w:pPr>
            <w:r>
              <w:t>Machado; Machado; Araújo</w:t>
            </w:r>
          </w:p>
        </w:tc>
        <w:tc>
          <w:tcPr>
            <w:tcW w:w="1812" w:type="dxa"/>
            <w:vAlign w:val="center"/>
          </w:tcPr>
          <w:p w14:paraId="486225D4" w14:textId="073F5562" w:rsidR="0038643F" w:rsidRDefault="00B05222" w:rsidP="00FE3C26">
            <w:pPr>
              <w:jc w:val="center"/>
            </w:pPr>
            <w:r>
              <w:t>2025</w:t>
            </w:r>
          </w:p>
        </w:tc>
        <w:tc>
          <w:tcPr>
            <w:tcW w:w="1812" w:type="dxa"/>
            <w:vAlign w:val="center"/>
          </w:tcPr>
          <w:p w14:paraId="7852091C" w14:textId="69F902E6" w:rsidR="0038643F" w:rsidRDefault="00830314" w:rsidP="00FE3C26">
            <w:pPr>
              <w:jc w:val="center"/>
            </w:pPr>
            <w:r>
              <w:t xml:space="preserve">Investigar os </w:t>
            </w:r>
            <w:r w:rsidR="00A2327F">
              <w:t xml:space="preserve">impactos, </w:t>
            </w:r>
            <w:r w:rsidR="00D97E3F">
              <w:t xml:space="preserve">desafios </w:t>
            </w:r>
            <w:r w:rsidR="00310AAF">
              <w:t xml:space="preserve">e oportunidades associados ao </w:t>
            </w:r>
            <w:r w:rsidR="00F83049">
              <w:t xml:space="preserve">exercício da </w:t>
            </w:r>
            <w:r w:rsidR="00F94785">
              <w:t xml:space="preserve">liderança </w:t>
            </w:r>
            <w:r w:rsidR="00F80F88">
              <w:t>feminina nas organizações.</w:t>
            </w:r>
          </w:p>
        </w:tc>
        <w:tc>
          <w:tcPr>
            <w:tcW w:w="1813" w:type="dxa"/>
            <w:vAlign w:val="center"/>
          </w:tcPr>
          <w:p w14:paraId="7E3461DE" w14:textId="10F1149D" w:rsidR="0038643F" w:rsidRDefault="00D94D1B" w:rsidP="00FE3C26">
            <w:pPr>
              <w:jc w:val="center"/>
            </w:pPr>
            <w:r>
              <w:t>Pesquisa bibliográfica</w:t>
            </w:r>
          </w:p>
        </w:tc>
      </w:tr>
      <w:tr w:rsidR="0038643F" w14:paraId="052E6827" w14:textId="77777777" w:rsidTr="00FE3C26">
        <w:tc>
          <w:tcPr>
            <w:tcW w:w="1812" w:type="dxa"/>
            <w:vAlign w:val="center"/>
          </w:tcPr>
          <w:p w14:paraId="78D770B3" w14:textId="0BB08376" w:rsidR="0038643F" w:rsidRDefault="00F51CCD" w:rsidP="00FE3C26">
            <w:pPr>
              <w:jc w:val="center"/>
            </w:pPr>
            <w:r>
              <w:t xml:space="preserve">Mulheres no contexto </w:t>
            </w:r>
            <w:r w:rsidR="004025C5">
              <w:t xml:space="preserve">acadêmico de trabalho: </w:t>
            </w:r>
            <w:r w:rsidR="007A2716">
              <w:t>revisão sistemática de literatura</w:t>
            </w:r>
          </w:p>
        </w:tc>
        <w:tc>
          <w:tcPr>
            <w:tcW w:w="1812" w:type="dxa"/>
            <w:vAlign w:val="center"/>
          </w:tcPr>
          <w:p w14:paraId="7C0B8626" w14:textId="136660C6" w:rsidR="0038643F" w:rsidRDefault="007A2716" w:rsidP="00FE3C26">
            <w:pPr>
              <w:jc w:val="center"/>
            </w:pPr>
            <w:r>
              <w:t xml:space="preserve">Martins; </w:t>
            </w:r>
            <w:r w:rsidR="00D43B9F">
              <w:t>Go</w:t>
            </w:r>
            <w:r w:rsidR="00CB2F2E">
              <w:t>u</w:t>
            </w:r>
            <w:r w:rsidR="00D43B9F">
              <w:t>vêa</w:t>
            </w:r>
            <w:r w:rsidR="00CB2F2E">
              <w:t>;</w:t>
            </w:r>
            <w:r w:rsidR="008B0C70">
              <w:t xml:space="preserve"> </w:t>
            </w:r>
            <w:proofErr w:type="spellStart"/>
            <w:r w:rsidR="008B0C70">
              <w:t>Angelo</w:t>
            </w:r>
            <w:proofErr w:type="spellEnd"/>
          </w:p>
        </w:tc>
        <w:tc>
          <w:tcPr>
            <w:tcW w:w="1812" w:type="dxa"/>
            <w:vAlign w:val="center"/>
          </w:tcPr>
          <w:p w14:paraId="61265B0F" w14:textId="3103C5B3" w:rsidR="0038643F" w:rsidRDefault="00B05222" w:rsidP="00FE3C26">
            <w:pPr>
              <w:jc w:val="center"/>
            </w:pPr>
            <w:r>
              <w:t>2026</w:t>
            </w:r>
          </w:p>
        </w:tc>
        <w:tc>
          <w:tcPr>
            <w:tcW w:w="1812" w:type="dxa"/>
            <w:vAlign w:val="center"/>
          </w:tcPr>
          <w:p w14:paraId="17804703" w14:textId="0DAFF0BB" w:rsidR="0038643F" w:rsidRDefault="008B0C70" w:rsidP="00FE3C26">
            <w:pPr>
              <w:jc w:val="center"/>
            </w:pPr>
            <w:r>
              <w:t xml:space="preserve">Analisar </w:t>
            </w:r>
            <w:r w:rsidR="00A3162E">
              <w:t xml:space="preserve">as </w:t>
            </w:r>
            <w:r w:rsidR="003525C7">
              <w:t xml:space="preserve">barreiras transversais </w:t>
            </w:r>
            <w:r w:rsidR="00A64E3C">
              <w:t>(raça, classe e gênero)</w:t>
            </w:r>
            <w:r w:rsidR="00B415A4">
              <w:t xml:space="preserve"> enfrentadas </w:t>
            </w:r>
            <w:r w:rsidR="007D58D8">
              <w:t xml:space="preserve">pelas mulheres </w:t>
            </w:r>
            <w:r w:rsidR="006F3350">
              <w:t>no trabalho acadêmico.</w:t>
            </w:r>
          </w:p>
        </w:tc>
        <w:tc>
          <w:tcPr>
            <w:tcW w:w="1813" w:type="dxa"/>
            <w:vAlign w:val="center"/>
          </w:tcPr>
          <w:p w14:paraId="2F30FB88" w14:textId="31B2E584" w:rsidR="0038643F" w:rsidRDefault="0056230A" w:rsidP="00FE3C26">
            <w:pPr>
              <w:jc w:val="center"/>
            </w:pPr>
            <w:r>
              <w:t>Pesquisa bibliográfica</w:t>
            </w:r>
          </w:p>
        </w:tc>
      </w:tr>
      <w:tr w:rsidR="0038643F" w14:paraId="54249412" w14:textId="77777777" w:rsidTr="00FE3C26">
        <w:tc>
          <w:tcPr>
            <w:tcW w:w="1812" w:type="dxa"/>
            <w:vAlign w:val="center"/>
          </w:tcPr>
          <w:p w14:paraId="605E482E" w14:textId="371BB98B" w:rsidR="0038643F" w:rsidRDefault="00B836EE" w:rsidP="00FE3C26">
            <w:pPr>
              <w:jc w:val="center"/>
            </w:pPr>
            <w:r>
              <w:t xml:space="preserve">Equidade e </w:t>
            </w:r>
            <w:r w:rsidR="007345EF">
              <w:t xml:space="preserve">assimetria </w:t>
            </w:r>
            <w:r w:rsidR="004276A0">
              <w:t xml:space="preserve">salarial </w:t>
            </w:r>
            <w:r w:rsidR="00257FF8">
              <w:t xml:space="preserve">no setor de software </w:t>
            </w:r>
            <w:r w:rsidR="00E86C46">
              <w:t>do Distrito Federal</w:t>
            </w:r>
          </w:p>
        </w:tc>
        <w:tc>
          <w:tcPr>
            <w:tcW w:w="1812" w:type="dxa"/>
            <w:vAlign w:val="center"/>
          </w:tcPr>
          <w:p w14:paraId="1C03E667" w14:textId="3DA9D300" w:rsidR="0038643F" w:rsidRDefault="003B5D59" w:rsidP="00FE3C26">
            <w:pPr>
              <w:jc w:val="center"/>
            </w:pPr>
            <w:r>
              <w:t>Rocha</w:t>
            </w:r>
          </w:p>
        </w:tc>
        <w:tc>
          <w:tcPr>
            <w:tcW w:w="1812" w:type="dxa"/>
            <w:vAlign w:val="center"/>
          </w:tcPr>
          <w:p w14:paraId="5CAAC127" w14:textId="73CC331B" w:rsidR="0038643F" w:rsidRDefault="003B5D59" w:rsidP="00FE3C26">
            <w:pPr>
              <w:jc w:val="center"/>
            </w:pPr>
            <w:r>
              <w:t>2024</w:t>
            </w:r>
          </w:p>
        </w:tc>
        <w:tc>
          <w:tcPr>
            <w:tcW w:w="1812" w:type="dxa"/>
            <w:vAlign w:val="center"/>
          </w:tcPr>
          <w:p w14:paraId="1DC0D6CD" w14:textId="3C8A117A" w:rsidR="0038643F" w:rsidRDefault="00045134" w:rsidP="00FE3C26">
            <w:pPr>
              <w:jc w:val="center"/>
            </w:pPr>
            <w:r>
              <w:t xml:space="preserve">Evidenciar as disparidades salariais entre </w:t>
            </w:r>
            <w:r w:rsidR="00071FDE">
              <w:t xml:space="preserve">homens e mulheres </w:t>
            </w:r>
            <w:r w:rsidR="005E6629">
              <w:t xml:space="preserve">de igual </w:t>
            </w:r>
            <w:r w:rsidR="00EE2482">
              <w:lastRenderedPageBreak/>
              <w:t xml:space="preserve">qualificação </w:t>
            </w:r>
            <w:r w:rsidR="002539AD">
              <w:t xml:space="preserve">no setor </w:t>
            </w:r>
            <w:r w:rsidR="005A566B">
              <w:t xml:space="preserve">de </w:t>
            </w:r>
            <w:r w:rsidR="004D59F9">
              <w:t>tecnologia.</w:t>
            </w:r>
          </w:p>
        </w:tc>
        <w:tc>
          <w:tcPr>
            <w:tcW w:w="1813" w:type="dxa"/>
            <w:vAlign w:val="center"/>
          </w:tcPr>
          <w:p w14:paraId="09FD43F4" w14:textId="3710881C" w:rsidR="0038643F" w:rsidRDefault="0056230A" w:rsidP="00FE3C26">
            <w:pPr>
              <w:jc w:val="center"/>
            </w:pPr>
            <w:r>
              <w:lastRenderedPageBreak/>
              <w:t>Pesquisa bibliográfica</w:t>
            </w:r>
          </w:p>
        </w:tc>
      </w:tr>
      <w:tr w:rsidR="0038643F" w14:paraId="6E65FFA7" w14:textId="77777777" w:rsidTr="00FE3C26">
        <w:tc>
          <w:tcPr>
            <w:tcW w:w="1812" w:type="dxa"/>
            <w:vAlign w:val="center"/>
          </w:tcPr>
          <w:p w14:paraId="1A516BBB" w14:textId="10425D3C" w:rsidR="0038643F" w:rsidRDefault="004838E7" w:rsidP="00FE3C26">
            <w:pPr>
              <w:jc w:val="center"/>
            </w:pPr>
            <w:r>
              <w:t xml:space="preserve">O labor feminino </w:t>
            </w:r>
            <w:r w:rsidR="006D5EF1">
              <w:t xml:space="preserve">na agricultura cacaueira </w:t>
            </w:r>
            <w:r w:rsidR="001E2BC9">
              <w:t xml:space="preserve">e os desafios da </w:t>
            </w:r>
            <w:r w:rsidR="007379CB">
              <w:t>autonomia rural</w:t>
            </w:r>
          </w:p>
        </w:tc>
        <w:tc>
          <w:tcPr>
            <w:tcW w:w="1812" w:type="dxa"/>
            <w:vAlign w:val="center"/>
          </w:tcPr>
          <w:p w14:paraId="409E9BB5" w14:textId="4E55B519" w:rsidR="0038643F" w:rsidRDefault="00653AFF" w:rsidP="00FE3C26">
            <w:pPr>
              <w:jc w:val="center"/>
            </w:pPr>
            <w:r>
              <w:t>Lima et al.</w:t>
            </w:r>
          </w:p>
        </w:tc>
        <w:tc>
          <w:tcPr>
            <w:tcW w:w="1812" w:type="dxa"/>
            <w:vAlign w:val="center"/>
          </w:tcPr>
          <w:p w14:paraId="1FC84021" w14:textId="7678FFB5" w:rsidR="0038643F" w:rsidRDefault="00EC7122" w:rsidP="00FE3C26">
            <w:pPr>
              <w:jc w:val="center"/>
            </w:pPr>
            <w:r>
              <w:t>2024</w:t>
            </w:r>
          </w:p>
        </w:tc>
        <w:tc>
          <w:tcPr>
            <w:tcW w:w="1812" w:type="dxa"/>
            <w:vAlign w:val="center"/>
          </w:tcPr>
          <w:p w14:paraId="6050EF81" w14:textId="5CFF9013" w:rsidR="0038643F" w:rsidRDefault="006C593D" w:rsidP="00FE3C26">
            <w:pPr>
              <w:jc w:val="center"/>
            </w:pPr>
            <w:r>
              <w:t xml:space="preserve">Discutir </w:t>
            </w:r>
            <w:r w:rsidR="00B30F8F">
              <w:t xml:space="preserve">a </w:t>
            </w:r>
            <w:proofErr w:type="spellStart"/>
            <w:r w:rsidR="00732243">
              <w:t>invisibilização</w:t>
            </w:r>
            <w:proofErr w:type="spellEnd"/>
            <w:r w:rsidR="00B30F8F">
              <w:t xml:space="preserve"> </w:t>
            </w:r>
            <w:r w:rsidR="00732243">
              <w:t>do</w:t>
            </w:r>
            <w:r w:rsidR="00B30F8F">
              <w:t xml:space="preserve"> trabalho feminino rural e o impacto da carga de cuidados familiares.</w:t>
            </w:r>
          </w:p>
        </w:tc>
        <w:tc>
          <w:tcPr>
            <w:tcW w:w="1813" w:type="dxa"/>
            <w:vAlign w:val="center"/>
          </w:tcPr>
          <w:p w14:paraId="1C010693" w14:textId="53471B78" w:rsidR="0038643F" w:rsidRDefault="003513CB" w:rsidP="00FE3C26">
            <w:pPr>
              <w:jc w:val="center"/>
            </w:pPr>
            <w:r>
              <w:t>Pesquisa</w:t>
            </w:r>
            <w:r w:rsidR="005E44E9">
              <w:t xml:space="preserve"> bibliográfica</w:t>
            </w:r>
          </w:p>
        </w:tc>
      </w:tr>
      <w:tr w:rsidR="0038643F" w14:paraId="3286C52D" w14:textId="77777777" w:rsidTr="00FE3C26">
        <w:tc>
          <w:tcPr>
            <w:tcW w:w="1812" w:type="dxa"/>
            <w:vAlign w:val="center"/>
          </w:tcPr>
          <w:p w14:paraId="5A0DAA18" w14:textId="69F59A04" w:rsidR="0038643F" w:rsidRDefault="00CD0305" w:rsidP="00FE3C26">
            <w:pPr>
              <w:jc w:val="center"/>
            </w:pPr>
            <w:r>
              <w:t xml:space="preserve">Teto de vidro e paredes de </w:t>
            </w:r>
            <w:r w:rsidR="00AA00F4">
              <w:t>vidro;</w:t>
            </w:r>
            <w:r w:rsidR="00450585">
              <w:t xml:space="preserve"> ascensão e </w:t>
            </w:r>
            <w:r w:rsidR="00333E88">
              <w:t xml:space="preserve">segregação </w:t>
            </w:r>
            <w:r w:rsidR="00BA40DD">
              <w:t>gerencial feminina</w:t>
            </w:r>
          </w:p>
        </w:tc>
        <w:tc>
          <w:tcPr>
            <w:tcW w:w="1812" w:type="dxa"/>
            <w:vAlign w:val="center"/>
          </w:tcPr>
          <w:p w14:paraId="5943414B" w14:textId="67F8E337" w:rsidR="0038643F" w:rsidRDefault="00653AFF" w:rsidP="00FE3C26">
            <w:pPr>
              <w:jc w:val="center"/>
            </w:pPr>
            <w:r>
              <w:t>Luz et al.</w:t>
            </w:r>
          </w:p>
        </w:tc>
        <w:tc>
          <w:tcPr>
            <w:tcW w:w="1812" w:type="dxa"/>
            <w:vAlign w:val="center"/>
          </w:tcPr>
          <w:p w14:paraId="042CCDA4" w14:textId="57657E44" w:rsidR="0038643F" w:rsidRDefault="00EC7122" w:rsidP="00FE3C26">
            <w:pPr>
              <w:jc w:val="center"/>
            </w:pPr>
            <w:r>
              <w:t>2026</w:t>
            </w:r>
          </w:p>
        </w:tc>
        <w:tc>
          <w:tcPr>
            <w:tcW w:w="1812" w:type="dxa"/>
            <w:vAlign w:val="center"/>
          </w:tcPr>
          <w:p w14:paraId="45D9B590" w14:textId="0E2279FA" w:rsidR="0038643F" w:rsidRDefault="00B01233" w:rsidP="00FE3C26">
            <w:pPr>
              <w:jc w:val="center"/>
            </w:pPr>
            <w:r>
              <w:t xml:space="preserve">Identificar os obstáculos </w:t>
            </w:r>
            <w:r w:rsidR="009C563B">
              <w:t xml:space="preserve">invisíveis que limitam </w:t>
            </w:r>
            <w:r w:rsidR="00A350BB">
              <w:t xml:space="preserve">a ascensão de </w:t>
            </w:r>
            <w:r w:rsidR="00C33327">
              <w:t xml:space="preserve">mulheres a cargos </w:t>
            </w:r>
            <w:r w:rsidR="0043306C">
              <w:t xml:space="preserve">de </w:t>
            </w:r>
            <w:r w:rsidR="00026BC8">
              <w:t xml:space="preserve">alta </w:t>
            </w:r>
            <w:r w:rsidR="006C593D">
              <w:t>gestão no setor público e privado.</w:t>
            </w:r>
          </w:p>
        </w:tc>
        <w:tc>
          <w:tcPr>
            <w:tcW w:w="1813" w:type="dxa"/>
            <w:vAlign w:val="center"/>
          </w:tcPr>
          <w:p w14:paraId="4C173CDD" w14:textId="5BAE1C39" w:rsidR="0038643F" w:rsidRDefault="005E44E9" w:rsidP="00FE3C26">
            <w:pPr>
              <w:jc w:val="center"/>
            </w:pPr>
            <w:r>
              <w:t>Pesquisa bibliográfica</w:t>
            </w:r>
          </w:p>
        </w:tc>
      </w:tr>
    </w:tbl>
    <w:p w14:paraId="5F8EA2DB" w14:textId="77777777" w:rsidR="00513FEF" w:rsidRDefault="00513FEF" w:rsidP="00FB07AF">
      <w:pPr>
        <w:spacing w:line="360" w:lineRule="auto"/>
      </w:pPr>
    </w:p>
    <w:p w14:paraId="45C50665" w14:textId="2F442502" w:rsidR="00F948DF" w:rsidRPr="006E1162" w:rsidRDefault="00F948DF" w:rsidP="00422138">
      <w:pPr>
        <w:spacing w:line="360" w:lineRule="auto"/>
        <w:ind w:firstLine="720"/>
        <w:jc w:val="both"/>
        <w:rPr>
          <w:sz w:val="24"/>
          <w:szCs w:val="24"/>
        </w:rPr>
      </w:pPr>
      <w:r w:rsidRPr="006E1162">
        <w:rPr>
          <w:sz w:val="24"/>
          <w:szCs w:val="24"/>
        </w:rPr>
        <w:t>Os resultados apontam que a atuação profissional das mulheres continua sendo fortemente restringida por estereótipos da sociedade patriarcal. No setor público, essas limitações manifestam-se através do “teto de vidro” barreiras invisíveis que impedem o acesso a cargos decisórios e das “paredes de vidro”, que segregam as profissionais em áreas de menor prestígio gerencial (</w:t>
      </w:r>
      <w:r w:rsidR="002A4C34">
        <w:rPr>
          <w:sz w:val="24"/>
          <w:szCs w:val="24"/>
        </w:rPr>
        <w:t>Luz</w:t>
      </w:r>
      <w:r w:rsidRPr="006E1162">
        <w:rPr>
          <w:sz w:val="24"/>
          <w:szCs w:val="24"/>
        </w:rPr>
        <w:t xml:space="preserve"> et al., 2026).  </w:t>
      </w:r>
    </w:p>
    <w:p w14:paraId="547FC1CF" w14:textId="12F2B3F3" w:rsidR="00F948DF" w:rsidRPr="006E1162" w:rsidRDefault="00F948DF" w:rsidP="00422138">
      <w:pPr>
        <w:spacing w:line="360" w:lineRule="auto"/>
        <w:ind w:firstLine="720"/>
        <w:jc w:val="both"/>
        <w:rPr>
          <w:sz w:val="24"/>
          <w:szCs w:val="24"/>
        </w:rPr>
      </w:pPr>
      <w:r w:rsidRPr="006E1162">
        <w:rPr>
          <w:sz w:val="24"/>
          <w:szCs w:val="24"/>
        </w:rPr>
        <w:t xml:space="preserve">Essa estrutura discriminatória estende-se ao meio rural, onde o trabalho feminino na agricultura cacaueira é frequentemente </w:t>
      </w:r>
      <w:proofErr w:type="spellStart"/>
      <w:r w:rsidRPr="006E1162">
        <w:rPr>
          <w:sz w:val="24"/>
          <w:szCs w:val="24"/>
        </w:rPr>
        <w:t>invisibilizado</w:t>
      </w:r>
      <w:proofErr w:type="spellEnd"/>
      <w:r w:rsidRPr="006E1162">
        <w:rPr>
          <w:sz w:val="24"/>
          <w:szCs w:val="24"/>
        </w:rPr>
        <w:t xml:space="preserve"> como mera “ajuda doméstica” (</w:t>
      </w:r>
      <w:r w:rsidR="009260BB">
        <w:rPr>
          <w:sz w:val="24"/>
          <w:szCs w:val="24"/>
        </w:rPr>
        <w:t>Lima</w:t>
      </w:r>
      <w:r w:rsidRPr="006E1162">
        <w:rPr>
          <w:sz w:val="24"/>
          <w:szCs w:val="24"/>
        </w:rPr>
        <w:t xml:space="preserve"> et al., 2024). A análise sob a perspectiva interseccional demonstra que os indicadores de raça e classe social agravam a precarização, sobrecarregando desproporcionalmente mulheres pretas, pardas e periféricas com o trabalho de cuidados e limitando sua autonomia financeira (L</w:t>
      </w:r>
      <w:r w:rsidR="009260BB">
        <w:rPr>
          <w:sz w:val="24"/>
          <w:szCs w:val="24"/>
        </w:rPr>
        <w:t>ima</w:t>
      </w:r>
      <w:r w:rsidRPr="006E1162">
        <w:rPr>
          <w:sz w:val="24"/>
          <w:szCs w:val="24"/>
        </w:rPr>
        <w:t xml:space="preserve"> et al., 2024; </w:t>
      </w:r>
      <w:r w:rsidR="002A4C34">
        <w:rPr>
          <w:sz w:val="24"/>
          <w:szCs w:val="24"/>
        </w:rPr>
        <w:t>Martins</w:t>
      </w:r>
      <w:r w:rsidRPr="006E1162">
        <w:rPr>
          <w:sz w:val="24"/>
          <w:szCs w:val="24"/>
        </w:rPr>
        <w:t xml:space="preserve">; </w:t>
      </w:r>
      <w:r w:rsidR="009260BB">
        <w:rPr>
          <w:sz w:val="24"/>
          <w:szCs w:val="24"/>
        </w:rPr>
        <w:t>Gouvêa</w:t>
      </w:r>
      <w:r w:rsidRPr="006E1162">
        <w:rPr>
          <w:sz w:val="24"/>
          <w:szCs w:val="24"/>
        </w:rPr>
        <w:t xml:space="preserve">; </w:t>
      </w:r>
      <w:proofErr w:type="spellStart"/>
      <w:r w:rsidRPr="006E1162">
        <w:rPr>
          <w:sz w:val="24"/>
          <w:szCs w:val="24"/>
        </w:rPr>
        <w:t>A</w:t>
      </w:r>
      <w:r w:rsidR="009260BB">
        <w:rPr>
          <w:sz w:val="24"/>
          <w:szCs w:val="24"/>
        </w:rPr>
        <w:t>ngelo</w:t>
      </w:r>
      <w:proofErr w:type="spellEnd"/>
      <w:r w:rsidRPr="006E1162">
        <w:rPr>
          <w:sz w:val="24"/>
          <w:szCs w:val="24"/>
        </w:rPr>
        <w:t xml:space="preserve">, 2026).  </w:t>
      </w:r>
    </w:p>
    <w:p w14:paraId="25C9FE78" w14:textId="49388B83" w:rsidR="00F948DF" w:rsidRPr="006E1162" w:rsidRDefault="00F948DF" w:rsidP="00422138">
      <w:pPr>
        <w:spacing w:line="360" w:lineRule="auto"/>
        <w:ind w:firstLine="720"/>
        <w:jc w:val="both"/>
        <w:rPr>
          <w:sz w:val="24"/>
          <w:szCs w:val="24"/>
        </w:rPr>
      </w:pPr>
      <w:r w:rsidRPr="006E1162">
        <w:rPr>
          <w:sz w:val="24"/>
          <w:szCs w:val="24"/>
        </w:rPr>
        <w:t xml:space="preserve">Além disso, a assimetria salarial permanece um obstáculo crítico mesmo em setores de alta qualificação. No setor de tecnologia do Distrito Federal, persistem disparidades remuneratórias entre homens e mulheres que exercem funções de complexidade equivalente, evidenciando uma desvalorização estrutural do trabalho feminino </w:t>
      </w:r>
      <w:r w:rsidR="009B6411">
        <w:rPr>
          <w:sz w:val="24"/>
          <w:szCs w:val="24"/>
        </w:rPr>
        <w:t>Rocha</w:t>
      </w:r>
      <w:r w:rsidRPr="006E1162">
        <w:rPr>
          <w:sz w:val="24"/>
          <w:szCs w:val="24"/>
        </w:rPr>
        <w:t>, 2024).</w:t>
      </w:r>
    </w:p>
    <w:p w14:paraId="56CB25F8" w14:textId="62B6DBF9" w:rsidR="00F948DF" w:rsidRPr="006E1162" w:rsidRDefault="00F948DF" w:rsidP="00422138">
      <w:pPr>
        <w:spacing w:line="360" w:lineRule="auto"/>
        <w:ind w:firstLine="720"/>
        <w:jc w:val="both"/>
        <w:rPr>
          <w:sz w:val="24"/>
          <w:szCs w:val="24"/>
        </w:rPr>
      </w:pPr>
      <w:r w:rsidRPr="006E1162">
        <w:rPr>
          <w:sz w:val="24"/>
          <w:szCs w:val="24"/>
        </w:rPr>
        <w:t>A literatura demonstra que a promoção da igualdade de oportunidades extrapola a pauta da justiça social, constituindo um fator determinante para a inovação e o crescimento sustentável das organizações (</w:t>
      </w:r>
      <w:r w:rsidR="009B6411">
        <w:rPr>
          <w:sz w:val="24"/>
          <w:szCs w:val="24"/>
        </w:rPr>
        <w:t>Araújo</w:t>
      </w:r>
      <w:r w:rsidRPr="006E1162">
        <w:rPr>
          <w:sz w:val="24"/>
          <w:szCs w:val="24"/>
        </w:rPr>
        <w:t xml:space="preserve">; </w:t>
      </w:r>
      <w:r w:rsidR="009B6411">
        <w:rPr>
          <w:sz w:val="24"/>
          <w:szCs w:val="24"/>
        </w:rPr>
        <w:t>Machado</w:t>
      </w:r>
      <w:r w:rsidRPr="006E1162">
        <w:rPr>
          <w:sz w:val="24"/>
          <w:szCs w:val="24"/>
        </w:rPr>
        <w:t>; M</w:t>
      </w:r>
      <w:r w:rsidR="009B6411">
        <w:rPr>
          <w:sz w:val="24"/>
          <w:szCs w:val="24"/>
        </w:rPr>
        <w:t>achado</w:t>
      </w:r>
      <w:r w:rsidRPr="006E1162">
        <w:rPr>
          <w:sz w:val="24"/>
          <w:szCs w:val="24"/>
        </w:rPr>
        <w:t xml:space="preserve">, 2025). No setor público, a ocupação </w:t>
      </w:r>
      <w:r w:rsidRPr="006E1162">
        <w:rPr>
          <w:sz w:val="24"/>
          <w:szCs w:val="24"/>
        </w:rPr>
        <w:lastRenderedPageBreak/>
        <w:t>feminina em cargos de alta gestão fortalece a representatividade e estimula a eficiência na condução das políticas públicas (</w:t>
      </w:r>
      <w:r w:rsidR="00086885">
        <w:rPr>
          <w:sz w:val="24"/>
          <w:szCs w:val="24"/>
        </w:rPr>
        <w:t>Santos</w:t>
      </w:r>
      <w:r w:rsidRPr="006E1162">
        <w:rPr>
          <w:sz w:val="24"/>
          <w:szCs w:val="24"/>
        </w:rPr>
        <w:t xml:space="preserve">; </w:t>
      </w:r>
      <w:proofErr w:type="spellStart"/>
      <w:r w:rsidRPr="006E1162">
        <w:rPr>
          <w:sz w:val="24"/>
          <w:szCs w:val="24"/>
        </w:rPr>
        <w:t>K</w:t>
      </w:r>
      <w:r w:rsidR="00086885">
        <w:rPr>
          <w:sz w:val="24"/>
          <w:szCs w:val="24"/>
        </w:rPr>
        <w:t>auchakje</w:t>
      </w:r>
      <w:proofErr w:type="spellEnd"/>
      <w:r w:rsidRPr="006E1162">
        <w:rPr>
          <w:sz w:val="24"/>
          <w:szCs w:val="24"/>
        </w:rPr>
        <w:t xml:space="preserve">, 2026).  </w:t>
      </w:r>
    </w:p>
    <w:p w14:paraId="4A7C868A" w14:textId="6726A266" w:rsidR="00F948DF" w:rsidRPr="006E1162" w:rsidRDefault="00F948DF" w:rsidP="00422138">
      <w:pPr>
        <w:spacing w:line="360" w:lineRule="auto"/>
        <w:ind w:firstLine="720"/>
        <w:jc w:val="both"/>
        <w:rPr>
          <w:sz w:val="24"/>
          <w:szCs w:val="24"/>
        </w:rPr>
      </w:pPr>
      <w:r w:rsidRPr="006E1162">
        <w:rPr>
          <w:sz w:val="24"/>
          <w:szCs w:val="24"/>
        </w:rPr>
        <w:t>Da mesma forma, a inclusão feminina em áreas técnicas e no controle da tecnologia da informação amplia a diversidade de perspectivas, impulsionando a economia criativa e o desenvolvimento tecnológico (R</w:t>
      </w:r>
      <w:r w:rsidR="000241E7">
        <w:rPr>
          <w:sz w:val="24"/>
          <w:szCs w:val="24"/>
        </w:rPr>
        <w:t>ocha</w:t>
      </w:r>
      <w:r w:rsidRPr="006E1162">
        <w:rPr>
          <w:sz w:val="24"/>
          <w:szCs w:val="24"/>
        </w:rPr>
        <w:t>, 2024). Para que essas conquistas se consolidem, é fundamental garantir ambientes corporativos seguros e acolhedores, capazes de assegurar a permanência e a progressão profissional das mulheres (</w:t>
      </w:r>
      <w:r w:rsidR="00CD6EAC">
        <w:rPr>
          <w:sz w:val="24"/>
          <w:szCs w:val="24"/>
        </w:rPr>
        <w:t xml:space="preserve">Pinto </w:t>
      </w:r>
      <w:r w:rsidRPr="006E1162">
        <w:rPr>
          <w:sz w:val="24"/>
          <w:szCs w:val="24"/>
        </w:rPr>
        <w:t>J</w:t>
      </w:r>
      <w:r w:rsidR="000241E7">
        <w:rPr>
          <w:sz w:val="24"/>
          <w:szCs w:val="24"/>
        </w:rPr>
        <w:t>únior</w:t>
      </w:r>
      <w:r w:rsidRPr="006E1162">
        <w:rPr>
          <w:sz w:val="24"/>
          <w:szCs w:val="24"/>
        </w:rPr>
        <w:t xml:space="preserve">; </w:t>
      </w:r>
      <w:r w:rsidR="000241E7">
        <w:rPr>
          <w:sz w:val="24"/>
          <w:szCs w:val="24"/>
        </w:rPr>
        <w:t>Oliveira</w:t>
      </w:r>
      <w:r w:rsidRPr="006E1162">
        <w:rPr>
          <w:sz w:val="24"/>
          <w:szCs w:val="24"/>
        </w:rPr>
        <w:t>, 2025).</w:t>
      </w:r>
    </w:p>
    <w:p w14:paraId="57D503D5" w14:textId="77777777" w:rsidR="00F948DF" w:rsidRDefault="00F948DF" w:rsidP="00FB07AF">
      <w:pPr>
        <w:spacing w:line="360" w:lineRule="auto"/>
      </w:pPr>
    </w:p>
    <w:p w14:paraId="038798B2" w14:textId="77777777" w:rsidR="009C2E72" w:rsidRDefault="00BB26D2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71768991" w14:textId="77777777" w:rsidR="00FE3C26" w:rsidRDefault="00FE3C26">
      <w:pPr>
        <w:spacing w:line="360" w:lineRule="auto"/>
        <w:rPr>
          <w:sz w:val="24"/>
          <w:szCs w:val="24"/>
        </w:rPr>
      </w:pPr>
    </w:p>
    <w:p w14:paraId="6EC769E4" w14:textId="3C226505" w:rsidR="0082065B" w:rsidRDefault="0082065B" w:rsidP="0082065B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dos aspectos analisados, conclui-se que a participação feminina nos espaços de trabalho, embora tenha avançado mediante conquistas legais, ainda esbarra em barreiras estruturais, culturais e institucionais profundamente enraizadas. Fenômenos sistêmicos, como o “teto de vidro” e as “paredes de vidro”, continuam a limitar a ascensão das mulheres a cargos de alta gestão e a segregá-las em funções de menor prestígio, perpetuando a desigualdade de oportunidades e a disparidade salarial.  </w:t>
      </w:r>
    </w:p>
    <w:p w14:paraId="0359063A" w14:textId="0EA329D1" w:rsidR="0082065B" w:rsidRDefault="0082065B" w:rsidP="0082065B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Constatou-se, ainda, que a desigualdade de gênero não opera de forma isolada. A análise sob a perspectiva interseccional evidenciou que marcadores de raça e classe social intensificam a vulnerabilidade e a precarização profissional, sobrecarregando de maneira desproporcional mulheres pretas, pardas e periféricas com o trabalho de cuidados não remunerado. Essa dinâmica de exclusão é latente tanto nos centros urbanos e setores de alta qualificação tecnológica quanto no meio rural, onde o labor feminino é frequentemente </w:t>
      </w:r>
      <w:proofErr w:type="spellStart"/>
      <w:r>
        <w:rPr>
          <w:sz w:val="24"/>
          <w:szCs w:val="24"/>
        </w:rPr>
        <w:t>invisibilizado</w:t>
      </w:r>
      <w:proofErr w:type="spellEnd"/>
      <w:r>
        <w:rPr>
          <w:sz w:val="24"/>
          <w:szCs w:val="24"/>
        </w:rPr>
        <w:t xml:space="preserve"> e reduzido à mera ajuda doméstica.  </w:t>
      </w:r>
    </w:p>
    <w:p w14:paraId="72665E4A" w14:textId="1E411F6B" w:rsidR="0082065B" w:rsidRDefault="0082065B" w:rsidP="0082065B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Portanto, a superação desses desafios demanda uma articulação integral entre o Estado, a iniciativa privada e as instituições de ensino. A implementação de políticas afirmativas e institucionais sólidas — tais como programas de mentoria, cotas de gênero, promoção da transparência salarial e flexibilização das jornadas de trabalho — mostra-se indispensável para a desconstrução das barreiras invisíveis e para a garantia de ambientes corporativos inclusivos e seguros.  </w:t>
      </w:r>
    </w:p>
    <w:p w14:paraId="5C3C275B" w14:textId="77777777" w:rsidR="0082065B" w:rsidRDefault="0082065B" w:rsidP="0082065B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 fim, ressalta-se que a equidade de gênero transcende a pauta fundamental da justiça social; ela estabelece-se como um pilar estratégico para o desenvolvimento econômico </w:t>
      </w:r>
      <w:r>
        <w:rPr>
          <w:sz w:val="24"/>
          <w:szCs w:val="24"/>
        </w:rPr>
        <w:lastRenderedPageBreak/>
        <w:t>sustentável, para o fomento da economia criativa e para a eficiência na condução de políticas públicas. Sugere-se, para estudos futuros, a realização de pesquisas empíricas que avaliem a eficácia das políticas de inclusão adotadas em diferentes setores organizacionais, visando aprimorar continuamente as estratégias de enfrentamento às desigualdades no mercado de trabalho.</w:t>
      </w:r>
    </w:p>
    <w:p w14:paraId="4FE2ACBA" w14:textId="77777777" w:rsidR="0082065B" w:rsidRPr="0082065B" w:rsidRDefault="0082065B" w:rsidP="004C1403">
      <w:pPr>
        <w:spacing w:line="360" w:lineRule="auto"/>
        <w:jc w:val="both"/>
        <w:rPr>
          <w:sz w:val="24"/>
          <w:szCs w:val="24"/>
        </w:rPr>
      </w:pPr>
    </w:p>
    <w:p w14:paraId="1A11E5F5" w14:textId="77777777" w:rsidR="009C2E72" w:rsidRDefault="00BB26D2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0796BD1E" w14:textId="77777777" w:rsidR="00CA0676" w:rsidRDefault="00CA0676" w:rsidP="00FE3C26">
      <w:pPr>
        <w:ind w:left="90"/>
        <w:rPr>
          <w:sz w:val="24"/>
          <w:szCs w:val="24"/>
        </w:rPr>
      </w:pPr>
      <w:r w:rsidRPr="270546A2">
        <w:rPr>
          <w:sz w:val="24"/>
          <w:szCs w:val="24"/>
        </w:rPr>
        <w:t xml:space="preserve">DOS SANTOS, Elisa </w:t>
      </w:r>
      <w:proofErr w:type="spellStart"/>
      <w:r w:rsidRPr="270546A2">
        <w:rPr>
          <w:sz w:val="24"/>
          <w:szCs w:val="24"/>
        </w:rPr>
        <w:t>Volker</w:t>
      </w:r>
      <w:proofErr w:type="spellEnd"/>
      <w:r w:rsidRPr="270546A2">
        <w:rPr>
          <w:sz w:val="24"/>
          <w:szCs w:val="24"/>
        </w:rPr>
        <w:t xml:space="preserve">; KAUCHAKJE, Samira. </w:t>
      </w:r>
      <w:r w:rsidRPr="003F2C2B">
        <w:rPr>
          <w:bCs/>
          <w:sz w:val="24"/>
          <w:szCs w:val="24"/>
        </w:rPr>
        <w:t>Desigualdade de gênero nas burocracias estatais em perspectiva comparada: uma revisão sistemática da produção científica</w:t>
      </w:r>
      <w:r w:rsidRPr="00CF2C4A">
        <w:rPr>
          <w:bCs/>
          <w:sz w:val="24"/>
          <w:szCs w:val="24"/>
        </w:rPr>
        <w:t>.</w:t>
      </w:r>
      <w:r w:rsidRPr="270546A2">
        <w:rPr>
          <w:sz w:val="24"/>
          <w:szCs w:val="24"/>
        </w:rPr>
        <w:t xml:space="preserve"> 2026.</w:t>
      </w:r>
    </w:p>
    <w:p w14:paraId="3CE1CFE9" w14:textId="77777777" w:rsidR="00CA0676" w:rsidRDefault="00CA0676" w:rsidP="00FE3C26">
      <w:pPr>
        <w:ind w:left="90"/>
        <w:rPr>
          <w:sz w:val="24"/>
          <w:szCs w:val="24"/>
        </w:rPr>
      </w:pPr>
    </w:p>
    <w:p w14:paraId="3DF1F756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  <w:r w:rsidRPr="4B60E5AB">
        <w:rPr>
          <w:color w:val="000000" w:themeColor="text1"/>
          <w:sz w:val="24"/>
          <w:szCs w:val="24"/>
        </w:rPr>
        <w:t xml:space="preserve">JÚNIOR, Fabrício de Souza Pinto; DE SOUZA OLIVEIRA, Daniel. </w:t>
      </w:r>
      <w:r w:rsidRPr="003F2C2B">
        <w:rPr>
          <w:color w:val="000000" w:themeColor="text1"/>
          <w:sz w:val="24"/>
          <w:szCs w:val="24"/>
        </w:rPr>
        <w:t xml:space="preserve">Revisão Integrativa: Uma Análise de Violência no Mercado de Trabalho. </w:t>
      </w:r>
      <w:proofErr w:type="spellStart"/>
      <w:r w:rsidRPr="003F2C2B">
        <w:rPr>
          <w:color w:val="000000" w:themeColor="text1"/>
          <w:sz w:val="24"/>
          <w:szCs w:val="24"/>
        </w:rPr>
        <w:t>Brazilian</w:t>
      </w:r>
      <w:proofErr w:type="spellEnd"/>
      <w:r w:rsidRPr="003F2C2B">
        <w:rPr>
          <w:color w:val="000000" w:themeColor="text1"/>
          <w:sz w:val="24"/>
          <w:szCs w:val="24"/>
        </w:rPr>
        <w:t xml:space="preserve"> </w:t>
      </w:r>
      <w:proofErr w:type="spellStart"/>
      <w:r w:rsidRPr="003F2C2B">
        <w:rPr>
          <w:color w:val="000000" w:themeColor="text1"/>
          <w:sz w:val="24"/>
          <w:szCs w:val="24"/>
        </w:rPr>
        <w:t>Journal</w:t>
      </w:r>
      <w:proofErr w:type="spellEnd"/>
      <w:r w:rsidRPr="003F2C2B">
        <w:rPr>
          <w:color w:val="000000" w:themeColor="text1"/>
          <w:sz w:val="24"/>
          <w:szCs w:val="24"/>
        </w:rPr>
        <w:t xml:space="preserve"> </w:t>
      </w:r>
      <w:proofErr w:type="spellStart"/>
      <w:r w:rsidRPr="003F2C2B">
        <w:rPr>
          <w:color w:val="000000" w:themeColor="text1"/>
          <w:sz w:val="24"/>
          <w:szCs w:val="24"/>
        </w:rPr>
        <w:t>of</w:t>
      </w:r>
      <w:proofErr w:type="spellEnd"/>
      <w:r w:rsidRPr="003F2C2B">
        <w:rPr>
          <w:color w:val="000000" w:themeColor="text1"/>
          <w:sz w:val="24"/>
          <w:szCs w:val="24"/>
        </w:rPr>
        <w:t xml:space="preserve"> </w:t>
      </w:r>
      <w:proofErr w:type="spellStart"/>
      <w:r w:rsidRPr="003F2C2B">
        <w:rPr>
          <w:color w:val="000000" w:themeColor="text1"/>
          <w:sz w:val="24"/>
          <w:szCs w:val="24"/>
        </w:rPr>
        <w:t>Implantology</w:t>
      </w:r>
      <w:proofErr w:type="spellEnd"/>
      <w:r w:rsidRPr="003F2C2B">
        <w:rPr>
          <w:color w:val="000000" w:themeColor="text1"/>
          <w:sz w:val="24"/>
          <w:szCs w:val="24"/>
        </w:rPr>
        <w:t xml:space="preserve"> </w:t>
      </w:r>
      <w:proofErr w:type="spellStart"/>
      <w:r w:rsidRPr="003F2C2B">
        <w:rPr>
          <w:color w:val="000000" w:themeColor="text1"/>
          <w:sz w:val="24"/>
          <w:szCs w:val="24"/>
        </w:rPr>
        <w:t>and</w:t>
      </w:r>
      <w:proofErr w:type="spellEnd"/>
      <w:r w:rsidRPr="003F2C2B">
        <w:rPr>
          <w:color w:val="000000" w:themeColor="text1"/>
          <w:sz w:val="24"/>
          <w:szCs w:val="24"/>
        </w:rPr>
        <w:t xml:space="preserve"> Health </w:t>
      </w:r>
      <w:proofErr w:type="spellStart"/>
      <w:r w:rsidRPr="003F2C2B">
        <w:rPr>
          <w:color w:val="000000" w:themeColor="text1"/>
          <w:sz w:val="24"/>
          <w:szCs w:val="24"/>
        </w:rPr>
        <w:t>Sciences</w:t>
      </w:r>
      <w:proofErr w:type="spellEnd"/>
      <w:r w:rsidRPr="00A77CF1">
        <w:rPr>
          <w:color w:val="000000" w:themeColor="text1"/>
          <w:sz w:val="24"/>
          <w:szCs w:val="24"/>
        </w:rPr>
        <w:t>,</w:t>
      </w:r>
      <w:r w:rsidRPr="4B60E5AB">
        <w:rPr>
          <w:color w:val="000000" w:themeColor="text1"/>
          <w:sz w:val="24"/>
          <w:szCs w:val="24"/>
        </w:rPr>
        <w:t xml:space="preserve"> v. 7, n. 8, p. 868-885, 2025.</w:t>
      </w:r>
    </w:p>
    <w:p w14:paraId="06AA61FB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</w:p>
    <w:p w14:paraId="517D9573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LUZ, Paula Karina Rosa et al.</w:t>
      </w:r>
      <w:r w:rsidRPr="00112DB5">
        <w:rPr>
          <w:color w:val="000000" w:themeColor="text1"/>
          <w:sz w:val="24"/>
          <w:szCs w:val="24"/>
        </w:rPr>
        <w:t xml:space="preserve"> O fenômeno do teto de vidro em organizações públicas: uma revisão integrativa</w:t>
      </w:r>
      <w:r>
        <w:rPr>
          <w:color w:val="000000" w:themeColor="text1"/>
          <w:sz w:val="24"/>
          <w:szCs w:val="24"/>
        </w:rPr>
        <w:t>. 2026.</w:t>
      </w:r>
    </w:p>
    <w:p w14:paraId="59DB509D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</w:p>
    <w:p w14:paraId="4DB09032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LIMA, GISELE DE AGUIAR et al. </w:t>
      </w:r>
      <w:r w:rsidRPr="00112DB5">
        <w:rPr>
          <w:color w:val="000000" w:themeColor="text1"/>
          <w:sz w:val="24"/>
          <w:szCs w:val="24"/>
        </w:rPr>
        <w:t>MULHERES NA AGRICULTURA DO CACAU. O Social em Questão</w:t>
      </w:r>
      <w:r>
        <w:rPr>
          <w:color w:val="000000" w:themeColor="text1"/>
          <w:sz w:val="24"/>
          <w:szCs w:val="24"/>
        </w:rPr>
        <w:t>, v. 3, n. 60, 2024.</w:t>
      </w:r>
    </w:p>
    <w:p w14:paraId="09989CFE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/>
          <w:sz w:val="24"/>
          <w:szCs w:val="24"/>
        </w:rPr>
      </w:pPr>
    </w:p>
    <w:p w14:paraId="3ECB730C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  <w:r w:rsidRPr="4B60E5AB">
        <w:rPr>
          <w:color w:val="000000" w:themeColor="text1"/>
          <w:sz w:val="24"/>
          <w:szCs w:val="24"/>
        </w:rPr>
        <w:t xml:space="preserve">MACHADO, Débora Mendonça Monteiro; DE SOUZA MACHADO, Danilo Augusto; ARAÚJO, Wanessa Justino. </w:t>
      </w:r>
      <w:r w:rsidRPr="009A614C">
        <w:rPr>
          <w:color w:val="000000" w:themeColor="text1"/>
          <w:sz w:val="24"/>
          <w:szCs w:val="24"/>
        </w:rPr>
        <w:t>Liderança Feminina e Transformação Organizacional: Impactos, Desafios e Oportunidades no Mercado de Trabalho. Diálogos Possíveis</w:t>
      </w:r>
      <w:r w:rsidRPr="00A67436">
        <w:rPr>
          <w:color w:val="000000" w:themeColor="text1"/>
          <w:sz w:val="24"/>
          <w:szCs w:val="24"/>
        </w:rPr>
        <w:t>,</w:t>
      </w:r>
      <w:r w:rsidRPr="4B60E5AB">
        <w:rPr>
          <w:color w:val="000000" w:themeColor="text1"/>
          <w:sz w:val="24"/>
          <w:szCs w:val="24"/>
        </w:rPr>
        <w:t xml:space="preserve"> v. 24, n. 2, 2025.</w:t>
      </w:r>
    </w:p>
    <w:p w14:paraId="1E0964BC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</w:p>
    <w:p w14:paraId="696A3DD0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  <w:r w:rsidRPr="599FB006">
        <w:rPr>
          <w:color w:val="000000" w:themeColor="text1"/>
          <w:sz w:val="24"/>
          <w:szCs w:val="24"/>
        </w:rPr>
        <w:t xml:space="preserve">MARTINS, </w:t>
      </w:r>
      <w:proofErr w:type="spellStart"/>
      <w:r w:rsidRPr="599FB006">
        <w:rPr>
          <w:color w:val="000000" w:themeColor="text1"/>
          <w:sz w:val="24"/>
          <w:szCs w:val="24"/>
        </w:rPr>
        <w:t>Thayna</w:t>
      </w:r>
      <w:proofErr w:type="spellEnd"/>
      <w:r w:rsidRPr="599FB006">
        <w:rPr>
          <w:color w:val="000000" w:themeColor="text1"/>
          <w:sz w:val="24"/>
          <w:szCs w:val="24"/>
        </w:rPr>
        <w:t xml:space="preserve"> Lopes; GOUVÊA, Josiane Barbosa; ANGELO, Elisangela Andrade. </w:t>
      </w:r>
      <w:r w:rsidRPr="009A614C">
        <w:rPr>
          <w:color w:val="000000" w:themeColor="text1"/>
          <w:sz w:val="24"/>
          <w:szCs w:val="24"/>
        </w:rPr>
        <w:t>Mulheres no contexto acadêmico de trabalho: revisão sistemática de literatura. Educação, Ciência e Cultura</w:t>
      </w:r>
      <w:r w:rsidRPr="599FB006">
        <w:rPr>
          <w:color w:val="000000" w:themeColor="text1"/>
          <w:sz w:val="24"/>
          <w:szCs w:val="24"/>
        </w:rPr>
        <w:t>, v. 31, n. 1, 2026.</w:t>
      </w:r>
    </w:p>
    <w:p w14:paraId="2BD23346" w14:textId="77777777" w:rsidR="00CA0676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  <w:rPr>
          <w:color w:val="000000" w:themeColor="text1"/>
          <w:sz w:val="24"/>
          <w:szCs w:val="24"/>
        </w:rPr>
      </w:pPr>
    </w:p>
    <w:p w14:paraId="3A05CEAF" w14:textId="77777777" w:rsidR="00CA0676" w:rsidRPr="00191375" w:rsidRDefault="00CA0676" w:rsidP="00FE3C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90"/>
      </w:pPr>
      <w:r>
        <w:t xml:space="preserve">ROCHA, </w:t>
      </w:r>
      <w:proofErr w:type="spellStart"/>
      <w:r>
        <w:t>Rodolfa</w:t>
      </w:r>
      <w:proofErr w:type="spellEnd"/>
      <w:r>
        <w:t xml:space="preserve"> Dos Santos et al. </w:t>
      </w:r>
      <w:r w:rsidRPr="00C83D66">
        <w:t xml:space="preserve">Gênero, economia criativa e tecnologia da informação: uma análise da representatividade feminina no domínio criativo do software no </w:t>
      </w:r>
      <w:proofErr w:type="spellStart"/>
      <w:r w:rsidRPr="00C83D66">
        <w:t>df</w:t>
      </w:r>
      <w:proofErr w:type="spellEnd"/>
      <w:r>
        <w:t>. 2024.</w:t>
      </w:r>
    </w:p>
    <w:p w14:paraId="3BAFB5B5" w14:textId="77777777" w:rsidR="009C2E72" w:rsidRDefault="009C2E72" w:rsidP="00FE3C26">
      <w:pPr>
        <w:ind w:hanging="1418"/>
        <w:rPr>
          <w:sz w:val="24"/>
          <w:szCs w:val="24"/>
        </w:rPr>
      </w:pPr>
    </w:p>
    <w:p w14:paraId="5EDAA217" w14:textId="77777777" w:rsidR="009C2E72" w:rsidRDefault="009C2E72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0489352F" w14:textId="77777777" w:rsidR="009C2E72" w:rsidRDefault="009C2E72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1ECA03F9" w14:textId="77777777" w:rsidR="009C2E72" w:rsidRDefault="009C2E72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47072E44" w14:textId="77777777" w:rsidR="009C2E72" w:rsidRDefault="009C2E72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7986B320" w14:textId="77777777" w:rsidR="009C2E72" w:rsidRDefault="009C2E72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9C2E72" w:rsidSect="007E29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424FC" w14:textId="77777777" w:rsidR="004B7B74" w:rsidRDefault="004B7B74">
      <w:r>
        <w:separator/>
      </w:r>
    </w:p>
  </w:endnote>
  <w:endnote w:type="continuationSeparator" w:id="0">
    <w:p w14:paraId="3CB5032E" w14:textId="77777777" w:rsidR="004B7B74" w:rsidRDefault="004B7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8E39" w14:textId="77777777" w:rsidR="007E299D" w:rsidRDefault="007E299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09ADB" w14:textId="77777777" w:rsidR="009C2E72" w:rsidRDefault="00BB26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8241" behindDoc="1" locked="0" layoutInCell="1" hidden="0" allowOverlap="1" wp14:anchorId="780B759B" wp14:editId="6AABB9C9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418B44" w14:textId="77777777" w:rsidR="009C2E72" w:rsidRDefault="009C2E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6888306" w14:textId="77777777" w:rsidR="009C2E72" w:rsidRDefault="009C2E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8ED3" w14:textId="77777777" w:rsidR="007E299D" w:rsidRDefault="007E29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94FB" w14:textId="77777777" w:rsidR="004B7B74" w:rsidRDefault="004B7B74">
      <w:r>
        <w:separator/>
      </w:r>
    </w:p>
  </w:footnote>
  <w:footnote w:type="continuationSeparator" w:id="0">
    <w:p w14:paraId="317241F1" w14:textId="77777777" w:rsidR="004B7B74" w:rsidRDefault="004B7B74">
      <w:r>
        <w:continuationSeparator/>
      </w:r>
    </w:p>
  </w:footnote>
  <w:footnote w:id="1">
    <w:p w14:paraId="70D134B1" w14:textId="43D2D098" w:rsidR="00BB3F49" w:rsidRDefault="00BB26D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 </w:t>
      </w:r>
      <w:r w:rsidR="00B174D3">
        <w:rPr>
          <w:color w:val="000000"/>
          <w:sz w:val="20"/>
          <w:szCs w:val="20"/>
        </w:rPr>
        <w:t>Graduando</w:t>
      </w:r>
      <w:r w:rsidR="00140A58">
        <w:rPr>
          <w:color w:val="000000"/>
          <w:sz w:val="20"/>
          <w:szCs w:val="20"/>
        </w:rPr>
        <w:t>(a)</w:t>
      </w:r>
      <w:r w:rsidR="00242D18">
        <w:rPr>
          <w:color w:val="000000"/>
          <w:sz w:val="20"/>
          <w:szCs w:val="20"/>
        </w:rPr>
        <w:t xml:space="preserve"> em Direito </w:t>
      </w:r>
      <w:r>
        <w:rPr>
          <w:color w:val="000000"/>
          <w:sz w:val="20"/>
          <w:szCs w:val="20"/>
        </w:rPr>
        <w:t xml:space="preserve">– </w:t>
      </w:r>
      <w:r w:rsidR="00B67BB3">
        <w:rPr>
          <w:color w:val="000000"/>
          <w:sz w:val="20"/>
          <w:szCs w:val="20"/>
        </w:rPr>
        <w:t>Centro</w:t>
      </w:r>
      <w:r w:rsidR="00F01862">
        <w:rPr>
          <w:color w:val="000000"/>
          <w:sz w:val="20"/>
          <w:szCs w:val="20"/>
        </w:rPr>
        <w:t xml:space="preserve"> Universitário</w:t>
      </w:r>
      <w:r w:rsidR="00FD4CBD">
        <w:rPr>
          <w:color w:val="000000"/>
          <w:sz w:val="20"/>
          <w:szCs w:val="20"/>
        </w:rPr>
        <w:t xml:space="preserve"> </w:t>
      </w:r>
      <w:r w:rsidR="00C779B7">
        <w:rPr>
          <w:color w:val="000000"/>
          <w:sz w:val="20"/>
          <w:szCs w:val="20"/>
        </w:rPr>
        <w:t>Chrisfapi.</w:t>
      </w:r>
      <w:r w:rsidR="00FD4CBD">
        <w:rPr>
          <w:color w:val="000000"/>
          <w:sz w:val="20"/>
          <w:szCs w:val="20"/>
        </w:rPr>
        <w:t xml:space="preserve"> </w:t>
      </w:r>
    </w:p>
    <w:p w14:paraId="5903453C" w14:textId="79B1F193" w:rsidR="009C2E72" w:rsidRDefault="008A0AE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 </w:t>
      </w:r>
      <w:r w:rsidR="00BB26D2">
        <w:rPr>
          <w:color w:val="000000"/>
          <w:sz w:val="20"/>
          <w:szCs w:val="20"/>
          <w:vertAlign w:val="superscript"/>
        </w:rPr>
        <w:t>2</w:t>
      </w:r>
      <w:r w:rsidR="00FE0F56">
        <w:rPr>
          <w:color w:val="000000"/>
          <w:sz w:val="20"/>
          <w:szCs w:val="20"/>
          <w:vertAlign w:val="superscript"/>
        </w:rPr>
        <w:t xml:space="preserve"> </w:t>
      </w:r>
      <w:r w:rsidR="00BB14EE">
        <w:rPr>
          <w:color w:val="000000"/>
          <w:sz w:val="20"/>
          <w:szCs w:val="20"/>
        </w:rPr>
        <w:t>Doutor</w:t>
      </w:r>
      <w:r w:rsidR="00B06AC3">
        <w:rPr>
          <w:color w:val="000000"/>
          <w:sz w:val="20"/>
          <w:szCs w:val="20"/>
        </w:rPr>
        <w:t xml:space="preserve"> em </w:t>
      </w:r>
      <w:r w:rsidR="00995C33">
        <w:rPr>
          <w:color w:val="000000"/>
          <w:sz w:val="20"/>
          <w:szCs w:val="20"/>
        </w:rPr>
        <w:t xml:space="preserve">Biotecnologia </w:t>
      </w:r>
      <w:r w:rsidR="00BB26D2">
        <w:rPr>
          <w:color w:val="000000"/>
          <w:sz w:val="20"/>
          <w:szCs w:val="20"/>
        </w:rPr>
        <w:t xml:space="preserve">– </w:t>
      </w:r>
      <w:r w:rsidR="006945E8">
        <w:rPr>
          <w:color w:val="000000"/>
          <w:sz w:val="20"/>
          <w:szCs w:val="20"/>
        </w:rPr>
        <w:t xml:space="preserve">Docente do Centro </w:t>
      </w:r>
      <w:r w:rsidR="00BB26D2">
        <w:rPr>
          <w:color w:val="000000"/>
          <w:sz w:val="20"/>
          <w:szCs w:val="20"/>
        </w:rPr>
        <w:t>Universitário Chrisfapi.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31FC" w14:textId="77777777" w:rsidR="007E299D" w:rsidRDefault="007E299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EC74" w14:textId="77777777" w:rsidR="009C2E72" w:rsidRDefault="00BB26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4EE41D3" wp14:editId="636014D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1285" w14:textId="77777777" w:rsidR="007E299D" w:rsidRDefault="007E299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73CE"/>
    <w:multiLevelType w:val="hybridMultilevel"/>
    <w:tmpl w:val="F2F68E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52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E72"/>
    <w:rsid w:val="00000D19"/>
    <w:rsid w:val="00002BEB"/>
    <w:rsid w:val="00006A5D"/>
    <w:rsid w:val="00012CAC"/>
    <w:rsid w:val="000166EC"/>
    <w:rsid w:val="00017086"/>
    <w:rsid w:val="000241E7"/>
    <w:rsid w:val="00026BC8"/>
    <w:rsid w:val="00045134"/>
    <w:rsid w:val="000461B6"/>
    <w:rsid w:val="00071FDE"/>
    <w:rsid w:val="000741D6"/>
    <w:rsid w:val="00077DCC"/>
    <w:rsid w:val="00080B7D"/>
    <w:rsid w:val="00086885"/>
    <w:rsid w:val="00090701"/>
    <w:rsid w:val="000B2E3C"/>
    <w:rsid w:val="000D4134"/>
    <w:rsid w:val="000D4DCC"/>
    <w:rsid w:val="000E2715"/>
    <w:rsid w:val="000F430C"/>
    <w:rsid w:val="000F6109"/>
    <w:rsid w:val="000F6F73"/>
    <w:rsid w:val="001022A6"/>
    <w:rsid w:val="0010484D"/>
    <w:rsid w:val="001052C8"/>
    <w:rsid w:val="00114A2D"/>
    <w:rsid w:val="001223DB"/>
    <w:rsid w:val="00126982"/>
    <w:rsid w:val="00133925"/>
    <w:rsid w:val="00135BEF"/>
    <w:rsid w:val="00140A58"/>
    <w:rsid w:val="00141FAB"/>
    <w:rsid w:val="001534CB"/>
    <w:rsid w:val="0015627F"/>
    <w:rsid w:val="001630B0"/>
    <w:rsid w:val="00187B51"/>
    <w:rsid w:val="0019752C"/>
    <w:rsid w:val="001A1DB5"/>
    <w:rsid w:val="001A56E1"/>
    <w:rsid w:val="001B69DF"/>
    <w:rsid w:val="001E2BC9"/>
    <w:rsid w:val="001E3A13"/>
    <w:rsid w:val="00206E56"/>
    <w:rsid w:val="0021085C"/>
    <w:rsid w:val="002216A8"/>
    <w:rsid w:val="00221EDB"/>
    <w:rsid w:val="00242D18"/>
    <w:rsid w:val="002433DE"/>
    <w:rsid w:val="002539AD"/>
    <w:rsid w:val="00257B37"/>
    <w:rsid w:val="00257FF8"/>
    <w:rsid w:val="00260118"/>
    <w:rsid w:val="00262740"/>
    <w:rsid w:val="00272DA8"/>
    <w:rsid w:val="0028209A"/>
    <w:rsid w:val="002A448B"/>
    <w:rsid w:val="002A4C34"/>
    <w:rsid w:val="002C01FB"/>
    <w:rsid w:val="002D3659"/>
    <w:rsid w:val="002E3426"/>
    <w:rsid w:val="002F2AAE"/>
    <w:rsid w:val="002F4A64"/>
    <w:rsid w:val="00302CE3"/>
    <w:rsid w:val="00310AAF"/>
    <w:rsid w:val="003135D6"/>
    <w:rsid w:val="00321684"/>
    <w:rsid w:val="00326216"/>
    <w:rsid w:val="00331BE0"/>
    <w:rsid w:val="00333E88"/>
    <w:rsid w:val="0034770B"/>
    <w:rsid w:val="003513CB"/>
    <w:rsid w:val="003518FE"/>
    <w:rsid w:val="003525C7"/>
    <w:rsid w:val="00352DD5"/>
    <w:rsid w:val="003564B2"/>
    <w:rsid w:val="003658BD"/>
    <w:rsid w:val="00370D8C"/>
    <w:rsid w:val="00381272"/>
    <w:rsid w:val="0038643F"/>
    <w:rsid w:val="003916DF"/>
    <w:rsid w:val="003B5D59"/>
    <w:rsid w:val="003B7058"/>
    <w:rsid w:val="003C0723"/>
    <w:rsid w:val="003C1C80"/>
    <w:rsid w:val="003C4DC0"/>
    <w:rsid w:val="003C5E51"/>
    <w:rsid w:val="003E1F05"/>
    <w:rsid w:val="004025C5"/>
    <w:rsid w:val="00403EA9"/>
    <w:rsid w:val="00404118"/>
    <w:rsid w:val="00407B57"/>
    <w:rsid w:val="00421C87"/>
    <w:rsid w:val="00422138"/>
    <w:rsid w:val="004276A0"/>
    <w:rsid w:val="0043306C"/>
    <w:rsid w:val="00445CA6"/>
    <w:rsid w:val="00450280"/>
    <w:rsid w:val="00450585"/>
    <w:rsid w:val="0045110B"/>
    <w:rsid w:val="0047073B"/>
    <w:rsid w:val="00476374"/>
    <w:rsid w:val="00482B1B"/>
    <w:rsid w:val="004838E7"/>
    <w:rsid w:val="00496561"/>
    <w:rsid w:val="004A0D79"/>
    <w:rsid w:val="004A4BA3"/>
    <w:rsid w:val="004B7B74"/>
    <w:rsid w:val="004C1403"/>
    <w:rsid w:val="004C32BA"/>
    <w:rsid w:val="004C5F68"/>
    <w:rsid w:val="004C7379"/>
    <w:rsid w:val="004D0528"/>
    <w:rsid w:val="004D161A"/>
    <w:rsid w:val="004D59F9"/>
    <w:rsid w:val="004E2849"/>
    <w:rsid w:val="004F0BF5"/>
    <w:rsid w:val="005135B6"/>
    <w:rsid w:val="00513FEF"/>
    <w:rsid w:val="005227B1"/>
    <w:rsid w:val="00524F51"/>
    <w:rsid w:val="00540520"/>
    <w:rsid w:val="00543491"/>
    <w:rsid w:val="005436B4"/>
    <w:rsid w:val="0054419A"/>
    <w:rsid w:val="00547E5C"/>
    <w:rsid w:val="005536EE"/>
    <w:rsid w:val="0056230A"/>
    <w:rsid w:val="00562887"/>
    <w:rsid w:val="00563E40"/>
    <w:rsid w:val="00574C50"/>
    <w:rsid w:val="005847B3"/>
    <w:rsid w:val="005A0B9B"/>
    <w:rsid w:val="005A0DDE"/>
    <w:rsid w:val="005A566B"/>
    <w:rsid w:val="005B4EF6"/>
    <w:rsid w:val="005C70EC"/>
    <w:rsid w:val="005D2492"/>
    <w:rsid w:val="005E44E9"/>
    <w:rsid w:val="005E6629"/>
    <w:rsid w:val="005F0E40"/>
    <w:rsid w:val="005F452E"/>
    <w:rsid w:val="005F4F56"/>
    <w:rsid w:val="006027C3"/>
    <w:rsid w:val="00613FA2"/>
    <w:rsid w:val="006248D2"/>
    <w:rsid w:val="00625832"/>
    <w:rsid w:val="006313A0"/>
    <w:rsid w:val="006340AE"/>
    <w:rsid w:val="00635F18"/>
    <w:rsid w:val="00637A26"/>
    <w:rsid w:val="00646FF7"/>
    <w:rsid w:val="00647F67"/>
    <w:rsid w:val="00653AFF"/>
    <w:rsid w:val="00662370"/>
    <w:rsid w:val="0067212C"/>
    <w:rsid w:val="00676E95"/>
    <w:rsid w:val="0068059B"/>
    <w:rsid w:val="00683A2F"/>
    <w:rsid w:val="00683B6E"/>
    <w:rsid w:val="006945E8"/>
    <w:rsid w:val="00695267"/>
    <w:rsid w:val="006954C2"/>
    <w:rsid w:val="006A0488"/>
    <w:rsid w:val="006B3F9E"/>
    <w:rsid w:val="006C593D"/>
    <w:rsid w:val="006C7C73"/>
    <w:rsid w:val="006D3D95"/>
    <w:rsid w:val="006D5EF1"/>
    <w:rsid w:val="006E1162"/>
    <w:rsid w:val="006E71D3"/>
    <w:rsid w:val="006F145D"/>
    <w:rsid w:val="006F3350"/>
    <w:rsid w:val="006F5157"/>
    <w:rsid w:val="006F7F04"/>
    <w:rsid w:val="0070397B"/>
    <w:rsid w:val="007148BC"/>
    <w:rsid w:val="00717305"/>
    <w:rsid w:val="00727066"/>
    <w:rsid w:val="0072751B"/>
    <w:rsid w:val="00732050"/>
    <w:rsid w:val="00732243"/>
    <w:rsid w:val="007345EF"/>
    <w:rsid w:val="007379CB"/>
    <w:rsid w:val="00740241"/>
    <w:rsid w:val="00741750"/>
    <w:rsid w:val="00761364"/>
    <w:rsid w:val="00764997"/>
    <w:rsid w:val="00770D13"/>
    <w:rsid w:val="00787B47"/>
    <w:rsid w:val="007A2716"/>
    <w:rsid w:val="007A7860"/>
    <w:rsid w:val="007A7C16"/>
    <w:rsid w:val="007A7CB1"/>
    <w:rsid w:val="007B5E73"/>
    <w:rsid w:val="007D25B2"/>
    <w:rsid w:val="007D5257"/>
    <w:rsid w:val="007D58D8"/>
    <w:rsid w:val="007D7764"/>
    <w:rsid w:val="007E299D"/>
    <w:rsid w:val="007E326C"/>
    <w:rsid w:val="007E5992"/>
    <w:rsid w:val="007E7583"/>
    <w:rsid w:val="007F4AB4"/>
    <w:rsid w:val="008018FB"/>
    <w:rsid w:val="008100D1"/>
    <w:rsid w:val="00812144"/>
    <w:rsid w:val="00816C03"/>
    <w:rsid w:val="00820341"/>
    <w:rsid w:val="008204FD"/>
    <w:rsid w:val="0082065B"/>
    <w:rsid w:val="008228C9"/>
    <w:rsid w:val="00825A86"/>
    <w:rsid w:val="00830314"/>
    <w:rsid w:val="0083424D"/>
    <w:rsid w:val="00836BF4"/>
    <w:rsid w:val="008458FC"/>
    <w:rsid w:val="0084616A"/>
    <w:rsid w:val="008628A1"/>
    <w:rsid w:val="00881B4D"/>
    <w:rsid w:val="008A0AE1"/>
    <w:rsid w:val="008B0C70"/>
    <w:rsid w:val="008B47EE"/>
    <w:rsid w:val="008C63EB"/>
    <w:rsid w:val="008C70D1"/>
    <w:rsid w:val="008D30B8"/>
    <w:rsid w:val="008F4E26"/>
    <w:rsid w:val="008F63AE"/>
    <w:rsid w:val="009015B1"/>
    <w:rsid w:val="00905EE6"/>
    <w:rsid w:val="00907465"/>
    <w:rsid w:val="00923C2D"/>
    <w:rsid w:val="009260BB"/>
    <w:rsid w:val="009417D1"/>
    <w:rsid w:val="00944A19"/>
    <w:rsid w:val="00963ABA"/>
    <w:rsid w:val="00991E8D"/>
    <w:rsid w:val="00995C33"/>
    <w:rsid w:val="00996F6B"/>
    <w:rsid w:val="009A11F5"/>
    <w:rsid w:val="009A269D"/>
    <w:rsid w:val="009A463D"/>
    <w:rsid w:val="009B49A2"/>
    <w:rsid w:val="009B4D3E"/>
    <w:rsid w:val="009B6411"/>
    <w:rsid w:val="009B703B"/>
    <w:rsid w:val="009C2E72"/>
    <w:rsid w:val="009C563B"/>
    <w:rsid w:val="009D7618"/>
    <w:rsid w:val="009E361A"/>
    <w:rsid w:val="009E520A"/>
    <w:rsid w:val="009F4FB3"/>
    <w:rsid w:val="009F7AF0"/>
    <w:rsid w:val="00A12852"/>
    <w:rsid w:val="00A208A3"/>
    <w:rsid w:val="00A2327F"/>
    <w:rsid w:val="00A25C94"/>
    <w:rsid w:val="00A3162E"/>
    <w:rsid w:val="00A350BB"/>
    <w:rsid w:val="00A35B04"/>
    <w:rsid w:val="00A51C3F"/>
    <w:rsid w:val="00A61434"/>
    <w:rsid w:val="00A630C0"/>
    <w:rsid w:val="00A64E3C"/>
    <w:rsid w:val="00A95BF8"/>
    <w:rsid w:val="00AA00F4"/>
    <w:rsid w:val="00AA10AD"/>
    <w:rsid w:val="00AA1980"/>
    <w:rsid w:val="00AA494D"/>
    <w:rsid w:val="00AB49F1"/>
    <w:rsid w:val="00AC05A3"/>
    <w:rsid w:val="00AC20DF"/>
    <w:rsid w:val="00AC62ED"/>
    <w:rsid w:val="00AE1D36"/>
    <w:rsid w:val="00AE4094"/>
    <w:rsid w:val="00AE75C2"/>
    <w:rsid w:val="00AE7699"/>
    <w:rsid w:val="00B01233"/>
    <w:rsid w:val="00B03748"/>
    <w:rsid w:val="00B05222"/>
    <w:rsid w:val="00B06AC3"/>
    <w:rsid w:val="00B174D3"/>
    <w:rsid w:val="00B2191F"/>
    <w:rsid w:val="00B22AC4"/>
    <w:rsid w:val="00B23D84"/>
    <w:rsid w:val="00B30F8F"/>
    <w:rsid w:val="00B415A4"/>
    <w:rsid w:val="00B63594"/>
    <w:rsid w:val="00B67BB3"/>
    <w:rsid w:val="00B836EE"/>
    <w:rsid w:val="00B876CB"/>
    <w:rsid w:val="00BA40DD"/>
    <w:rsid w:val="00BA6B19"/>
    <w:rsid w:val="00BA7990"/>
    <w:rsid w:val="00BA7C8C"/>
    <w:rsid w:val="00BB14EE"/>
    <w:rsid w:val="00BB26D2"/>
    <w:rsid w:val="00BB3F49"/>
    <w:rsid w:val="00BD22E6"/>
    <w:rsid w:val="00BE4947"/>
    <w:rsid w:val="00BE5FFE"/>
    <w:rsid w:val="00BF2E37"/>
    <w:rsid w:val="00BF6762"/>
    <w:rsid w:val="00C04668"/>
    <w:rsid w:val="00C12E88"/>
    <w:rsid w:val="00C26612"/>
    <w:rsid w:val="00C30849"/>
    <w:rsid w:val="00C31905"/>
    <w:rsid w:val="00C31DED"/>
    <w:rsid w:val="00C32627"/>
    <w:rsid w:val="00C33327"/>
    <w:rsid w:val="00C501A9"/>
    <w:rsid w:val="00C541E4"/>
    <w:rsid w:val="00C66F7B"/>
    <w:rsid w:val="00C7185D"/>
    <w:rsid w:val="00C760B1"/>
    <w:rsid w:val="00C779B7"/>
    <w:rsid w:val="00C91C60"/>
    <w:rsid w:val="00C93BC2"/>
    <w:rsid w:val="00C94488"/>
    <w:rsid w:val="00C95F4C"/>
    <w:rsid w:val="00CA0676"/>
    <w:rsid w:val="00CB105D"/>
    <w:rsid w:val="00CB2F2E"/>
    <w:rsid w:val="00CB5BAF"/>
    <w:rsid w:val="00CB61D6"/>
    <w:rsid w:val="00CC5636"/>
    <w:rsid w:val="00CC6CD9"/>
    <w:rsid w:val="00CD0305"/>
    <w:rsid w:val="00CD4A21"/>
    <w:rsid w:val="00CD50E7"/>
    <w:rsid w:val="00CD6EAC"/>
    <w:rsid w:val="00D02B9E"/>
    <w:rsid w:val="00D03DC2"/>
    <w:rsid w:val="00D13AA4"/>
    <w:rsid w:val="00D27881"/>
    <w:rsid w:val="00D35564"/>
    <w:rsid w:val="00D43514"/>
    <w:rsid w:val="00D43B9F"/>
    <w:rsid w:val="00D45BD2"/>
    <w:rsid w:val="00D51E05"/>
    <w:rsid w:val="00D52BFC"/>
    <w:rsid w:val="00D57DB9"/>
    <w:rsid w:val="00D65B89"/>
    <w:rsid w:val="00D661CA"/>
    <w:rsid w:val="00D81BD2"/>
    <w:rsid w:val="00D879BC"/>
    <w:rsid w:val="00D94D1B"/>
    <w:rsid w:val="00D97E3F"/>
    <w:rsid w:val="00DA6B53"/>
    <w:rsid w:val="00DA7227"/>
    <w:rsid w:val="00DB500B"/>
    <w:rsid w:val="00DE3E7D"/>
    <w:rsid w:val="00DE55E4"/>
    <w:rsid w:val="00DF0203"/>
    <w:rsid w:val="00E00738"/>
    <w:rsid w:val="00E01110"/>
    <w:rsid w:val="00E036DB"/>
    <w:rsid w:val="00E41A2A"/>
    <w:rsid w:val="00E43C57"/>
    <w:rsid w:val="00E46D13"/>
    <w:rsid w:val="00E47698"/>
    <w:rsid w:val="00E62C34"/>
    <w:rsid w:val="00E75C45"/>
    <w:rsid w:val="00E853FD"/>
    <w:rsid w:val="00E86C46"/>
    <w:rsid w:val="00E97698"/>
    <w:rsid w:val="00EA3E00"/>
    <w:rsid w:val="00EA41D3"/>
    <w:rsid w:val="00EB0FA1"/>
    <w:rsid w:val="00EB6ED0"/>
    <w:rsid w:val="00EC190D"/>
    <w:rsid w:val="00EC7122"/>
    <w:rsid w:val="00EE2482"/>
    <w:rsid w:val="00EE3FFA"/>
    <w:rsid w:val="00F00DE0"/>
    <w:rsid w:val="00F01862"/>
    <w:rsid w:val="00F05597"/>
    <w:rsid w:val="00F10717"/>
    <w:rsid w:val="00F24529"/>
    <w:rsid w:val="00F30708"/>
    <w:rsid w:val="00F33F84"/>
    <w:rsid w:val="00F364AC"/>
    <w:rsid w:val="00F40DA4"/>
    <w:rsid w:val="00F462EB"/>
    <w:rsid w:val="00F51CCD"/>
    <w:rsid w:val="00F54239"/>
    <w:rsid w:val="00F572BB"/>
    <w:rsid w:val="00F64650"/>
    <w:rsid w:val="00F77BAB"/>
    <w:rsid w:val="00F80F88"/>
    <w:rsid w:val="00F818DA"/>
    <w:rsid w:val="00F83049"/>
    <w:rsid w:val="00F8524D"/>
    <w:rsid w:val="00F860A4"/>
    <w:rsid w:val="00F87F57"/>
    <w:rsid w:val="00F94785"/>
    <w:rsid w:val="00F948DF"/>
    <w:rsid w:val="00FA155D"/>
    <w:rsid w:val="00FA1A27"/>
    <w:rsid w:val="00FA4BCB"/>
    <w:rsid w:val="00FB07AF"/>
    <w:rsid w:val="00FB542F"/>
    <w:rsid w:val="00FB7769"/>
    <w:rsid w:val="00FC4F2C"/>
    <w:rsid w:val="00FD0162"/>
    <w:rsid w:val="00FD4CBD"/>
    <w:rsid w:val="00FD7DEC"/>
    <w:rsid w:val="00FE0F56"/>
    <w:rsid w:val="00FE3C26"/>
    <w:rsid w:val="30C4E32E"/>
    <w:rsid w:val="348A7B26"/>
    <w:rsid w:val="3919C3E0"/>
    <w:rsid w:val="4CED1402"/>
    <w:rsid w:val="4E269172"/>
    <w:rsid w:val="525F8363"/>
    <w:rsid w:val="5A852015"/>
    <w:rsid w:val="662B8A60"/>
    <w:rsid w:val="675698D1"/>
    <w:rsid w:val="7C44B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99E60"/>
  <w15:docId w15:val="{7D459703-C587-8E4F-AF4A-ABBC938D5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299D"/>
  </w:style>
  <w:style w:type="paragraph" w:styleId="Rodap">
    <w:name w:val="footer"/>
    <w:basedOn w:val="Normal"/>
    <w:link w:val="Rodap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99D"/>
  </w:style>
  <w:style w:type="table" w:styleId="Tabelacomgrade">
    <w:name w:val="Table Grid"/>
    <w:basedOn w:val="Tabelanormal"/>
    <w:uiPriority w:val="39"/>
    <w:rsid w:val="00386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E3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2465</Words>
  <Characters>13315</Characters>
  <Application>Microsoft Office Word</Application>
  <DocSecurity>0</DocSecurity>
  <Lines>110</Lines>
  <Paragraphs>31</Paragraphs>
  <ScaleCrop>false</ScaleCrop>
  <Company/>
  <LinksUpToDate>false</LinksUpToDate>
  <CharactersWithSpaces>15749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neyago Santos</cp:lastModifiedBy>
  <cp:revision>2</cp:revision>
  <dcterms:created xsi:type="dcterms:W3CDTF">2026-09-08T21:40:00Z</dcterms:created>
  <dcterms:modified xsi:type="dcterms:W3CDTF">2026-09-08T21:40:00Z</dcterms:modified>
</cp:coreProperties>
</file>