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9B28" w14:textId="75CA5DAB" w:rsidR="004A6E2E" w:rsidRDefault="00794567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DIAGNÓSTICO LABORATORIAL DA DOENÇA DE ALZHEIMER E SEUS REGISTROS HISTÓRICOS</w:t>
      </w:r>
    </w:p>
    <w:p w14:paraId="26DB77C8" w14:textId="4F6E0451" w:rsidR="003453F0" w:rsidRPr="00C11CBC" w:rsidRDefault="00794567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Isadora Soares de Lim</w:t>
      </w:r>
      <w:r w:rsidR="003453F0" w:rsidRPr="00C11CBC">
        <w:rPr>
          <w:rFonts w:ascii="Times New Roman" w:hAnsi="Times New Roman" w:cs="Times New Roman"/>
          <w:sz w:val="24"/>
          <w:szCs w:val="24"/>
        </w:rPr>
        <w:t>al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Ivanise Correia da Silva Mota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CB39C" w14:textId="49CBC211" w:rsidR="007E7D8A" w:rsidRPr="003E530E" w:rsidRDefault="00794567" w:rsidP="00757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30E">
        <w:rPr>
          <w:rFonts w:ascii="Times New Roman" w:hAnsi="Times New Roman" w:cs="Times New Roman"/>
          <w:sz w:val="24"/>
          <w:szCs w:val="24"/>
        </w:rPr>
        <w:t xml:space="preserve">Pontifícia Universidade Católica de Goiás, Goiânia, Goiás. </w:t>
      </w:r>
      <w:hyperlink r:id="rId8" w:history="1">
        <w:r w:rsidR="003E530E" w:rsidRPr="003E5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isadora.slima17@gmail.com</w:t>
        </w:r>
        <w:r w:rsidR="003E530E" w:rsidRPr="003E5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3E530E" w:rsidRPr="003E5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</w:t>
        </w:r>
      </w:hyperlink>
      <w:r w:rsidRPr="003E530E">
        <w:rPr>
          <w:rFonts w:ascii="Times New Roman" w:hAnsi="Times New Roman" w:cs="Times New Roman"/>
          <w:sz w:val="24"/>
          <w:szCs w:val="24"/>
        </w:rPr>
        <w:t xml:space="preserve">; </w:t>
      </w:r>
      <w:r w:rsidRPr="003E530E">
        <w:rPr>
          <w:rFonts w:ascii="Times New Roman" w:hAnsi="Times New Roman" w:cs="Times New Roman"/>
          <w:sz w:val="24"/>
          <w:szCs w:val="24"/>
        </w:rPr>
        <w:t xml:space="preserve">Pontifícia Universidade Católica de Goiás, Goiânia, Goiás. </w:t>
      </w:r>
      <w:hyperlink r:id="rId9" w:history="1">
        <w:r w:rsidRPr="003E53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icivanise700@gmail.com</w:t>
        </w:r>
      </w:hyperlink>
      <w:r w:rsidR="007E7D8A" w:rsidRPr="003E530E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Pr="003E530E">
        <w:rPr>
          <w:rFonts w:ascii="Times New Roman" w:hAnsi="Times New Roman" w:cs="Times New Roman"/>
          <w:sz w:val="24"/>
          <w:szCs w:val="24"/>
        </w:rPr>
        <w:t>.</w:t>
      </w:r>
    </w:p>
    <w:p w14:paraId="2E7085DC" w14:textId="77777777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E7D8A" w:rsidSect="001E7944">
          <w:headerReference w:type="default" r:id="rId10"/>
          <w:foot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597372" w14:textId="2DCC0BAF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5BC7AF54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69E1378" w14:textId="344DE654" w:rsidR="007E7D8A" w:rsidRPr="00757C18" w:rsidRDefault="00C11CBC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18">
        <w:rPr>
          <w:rFonts w:ascii="Times New Roman" w:hAnsi="Times New Roman" w:cs="Times New Roman"/>
          <w:sz w:val="24"/>
          <w:szCs w:val="24"/>
        </w:rPr>
        <w:t>INTRODUÇÃO: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 </w:t>
      </w:r>
      <w:r w:rsidR="00757C18" w:rsidRPr="00757C18">
        <w:rPr>
          <w:rFonts w:ascii="Times New Roman" w:hAnsi="Times New Roman" w:cs="Times New Roman"/>
          <w:sz w:val="24"/>
          <w:szCs w:val="24"/>
        </w:rPr>
        <w:t>A Doença de Alzheimer (DA) é um distúrbio neurodegenerativo caracterizado por demência, clinicamente representado por perda da memória recente, interferindo na cognição e nas atividades cotidianas do indivíduo</w:t>
      </w:r>
      <w:r w:rsidR="00757C18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757C18" w:rsidRPr="00757C18">
        <w:rPr>
          <w:rFonts w:ascii="Times New Roman" w:hAnsi="Times New Roman" w:cs="Times New Roman"/>
          <w:sz w:val="24"/>
          <w:szCs w:val="24"/>
        </w:rPr>
        <w:t>. Desde a sua descoberta em 190</w:t>
      </w:r>
      <w:r w:rsidR="00757C18">
        <w:rPr>
          <w:rFonts w:ascii="Times New Roman" w:hAnsi="Times New Roman" w:cs="Times New Roman"/>
          <w:sz w:val="24"/>
          <w:szCs w:val="24"/>
        </w:rPr>
        <w:t>6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 por Alöis Alzheimer, seu diagnóstico se manteve diretivo às manifestações clínicas, contudo, hoje, é acrescido de avaliações e interações com outras doenças, interferências ambientais, bioquímicas, genéticas e epigenéticas</w:t>
      </w:r>
      <w:r w:rsidR="00757C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. A identificação da </w:t>
      </w:r>
      <w:proofErr w:type="spellStart"/>
      <w:r w:rsidR="00757C18" w:rsidRPr="00757C1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57C18" w:rsidRPr="00757C18">
        <w:rPr>
          <w:rFonts w:ascii="Times New Roman" w:hAnsi="Times New Roman" w:cs="Times New Roman"/>
          <w:sz w:val="24"/>
          <w:szCs w:val="24"/>
        </w:rPr>
        <w:t xml:space="preserve"> é realizada pela detecção de acúmulos de placas β amiloide e depósitos intraneuronais de emaranhados neurofibrilares, que são compostos de agregados de proteína Tau hiperfosforilados, que se aglomeram no citoplasma neuronal, desestabilizando os microtúbulos e transporte axonal. Em consequência, podem acarretar estresse oxidativo e fissuras na barreira hematoencefálica desenvolvendo processo inflamatório cerebral, justificando a neurodegeneração</w:t>
      </w:r>
      <w:r w:rsidR="00757C18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="00757C18" w:rsidRPr="00757C18">
        <w:rPr>
          <w:rFonts w:ascii="Times New Roman" w:hAnsi="Times New Roman" w:cs="Times New Roman"/>
          <w:sz w:val="24"/>
          <w:szCs w:val="24"/>
        </w:rPr>
        <w:t>.</w:t>
      </w:r>
      <w:r w:rsidRPr="00757C18">
        <w:rPr>
          <w:rFonts w:ascii="Times New Roman" w:hAnsi="Times New Roman" w:cs="Times New Roman"/>
          <w:sz w:val="24"/>
          <w:szCs w:val="24"/>
        </w:rPr>
        <w:t xml:space="preserve"> OBJETIVO: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 </w:t>
      </w:r>
      <w:r w:rsidR="00757C18" w:rsidRPr="00757C18">
        <w:rPr>
          <w:rFonts w:ascii="Times New Roman" w:hAnsi="Times New Roman" w:cs="Times New Roman"/>
          <w:sz w:val="24"/>
          <w:szCs w:val="24"/>
        </w:rPr>
        <w:t>Diante destes fatos, os critérios de diagnósticos laboratoriais são importantes para identificação precoce da doença possibilitando a minimização dos seus efeitos</w:t>
      </w:r>
      <w:r w:rsidRPr="00757C18">
        <w:rPr>
          <w:rFonts w:ascii="Times New Roman" w:hAnsi="Times New Roman" w:cs="Times New Roman"/>
          <w:sz w:val="24"/>
          <w:szCs w:val="24"/>
        </w:rPr>
        <w:t>. MÉTODOS: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 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Acreditando nesta proposta, este estudo se desenvolve com a análise das diversas fontes de diagnóstico da </w:t>
      </w:r>
      <w:proofErr w:type="spellStart"/>
      <w:r w:rsidR="00757C18" w:rsidRPr="00757C1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57C18" w:rsidRPr="00757C18">
        <w:rPr>
          <w:rFonts w:ascii="Times New Roman" w:hAnsi="Times New Roman" w:cs="Times New Roman"/>
          <w:sz w:val="24"/>
          <w:szCs w:val="24"/>
        </w:rPr>
        <w:t xml:space="preserve"> e a exposição histórica de seus eventos, através de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revisão narrativa envolvendo pesquisa exploratória de abordagem qualitativa de fontes de informações bibliográficas e eletrônicas</w:t>
      </w:r>
      <w:r w:rsidR="00B022F1" w:rsidRPr="00757C18">
        <w:rPr>
          <w:rFonts w:ascii="Times New Roman" w:hAnsi="Times New Roman" w:cs="Times New Roman"/>
          <w:sz w:val="24"/>
          <w:szCs w:val="24"/>
        </w:rPr>
        <w:t xml:space="preserve">. RESULTADOS: 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Diversas áreas das Ciências da Saúde se encontram como fontes de diagnóstico da </w:t>
      </w:r>
      <w:proofErr w:type="spellStart"/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>, porém primeiramente, um dos aspectos de maior evidência consiste na avaliação clínica, por se tratar de uma análise de exclusão de outras condições demenciais</w:t>
      </w:r>
      <w:r w:rsidR="007B2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6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>. Exames de neuroimagem estrutural e funcional como tomografia computadorizada e ressonância magnética são também solicitados na investigação primária, acrescidos posteriormente, do exame eletroencefalograma padrão e o quantitativo</w:t>
      </w:r>
      <w:r w:rsidR="007B2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6,7,8,9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>. Exames vinculados à parte gênica PSEN1 e PSEN2, e alelo ε4 da apolipoproteína E, são realizados como fontes alternativas do diagnóstico</w:t>
      </w:r>
      <w:r w:rsidR="007B2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8,10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avaliação definitiva da </w:t>
      </w:r>
      <w:proofErr w:type="spellStart"/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obtida por exames anatomopatológicos por necropsia ou biopsia, sendo de difícil obtenção ou inviável, salvo ser 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um método pouco utilizado, devido a aspectos éticos e culturais</w:t>
      </w:r>
      <w:r w:rsidR="007B2A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11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. </w:t>
      </w:r>
      <w:r w:rsidR="008612BE" w:rsidRPr="00757C18">
        <w:rPr>
          <w:rFonts w:ascii="Times New Roman" w:hAnsi="Times New Roman" w:cs="Times New Roman"/>
          <w:sz w:val="24"/>
          <w:szCs w:val="24"/>
        </w:rPr>
        <w:t>CONCLUSÕES: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 </w:t>
      </w:r>
      <w:r w:rsidR="00757C18" w:rsidRPr="00757C1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57C18" w:rsidRPr="00757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evolução diagnóstica da </w:t>
      </w:r>
      <w:proofErr w:type="spellStart"/>
      <w:r w:rsidR="00757C18" w:rsidRPr="00757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</w:t>
      </w:r>
      <w:proofErr w:type="spellEnd"/>
      <w:r w:rsidR="00757C18" w:rsidRPr="00757C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retrata uma série de pesquisas de diferentes áreas de estudo, revelando a sua importância no contexto familiar de forma marcante e expressiva</w:t>
      </w:r>
      <w:r w:rsidR="00C31650" w:rsidRPr="00757C18">
        <w:rPr>
          <w:rFonts w:ascii="Times New Roman" w:hAnsi="Times New Roman" w:cs="Times New Roman"/>
          <w:sz w:val="24"/>
          <w:szCs w:val="24"/>
        </w:rPr>
        <w:t>.</w:t>
      </w:r>
    </w:p>
    <w:p w14:paraId="6FA654D3" w14:textId="60841FEE" w:rsidR="00C31650" w:rsidRDefault="00C31650" w:rsidP="00861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2988276B" w14:textId="77777777" w:rsidR="00757C18" w:rsidRDefault="001A39B7" w:rsidP="00757C1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18">
        <w:rPr>
          <w:rFonts w:ascii="Times New Roman" w:hAnsi="Times New Roman" w:cs="Times New Roman"/>
          <w:sz w:val="24"/>
          <w:szCs w:val="24"/>
        </w:rPr>
        <w:t xml:space="preserve">1 – 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Ferreira DC, </w:t>
      </w:r>
      <w:proofErr w:type="spellStart"/>
      <w:r w:rsidR="00757C18" w:rsidRPr="00757C18">
        <w:rPr>
          <w:rFonts w:ascii="Times New Roman" w:hAnsi="Times New Roman" w:cs="Times New Roman"/>
          <w:sz w:val="24"/>
          <w:szCs w:val="24"/>
        </w:rPr>
        <w:t>Catelan-Mainardes</w:t>
      </w:r>
      <w:proofErr w:type="spellEnd"/>
      <w:r w:rsidR="00757C18" w:rsidRPr="00757C18">
        <w:rPr>
          <w:rFonts w:ascii="Times New Roman" w:hAnsi="Times New Roman" w:cs="Times New Roman"/>
          <w:sz w:val="24"/>
          <w:szCs w:val="24"/>
        </w:rPr>
        <w:t xml:space="preserve"> SC. Doença de Alzheimer: Como Identificar, prevenir e tratar</w:t>
      </w:r>
      <w:r w:rsidR="00757C18" w:rsidRPr="00757C18">
        <w:rPr>
          <w:rFonts w:ascii="Times New Roman" w:hAnsi="Times New Roman" w:cs="Times New Roman"/>
          <w:b/>
          <w:sz w:val="24"/>
          <w:szCs w:val="24"/>
        </w:rPr>
        <w:t>.</w:t>
      </w:r>
      <w:r w:rsidR="00757C18" w:rsidRPr="00757C18">
        <w:rPr>
          <w:rFonts w:ascii="Times New Roman" w:hAnsi="Times New Roman" w:cs="Times New Roman"/>
          <w:sz w:val="24"/>
          <w:szCs w:val="24"/>
        </w:rPr>
        <w:t xml:space="preserve"> Encontro </w:t>
      </w:r>
      <w:proofErr w:type="spellStart"/>
      <w:r w:rsidR="00757C18" w:rsidRPr="00757C1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757C18" w:rsidRPr="00757C18">
        <w:rPr>
          <w:rFonts w:ascii="Times New Roman" w:hAnsi="Times New Roman" w:cs="Times New Roman"/>
          <w:sz w:val="24"/>
          <w:szCs w:val="24"/>
        </w:rPr>
        <w:t xml:space="preserve"> Produção Científica. 2013;16.</w:t>
      </w:r>
    </w:p>
    <w:p w14:paraId="24936C61" w14:textId="77777777" w:rsidR="00757C18" w:rsidRDefault="00757C18" w:rsidP="00757C1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Femminella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 xml:space="preserve"> GD,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Thayanandan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Calsolaro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Komici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 xml:space="preserve"> K, Rengo G,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Corbi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 xml:space="preserve"> G, et al. </w:t>
      </w:r>
      <w:proofErr w:type="spellStart"/>
      <w:r w:rsidRPr="00940F0A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94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F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0F0A">
        <w:rPr>
          <w:rFonts w:ascii="Times New Roman" w:hAnsi="Times New Roman" w:cs="Times New Roman"/>
          <w:sz w:val="24"/>
          <w:szCs w:val="24"/>
        </w:rPr>
        <w:t xml:space="preserve"> molecular </w:t>
      </w:r>
      <w:proofErr w:type="spellStart"/>
      <w:r w:rsidRPr="00940F0A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94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F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4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F0A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940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F0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940F0A">
        <w:rPr>
          <w:rFonts w:ascii="Times New Roman" w:hAnsi="Times New Roman" w:cs="Times New Roman"/>
          <w:sz w:val="24"/>
          <w:szCs w:val="24"/>
        </w:rPr>
        <w:t>: A revie</w:t>
      </w:r>
      <w:r w:rsidRPr="00183802">
        <w:rPr>
          <w:rFonts w:ascii="Times New Roman" w:hAnsi="Times New Roman" w:cs="Times New Roman"/>
          <w:b/>
          <w:sz w:val="24"/>
          <w:szCs w:val="24"/>
        </w:rPr>
        <w:t>w</w:t>
      </w:r>
      <w:r w:rsidRPr="00912F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 xml:space="preserve"> J Mol </w:t>
      </w:r>
      <w:proofErr w:type="spellStart"/>
      <w:r w:rsidRPr="00912F59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912F59">
        <w:rPr>
          <w:rFonts w:ascii="Times New Roman" w:hAnsi="Times New Roman" w:cs="Times New Roman"/>
          <w:sz w:val="24"/>
          <w:szCs w:val="24"/>
        </w:rPr>
        <w:t>. 2018;19(12):23.</w:t>
      </w:r>
    </w:p>
    <w:p w14:paraId="5D4F2452" w14:textId="1DF5F0CD" w:rsidR="00757C18" w:rsidRDefault="00757C18" w:rsidP="00757C1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1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r w:rsidRPr="00757C18">
        <w:rPr>
          <w:rFonts w:ascii="Times New Roman" w:hAnsi="Times New Roman" w:cs="Times New Roman"/>
          <w:sz w:val="24"/>
          <w:szCs w:val="24"/>
        </w:rPr>
        <w:t xml:space="preserve">Lima JS. Envelhecimento, demência e doença de Alzheimer: o que a psicologia tem a ver com isso? *.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Ciências Humanas. 2006;050(40):469–89.</w:t>
      </w:r>
    </w:p>
    <w:p w14:paraId="6B3251AC" w14:textId="357CEB97" w:rsidR="00757C18" w:rsidRPr="00757C18" w:rsidRDefault="00757C18" w:rsidP="00757C1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</w:t>
      </w:r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r w:rsidRPr="00757C18">
        <w:rPr>
          <w:rFonts w:ascii="Times New Roman" w:hAnsi="Times New Roman" w:cs="Times New Roman"/>
          <w:sz w:val="24"/>
          <w:szCs w:val="24"/>
        </w:rPr>
        <w:t xml:space="preserve">Durst F,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Tropea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-Dimensional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Backward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Turbul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>. 2011;8(6):41–52.</w:t>
      </w:r>
    </w:p>
    <w:p w14:paraId="56E34BE8" w14:textId="77777777" w:rsidR="007B2A0A" w:rsidRDefault="00757C18" w:rsidP="007B2A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Duff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Linking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Aβ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Tau in Late-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Onset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: A Dual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Hypothesis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C18">
        <w:rPr>
          <w:rFonts w:ascii="Times New Roman" w:hAnsi="Times New Roman" w:cs="Times New Roman"/>
          <w:sz w:val="24"/>
          <w:szCs w:val="24"/>
        </w:rPr>
        <w:t>Neuron</w:t>
      </w:r>
      <w:proofErr w:type="spellEnd"/>
      <w:r w:rsidRPr="00757C18">
        <w:rPr>
          <w:rFonts w:ascii="Times New Roman" w:hAnsi="Times New Roman" w:cs="Times New Roman"/>
          <w:sz w:val="24"/>
          <w:szCs w:val="24"/>
        </w:rPr>
        <w:t>. 2008;60(4):534–42.</w:t>
      </w:r>
    </w:p>
    <w:p w14:paraId="6E1B5D6F" w14:textId="77777777" w:rsidR="007B2A0A" w:rsidRDefault="007B2A0A" w:rsidP="007B2A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r w:rsidRPr="007B2A0A">
        <w:rPr>
          <w:rFonts w:ascii="Times New Roman" w:hAnsi="Times New Roman" w:cs="Times New Roman"/>
          <w:sz w:val="24"/>
          <w:szCs w:val="24"/>
        </w:rPr>
        <w:t xml:space="preserve">Almeida OP. Mini Exame Do Estado Mental e O Diagnóstico de Demência no Brasil.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Neuropsiquiatr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>. 1998;56(3 B):605–12.</w:t>
      </w:r>
    </w:p>
    <w:p w14:paraId="51889C32" w14:textId="6246A850" w:rsidR="007B2A0A" w:rsidRPr="007B2A0A" w:rsidRDefault="007B2A0A" w:rsidP="007B2A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B2A0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AlzheimerMed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Informação &amp; Solidariedade. 2004</w:t>
      </w:r>
      <w:bookmarkStart w:id="0" w:name="_Hlk70107693"/>
      <w:r w:rsidRPr="007B2A0A">
        <w:rPr>
          <w:rFonts w:ascii="Times New Roman" w:hAnsi="Times New Roman" w:cs="Times New Roman"/>
          <w:sz w:val="24"/>
          <w:szCs w:val="24"/>
        </w:rPr>
        <w:t>.</w:t>
      </w:r>
    </w:p>
    <w:p w14:paraId="175360D0" w14:textId="77777777" w:rsidR="007B2A0A" w:rsidRDefault="007B2A0A" w:rsidP="007B2A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–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Car</w:t>
      </w:r>
      <w:bookmarkStart w:id="1" w:name="_Hlk70107724"/>
      <w:r w:rsidRPr="007B2A0A">
        <w:rPr>
          <w:rFonts w:ascii="Times New Roman" w:hAnsi="Times New Roman" w:cs="Times New Roman"/>
          <w:sz w:val="24"/>
          <w:szCs w:val="24"/>
        </w:rPr>
        <w:t>amelli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P, Teixeira AL,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Buchpiguel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CA, Lee HW, Livramento JA, Fernandez LL, et al. Diagnóstico de doença de Alzheimer no Brasil: Exames complementares.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Dement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Neuropsychol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>. 2011;5(3):167–77.</w:t>
      </w:r>
      <w:bookmarkEnd w:id="0"/>
      <w:bookmarkEnd w:id="1"/>
    </w:p>
    <w:p w14:paraId="352E9875" w14:textId="131227F2" w:rsidR="007B2A0A" w:rsidRPr="007B2A0A" w:rsidRDefault="007B2A0A" w:rsidP="007B2A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7B2A0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Nitrini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Caramelli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Bottino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CM de C, Damasceno BP,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Brucki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SMD,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Anghinah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R. DIAGNÓSTICO DE DOENÇA DE ALZHEIMER NO BRASIL CRITÉRIOS DIAGNÓSTICOS E EXAMES COMPLEMENTARES Recomendações do Departamento Científico de Neurologia Cognitiva e do Envelhecimento da Academia Brasileira de Neurologia.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Neuropsiquiatr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2A0A">
        <w:rPr>
          <w:rFonts w:ascii="Times New Roman" w:hAnsi="Times New Roman" w:cs="Times New Roman"/>
          <w:sz w:val="24"/>
          <w:szCs w:val="24"/>
        </w:rPr>
        <w:t>2005;63:713</w:t>
      </w:r>
      <w:proofErr w:type="gramEnd"/>
      <w:r w:rsidRPr="007B2A0A">
        <w:rPr>
          <w:rFonts w:ascii="Times New Roman" w:hAnsi="Times New Roman" w:cs="Times New Roman"/>
          <w:sz w:val="24"/>
          <w:szCs w:val="24"/>
        </w:rPr>
        <w:t>–9.</w:t>
      </w:r>
    </w:p>
    <w:p w14:paraId="4C7611CB" w14:textId="67363CDF" w:rsidR="007B2A0A" w:rsidRPr="007B2A0A" w:rsidRDefault="007B2A0A" w:rsidP="007B2A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A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2A0A">
        <w:rPr>
          <w:rFonts w:ascii="Times New Roman" w:hAnsi="Times New Roman" w:cs="Times New Roman"/>
          <w:sz w:val="24"/>
          <w:szCs w:val="24"/>
        </w:rPr>
        <w:t xml:space="preserve"> </w:t>
      </w:r>
      <w:r w:rsidRPr="007B2A0A">
        <w:rPr>
          <w:rFonts w:ascii="Times New Roman" w:hAnsi="Times New Roman" w:cs="Times New Roman"/>
          <w:sz w:val="24"/>
          <w:szCs w:val="24"/>
        </w:rPr>
        <w:t xml:space="preserve">Cavalcanti JL de S,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Engelhardt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E. Aspectos da fisiopatologia da doença de Alzheimer esporádica.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>. 2012;48(4):21–9.</w:t>
      </w:r>
    </w:p>
    <w:p w14:paraId="50DBA3AD" w14:textId="0F97ECCC" w:rsidR="00757C18" w:rsidRPr="001A39B7" w:rsidRDefault="007B2A0A" w:rsidP="003E53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A">
        <w:rPr>
          <w:rFonts w:ascii="Times New Roman" w:hAnsi="Times New Roman" w:cs="Times New Roman"/>
          <w:sz w:val="24"/>
          <w:szCs w:val="24"/>
        </w:rPr>
        <w:lastRenderedPageBreak/>
        <w:t xml:space="preserve">11 - </w:t>
      </w:r>
      <w:r w:rsidRPr="007B2A0A">
        <w:rPr>
          <w:rFonts w:ascii="Times New Roman" w:hAnsi="Times New Roman" w:cs="Times New Roman"/>
          <w:sz w:val="24"/>
          <w:szCs w:val="24"/>
        </w:rPr>
        <w:t xml:space="preserve">Vilela LP,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Caramelli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P. DOENÇA DE ALZHEIMER </w:t>
      </w:r>
      <w:proofErr w:type="spellStart"/>
      <w:r w:rsidRPr="007B2A0A">
        <w:rPr>
          <w:rFonts w:ascii="Times New Roman" w:hAnsi="Times New Roman" w:cs="Times New Roman"/>
          <w:sz w:val="24"/>
          <w:szCs w:val="24"/>
        </w:rPr>
        <w:t>ALZHEIMER</w:t>
      </w:r>
      <w:proofErr w:type="spellEnd"/>
      <w:r w:rsidRPr="007B2A0A">
        <w:rPr>
          <w:rFonts w:ascii="Times New Roman" w:hAnsi="Times New Roman" w:cs="Times New Roman"/>
          <w:sz w:val="24"/>
          <w:szCs w:val="24"/>
        </w:rPr>
        <w:t xml:space="preserve"> NA VISÃO DE FAMILIARES AMILIARES DE PACIENTES. 2006;52(3):148–52.</w:t>
      </w:r>
    </w:p>
    <w:sectPr w:rsidR="00757C18" w:rsidRPr="001A39B7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BCC4" w14:textId="77777777" w:rsidR="004B2C17" w:rsidRDefault="004B2C17" w:rsidP="00853965">
      <w:pPr>
        <w:spacing w:after="0" w:line="240" w:lineRule="auto"/>
      </w:pPr>
      <w:r>
        <w:separator/>
      </w:r>
    </w:p>
  </w:endnote>
  <w:endnote w:type="continuationSeparator" w:id="0">
    <w:p w14:paraId="7F9603C0" w14:textId="77777777" w:rsidR="004B2C17" w:rsidRDefault="004B2C17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E275" w14:textId="77777777" w:rsidR="004B2C17" w:rsidRDefault="004B2C17" w:rsidP="00853965">
      <w:pPr>
        <w:spacing w:after="0" w:line="240" w:lineRule="auto"/>
      </w:pPr>
      <w:r>
        <w:separator/>
      </w:r>
    </w:p>
  </w:footnote>
  <w:footnote w:type="continuationSeparator" w:id="0">
    <w:p w14:paraId="2B68EB72" w14:textId="77777777" w:rsidR="004B2C17" w:rsidRDefault="004B2C17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BAE"/>
    <w:multiLevelType w:val="hybridMultilevel"/>
    <w:tmpl w:val="F22AD202"/>
    <w:lvl w:ilvl="0" w:tplc="376C7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927229F"/>
    <w:multiLevelType w:val="hybridMultilevel"/>
    <w:tmpl w:val="AE267A52"/>
    <w:lvl w:ilvl="0" w:tplc="EB361CF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898"/>
    <w:multiLevelType w:val="hybridMultilevel"/>
    <w:tmpl w:val="B422202C"/>
    <w:lvl w:ilvl="0" w:tplc="42E24B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B23A9"/>
    <w:multiLevelType w:val="hybridMultilevel"/>
    <w:tmpl w:val="FDA43634"/>
    <w:lvl w:ilvl="0" w:tplc="2A5EAD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E7A5B"/>
    <w:multiLevelType w:val="hybridMultilevel"/>
    <w:tmpl w:val="138678E8"/>
    <w:lvl w:ilvl="0" w:tplc="A7804C2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E0AEC"/>
    <w:rsid w:val="00132936"/>
    <w:rsid w:val="001A39B7"/>
    <w:rsid w:val="001E7944"/>
    <w:rsid w:val="002455CD"/>
    <w:rsid w:val="002F7663"/>
    <w:rsid w:val="0032071A"/>
    <w:rsid w:val="003453F0"/>
    <w:rsid w:val="0038323C"/>
    <w:rsid w:val="003A03E1"/>
    <w:rsid w:val="003A569B"/>
    <w:rsid w:val="003E4614"/>
    <w:rsid w:val="003E530E"/>
    <w:rsid w:val="00402E3A"/>
    <w:rsid w:val="00427E10"/>
    <w:rsid w:val="00456071"/>
    <w:rsid w:val="004A6E2E"/>
    <w:rsid w:val="004B2C17"/>
    <w:rsid w:val="005A2FF3"/>
    <w:rsid w:val="005A4331"/>
    <w:rsid w:val="005B25DC"/>
    <w:rsid w:val="005D1ECE"/>
    <w:rsid w:val="00602062"/>
    <w:rsid w:val="0060220D"/>
    <w:rsid w:val="006257D3"/>
    <w:rsid w:val="006E04EE"/>
    <w:rsid w:val="00704E10"/>
    <w:rsid w:val="00757C18"/>
    <w:rsid w:val="00794567"/>
    <w:rsid w:val="007B2A0A"/>
    <w:rsid w:val="007E7D8A"/>
    <w:rsid w:val="007F3993"/>
    <w:rsid w:val="00853965"/>
    <w:rsid w:val="008612BE"/>
    <w:rsid w:val="009318A1"/>
    <w:rsid w:val="009F2695"/>
    <w:rsid w:val="00A4157C"/>
    <w:rsid w:val="00AD71E5"/>
    <w:rsid w:val="00B022F1"/>
    <w:rsid w:val="00B16680"/>
    <w:rsid w:val="00B75733"/>
    <w:rsid w:val="00C11CBC"/>
    <w:rsid w:val="00C31650"/>
    <w:rsid w:val="00D17316"/>
    <w:rsid w:val="00D36B1E"/>
    <w:rsid w:val="00D46D46"/>
    <w:rsid w:val="00DC23E9"/>
    <w:rsid w:val="00E57151"/>
    <w:rsid w:val="00EA4484"/>
    <w:rsid w:val="00F334AD"/>
    <w:rsid w:val="00F63BCE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94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.slima17@gmail.com%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ivanise70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ISADORA SOARES DE LIMA</cp:lastModifiedBy>
  <cp:revision>3</cp:revision>
  <cp:lastPrinted>2021-03-03T20:07:00Z</cp:lastPrinted>
  <dcterms:created xsi:type="dcterms:W3CDTF">2021-04-24T00:39:00Z</dcterms:created>
  <dcterms:modified xsi:type="dcterms:W3CDTF">2021-04-24T01:13:00Z</dcterms:modified>
</cp:coreProperties>
</file>