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TRATAMENTO CLÍNICO DE PODODERMATITE EM FILHOTES DE QUATI-DE-CAUDA-ANELADA (</w:t>
      </w:r>
      <w:r w:rsidDel="00000000" w:rsidR="00000000" w:rsidRPr="00000000">
        <w:rPr>
          <w:rFonts w:ascii="Times New Roman" w:cs="Times New Roman" w:eastAsia="Times New Roman" w:hAnsi="Times New Roman"/>
          <w:b w:val="1"/>
          <w:i w:val="1"/>
          <w:sz w:val="24"/>
          <w:szCs w:val="24"/>
          <w:rtl w:val="0"/>
        </w:rPr>
        <w:t xml:space="preserve">Nasua nasua)</w:t>
      </w:r>
    </w:p>
    <w:p w:rsidR="00000000" w:rsidDel="00000000" w:rsidP="00000000" w:rsidRDefault="00000000" w:rsidRPr="00000000" w14:paraId="0000000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SOUSA, F.Q.</w:t>
      </w:r>
      <w:r w:rsidDel="00000000" w:rsidR="00000000" w:rsidRPr="00000000">
        <w:rPr>
          <w:rFonts w:ascii="Times New Roman" w:cs="Times New Roman" w:eastAsia="Times New Roman" w:hAnsi="Times New Roman"/>
          <w:sz w:val="24"/>
          <w:szCs w:val="24"/>
          <w:rtl w:val="0"/>
        </w:rPr>
        <w:t xml:space="preserve">¹;  BRITO, D.O.¹; MAURÍCIO, A.T.S.¹; MARINHO, L.P.¹; AMORIM, N.C.R.M.¹; SOUZA, L.V.M.</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ANDRADE, F.J.C.</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PENSADOR, C.C.</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BARROS, M.A.</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LOPES, C.T.A.</w:t>
      </w: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Discente de Medicina Veterinária, Universidade Federal do Pará, Castanhal, Pará, Brasil, (fabricioqvet@gmail.com). 2. Residente em Clínica Médica e Cirúrgica em Animais Silvestres, Universidade Federal do Pará, Castanhal, Pará, Brasil. 3. Mestrando no Programa de Pós Graduação em Reprodução Animal na Amazônia. 4. Médica Veterinária Técnica Administrativa em Educação, Universidade Federal do Pará, Castanhal, Pará, Brasil.</w:t>
      </w:r>
    </w:p>
    <w:p w:rsidR="00000000" w:rsidDel="00000000" w:rsidP="00000000" w:rsidRDefault="00000000" w:rsidRPr="00000000" w14:paraId="0000000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pododermatite é uma afecção inflamatória e degenerativa que acomete as regiões plantares e palmares dos membros de animais domésticos e silvestres, sendo caracterizada por lesões proliferativas com hiperqueratose e hiperplasia epidérmica, frequentemente associadas a processos inflamatórios que podem evoluir para erosões e ulcerações. Esta condição é comum em animais sob cuidados humanos, especialmente em ambientes de cativeiro, onde substratos inadequados favorecem o desenvolvimento da inflamação podal. Embora amplamente relatada em diferentes espécies, a ocorrência de pododermatite em procionídeos, como o quati (</w:t>
      </w:r>
      <w:r w:rsidDel="00000000" w:rsidR="00000000" w:rsidRPr="00000000">
        <w:rPr>
          <w:rFonts w:ascii="Times New Roman" w:cs="Times New Roman" w:eastAsia="Times New Roman" w:hAnsi="Times New Roman"/>
          <w:i w:val="1"/>
          <w:sz w:val="24"/>
          <w:szCs w:val="24"/>
          <w:rtl w:val="0"/>
        </w:rPr>
        <w:t xml:space="preserve">Nasua nasua</w:t>
      </w:r>
      <w:r w:rsidDel="00000000" w:rsidR="00000000" w:rsidRPr="00000000">
        <w:rPr>
          <w:rFonts w:ascii="Times New Roman" w:cs="Times New Roman" w:eastAsia="Times New Roman" w:hAnsi="Times New Roman"/>
          <w:sz w:val="24"/>
          <w:szCs w:val="24"/>
          <w:rtl w:val="0"/>
        </w:rPr>
        <w:t xml:space="preserve">), é pouco documentada na literatura. Entre março e abril de 2025, quatro filhotes de quati, com peso entre 275 e 300 g, foram admitidos no Hospital Veterinário da Universidade Federal do Pará, apresentando quadro de pododermatite de forma eritematosa, caracterizada por ausência de pelos, lesão seca, inflamada, com descamação e </w:t>
      </w:r>
      <w:r w:rsidDel="00000000" w:rsidR="00000000" w:rsidRPr="00000000">
        <w:rPr>
          <w:rFonts w:ascii="Times New Roman" w:cs="Times New Roman" w:eastAsia="Times New Roman" w:hAnsi="Times New Roman"/>
          <w:sz w:val="24"/>
          <w:szCs w:val="24"/>
          <w:rtl w:val="0"/>
        </w:rPr>
        <w:t xml:space="preserve">dor</w:t>
      </w:r>
      <w:r w:rsidDel="00000000" w:rsidR="00000000" w:rsidRPr="00000000">
        <w:rPr>
          <w:rFonts w:ascii="Times New Roman" w:cs="Times New Roman" w:eastAsia="Times New Roman" w:hAnsi="Times New Roman"/>
          <w:sz w:val="24"/>
          <w:szCs w:val="24"/>
          <w:rtl w:val="0"/>
        </w:rPr>
        <w:t xml:space="preserve"> nos membros torácicos e pélvicos. F</w:t>
      </w:r>
      <w:r w:rsidDel="00000000" w:rsidR="00000000" w:rsidRPr="00000000">
        <w:rPr>
          <w:rFonts w:ascii="Times New Roman" w:cs="Times New Roman" w:eastAsia="Times New Roman" w:hAnsi="Times New Roman"/>
          <w:sz w:val="24"/>
          <w:szCs w:val="24"/>
          <w:rtl w:val="0"/>
        </w:rPr>
        <w:t xml:space="preserve">atores ambientais e fisiológicos que afetaram a integridade da barreira cutânea nas regiões plantares. </w:t>
      </w:r>
      <w:r w:rsidDel="00000000" w:rsidR="00000000" w:rsidRPr="00000000">
        <w:rPr>
          <w:rFonts w:ascii="Times New Roman" w:cs="Times New Roman" w:eastAsia="Times New Roman" w:hAnsi="Times New Roman"/>
          <w:sz w:val="24"/>
          <w:szCs w:val="24"/>
          <w:rtl w:val="0"/>
        </w:rPr>
        <w:t xml:space="preserve">Foi instituído protocolo terapêutico com meloxicam </w:t>
      </w:r>
      <w:r w:rsidDel="00000000" w:rsidR="00000000" w:rsidRPr="00000000">
        <w:rPr>
          <w:rFonts w:ascii="Times New Roman" w:cs="Times New Roman" w:eastAsia="Times New Roman" w:hAnsi="Times New Roman"/>
          <w:sz w:val="24"/>
          <w:szCs w:val="24"/>
          <w:rtl w:val="0"/>
        </w:rPr>
        <w:t xml:space="preserve">(0,1mg/kg, IM)</w:t>
      </w:r>
      <w:r w:rsidDel="00000000" w:rsidR="00000000" w:rsidRPr="00000000">
        <w:rPr>
          <w:rFonts w:ascii="Times New Roman" w:cs="Times New Roman" w:eastAsia="Times New Roman" w:hAnsi="Times New Roman"/>
          <w:sz w:val="24"/>
          <w:szCs w:val="24"/>
          <w:rtl w:val="0"/>
        </w:rPr>
        <w:t xml:space="preserve"> dose </w:t>
      </w:r>
      <w:r w:rsidDel="00000000" w:rsidR="00000000" w:rsidRPr="00000000">
        <w:rPr>
          <w:rFonts w:ascii="Times New Roman" w:cs="Times New Roman" w:eastAsia="Times New Roman" w:hAnsi="Times New Roman"/>
          <w:sz w:val="24"/>
          <w:szCs w:val="24"/>
          <w:rtl w:val="0"/>
        </w:rPr>
        <w:t xml:space="preserve">única </w:t>
      </w:r>
      <w:r w:rsidDel="00000000" w:rsidR="00000000" w:rsidRPr="00000000">
        <w:rPr>
          <w:rFonts w:ascii="Times New Roman" w:cs="Times New Roman" w:eastAsia="Times New Roman" w:hAnsi="Times New Roman"/>
          <w:sz w:val="24"/>
          <w:szCs w:val="24"/>
          <w:rtl w:val="0"/>
        </w:rPr>
        <w:t xml:space="preserve">devido ação analgesica e antiinflamatoria, dipirona (25 mg/kg, BID, VO) por </w:t>
      </w:r>
      <w:r w:rsidDel="00000000" w:rsidR="00000000" w:rsidRPr="00000000">
        <w:rPr>
          <w:rFonts w:ascii="Times New Roman" w:cs="Times New Roman" w:eastAsia="Times New Roman" w:hAnsi="Times New Roman"/>
          <w:sz w:val="24"/>
          <w:szCs w:val="24"/>
          <w:rtl w:val="0"/>
        </w:rPr>
        <w:t xml:space="preserve">5 dias</w:t>
      </w:r>
      <w:r w:rsidDel="00000000" w:rsidR="00000000" w:rsidRPr="00000000">
        <w:rPr>
          <w:rFonts w:ascii="Times New Roman" w:cs="Times New Roman" w:eastAsia="Times New Roman" w:hAnsi="Times New Roman"/>
          <w:sz w:val="24"/>
          <w:szCs w:val="24"/>
          <w:rtl w:val="0"/>
        </w:rPr>
        <w:t xml:space="preserve">, visando o controle da dor, além da administração de vitamina C (</w:t>
      </w:r>
      <w:r w:rsidDel="00000000" w:rsidR="00000000" w:rsidRPr="00000000">
        <w:rPr>
          <w:rFonts w:ascii="Times New Roman" w:cs="Times New Roman" w:eastAsia="Times New Roman" w:hAnsi="Times New Roman"/>
          <w:sz w:val="24"/>
          <w:szCs w:val="24"/>
          <w:rtl w:val="0"/>
        </w:rPr>
        <w:t xml:space="preserve">60 </w:t>
      </w:r>
      <w:r w:rsidDel="00000000" w:rsidR="00000000" w:rsidRPr="00000000">
        <w:rPr>
          <w:rFonts w:ascii="Times New Roman" w:cs="Times New Roman" w:eastAsia="Times New Roman" w:hAnsi="Times New Roman"/>
          <w:sz w:val="24"/>
          <w:szCs w:val="24"/>
          <w:rtl w:val="0"/>
        </w:rPr>
        <w:t xml:space="preserve">mg/kg, SID, VO) </w:t>
      </w:r>
      <w:r w:rsidDel="00000000" w:rsidR="00000000" w:rsidRPr="00000000">
        <w:rPr>
          <w:rFonts w:ascii="Times New Roman" w:cs="Times New Roman" w:eastAsia="Times New Roman" w:hAnsi="Times New Roman"/>
          <w:sz w:val="24"/>
          <w:szCs w:val="24"/>
          <w:rtl w:val="0"/>
        </w:rPr>
        <w:t xml:space="preserve">por 13 dias</w:t>
      </w:r>
      <w:r w:rsidDel="00000000" w:rsidR="00000000" w:rsidRPr="00000000">
        <w:rPr>
          <w:rFonts w:ascii="Times New Roman" w:cs="Times New Roman" w:eastAsia="Times New Roman" w:hAnsi="Times New Roman"/>
          <w:sz w:val="24"/>
          <w:szCs w:val="24"/>
          <w:rtl w:val="0"/>
        </w:rPr>
        <w:t xml:space="preserve">, com o intuito de estimular a síntese de colágeno, essencial para a regeneração tecidual. </w:t>
      </w:r>
      <w:r w:rsidDel="00000000" w:rsidR="00000000" w:rsidRPr="00000000">
        <w:rPr>
          <w:rFonts w:ascii="Times New Roman" w:cs="Times New Roman" w:eastAsia="Times New Roman" w:hAnsi="Times New Roman"/>
          <w:sz w:val="24"/>
          <w:szCs w:val="24"/>
          <w:rtl w:val="0"/>
        </w:rPr>
        <w:t xml:space="preserve">O tratamento local consistiu em limpeza diária com  clorexidine 2% e soro fisiológico cloreto de sódio 0,9% gelado para remoção de sujidades, redução da inflamação, diminuição de edema e ação analgésica, seguida da aplicação tópica de pomada Vetaglós®</w:t>
      </w:r>
      <w:r w:rsidDel="00000000" w:rsidR="00000000" w:rsidRPr="00000000">
        <w:rPr>
          <w:rFonts w:ascii="Times New Roman" w:cs="Times New Roman" w:eastAsia="Times New Roman" w:hAnsi="Times New Roman"/>
          <w:sz w:val="24"/>
          <w:szCs w:val="24"/>
          <w:rtl w:val="0"/>
        </w:rPr>
        <w:t xml:space="preserve">, com </w:t>
      </w:r>
      <w:r w:rsidDel="00000000" w:rsidR="00000000" w:rsidRPr="00000000">
        <w:rPr>
          <w:rFonts w:ascii="Times New Roman" w:cs="Times New Roman" w:eastAsia="Times New Roman" w:hAnsi="Times New Roman"/>
          <w:sz w:val="24"/>
          <w:szCs w:val="24"/>
          <w:rtl w:val="0"/>
        </w:rPr>
        <w:t xml:space="preserve">ação cicatrizante, antimicrobiana e  anti-inflamatória. Após 15 dias houve alta médica pela resolução das afecções podais. Dessa forma, o protocolo instituído, composto por anti-inflamatórios sistêmicos, analgésicos, suporte vitamínico e tratamento local com limpeza e agentes cicatrizantes tópicos, mostrou-se eficaz na resolução completa das lesões, sem recidivas clínicas. O presente relato demonstra que a pododermatite em filhotes de quati pode ser efetivamente tratada quando há identificação precoce, abordagem terapêutica adequada e correção dos fatores predisponentes relacionados ao manejo em cativeiro. </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 Chave:</w:t>
      </w:r>
      <w:r w:rsidDel="00000000" w:rsidR="00000000" w:rsidRPr="00000000">
        <w:rPr>
          <w:rFonts w:ascii="Times New Roman" w:cs="Times New Roman" w:eastAsia="Times New Roman" w:hAnsi="Times New Roman"/>
          <w:sz w:val="24"/>
          <w:szCs w:val="24"/>
          <w:rtl w:val="0"/>
        </w:rPr>
        <w:t xml:space="preserve"> Lesões Plantares; Procionídeos; Manejo em Cativeiro; Inflamação.</w:t>
      </w:r>
    </w:p>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COSTA, Inês Arriaga da</w:t>
      </w:r>
      <w:r w:rsidDel="00000000" w:rsidR="00000000" w:rsidRPr="00000000">
        <w:rPr>
          <w:rFonts w:ascii="Times New Roman" w:cs="Times New Roman" w:eastAsia="Times New Roman" w:hAnsi="Times New Roman"/>
          <w:b w:val="1"/>
          <w:highlight w:val="white"/>
          <w:rtl w:val="0"/>
        </w:rPr>
        <w:t xml:space="preserve">.</w:t>
      </w:r>
      <w:r w:rsidDel="00000000" w:rsidR="00000000" w:rsidRPr="00000000">
        <w:rPr>
          <w:rFonts w:ascii="Times New Roman" w:cs="Times New Roman" w:eastAsia="Times New Roman" w:hAnsi="Times New Roman"/>
          <w:highlight w:val="white"/>
          <w:rtl w:val="0"/>
        </w:rPr>
        <w:t xml:space="preserve"> Clínica de animais de companhia e espécies exóticas – Pododermatite ulcerativa em aves e mamíferos exóticos. 2014. Relatório de Estágio (Mestrado Integrado em Medicina Veterinária) – Universidade de Évora, Escola de Ciências e Tecnologia, Departamento de Medicina Veterinária, Évora, 2014.</w:t>
      </w:r>
    </w:p>
    <w:p w:rsidR="00000000" w:rsidDel="00000000" w:rsidP="00000000" w:rsidRDefault="00000000" w:rsidRPr="00000000" w14:paraId="0000000D">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CUBAS, Z. S.; SILVA, J. C. R.; CATÃO-DIAS, J. L. Tratado de animais selvagens: Medicina Veterinária. 2. ed. São Paulo: Editora GEN/Roca, 2014.</w:t>
      </w:r>
    </w:p>
    <w:p w:rsidR="00000000" w:rsidDel="00000000" w:rsidP="00000000" w:rsidRDefault="00000000" w:rsidRPr="00000000" w14:paraId="0000000E">
      <w:pPr>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OTONI, Izabella do Carmo; ORTIZ, Marcela Carvalho. Pododermatite em coelhos: relato de caso. PUBVET, Londrina, v. 15, n. 05, art. 823, p. 1–6, maio 2021. </w:t>
      </w:r>
    </w:p>
    <w:p w:rsidR="00000000" w:rsidDel="00000000" w:rsidP="00000000" w:rsidRDefault="00000000" w:rsidRPr="00000000" w14:paraId="00000010">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tabs>
        <w:tab w:val="center" w:leader="none" w:pos="4252"/>
        <w:tab w:val="right" w:leader="none" w:pos="8504"/>
      </w:tabs>
      <w:spacing w:line="240" w:lineRule="auto"/>
      <w:jc w:val="center"/>
      <w:rPr/>
    </w:pPr>
    <w:r w:rsidDel="00000000" w:rsidR="00000000" w:rsidRPr="00000000">
      <w:rPr>
        <w:rFonts w:ascii="Calibri" w:cs="Calibri" w:eastAsia="Calibri" w:hAnsi="Calibri"/>
      </w:rPr>
      <w:drawing>
        <wp:inline distB="0" distT="0" distL="0" distR="0">
          <wp:extent cx="2705100" cy="13525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05100" cy="13525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