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OS I</w:t>
      </w:r>
      <w:r>
        <w:rPr>
          <w:rFonts w:cs="Times New Roman" w:ascii="Times New Roman" w:hAnsi="Times New Roman"/>
          <w:b/>
          <w:bCs/>
          <w:sz w:val="24"/>
          <w:szCs w:val="24"/>
        </w:rPr>
        <w:t>NSTITUTOS FEDERAIS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ENQUANTO AGENTES D</w:t>
      </w:r>
      <w:r>
        <w:rPr>
          <w:rFonts w:cs="Times New Roman" w:ascii="Times New Roman" w:hAnsi="Times New Roman"/>
          <w:b/>
          <w:bCs/>
          <w:sz w:val="24"/>
          <w:szCs w:val="24"/>
        </w:rPr>
        <w:t>E TRANSFORMAÇÃO SOCIAL</w:t>
      </w:r>
      <w:r>
        <w:rPr>
          <w:rFonts w:cs="Times New Roman" w:ascii="Times New Roman" w:hAnsi="Times New Roman"/>
          <w:b/>
          <w:bCs/>
          <w:sz w:val="24"/>
          <w:szCs w:val="24"/>
        </w:rPr>
        <w:t>: ANÁLISE DA POLÍTICA DE EXPANSÃO DA REDE FEDERAL DE EDUCAÇÃO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Estado, políticas públicas e Desenvolvimento Regional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RESUMO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Pensar o desenvolvimento da educação é pensar o que queremos para o futuro do país. Contemporaneamente é impossível construir uma nação sólida e desenvolvida sem investimento maciço em educação. No bojo deste pensamento se inserem as políticas de ação estatal que visam desenvolver ou incentivar determinadas pautas políticas ou agendas de desenvolvime</w:t>
      </w:r>
      <w:r>
        <w:rPr>
          <w:rFonts w:cs="Times New Roman" w:ascii="Times New Roman" w:hAnsi="Times New Roman"/>
          <w:b/>
          <w:bCs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sz w:val="24"/>
          <w:szCs w:val="24"/>
        </w:rPr>
        <w:t>to.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Este trabalho tem por objetivo analisar a política de expansão dos Institutos Federais, ocorridas no decorrer dos governos Lula II, Dilma I e II. Através de análise documental e bibliográfica analisaremos as condições de transformação da rede federal de educação profissional, técnica e tecnológica. Por fim tentaremos lançar luz sobre o processo e os impactos regionais da difusão que leva a rede a sair de 110 campi a 661 campi e 581 municípios do território nacional.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ASPECTOS METODOL</w:t>
      </w:r>
      <w:r>
        <w:rPr>
          <w:rFonts w:cs="Times New Roman" w:ascii="Times New Roman" w:hAnsi="Times New Roman"/>
          <w:b/>
          <w:bCs/>
          <w:sz w:val="24"/>
          <w:szCs w:val="24"/>
        </w:rPr>
        <w:t>Ó</w:t>
      </w:r>
      <w:r>
        <w:rPr>
          <w:rFonts w:cs="Times New Roman" w:ascii="Times New Roman" w:hAnsi="Times New Roman"/>
          <w:b/>
          <w:bCs/>
          <w:sz w:val="24"/>
          <w:szCs w:val="24"/>
        </w:rPr>
        <w:t>GICOS</w:t>
        <w:tab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 presente trabalho lança mão de pesquisa bibliográfica e documental. Do ponto de vista inicial é necessário observar parâmetros legais que deem suporte para o estudo almejado. Entendendo a ação continuada da política pública, busca-se a compreensão das leis que balizam tal movimento governamental, como por exemplo: A Lei 8.948/94, o decreto 2.208/1997 a L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ei 11.195/2005 </w:t>
      </w:r>
      <w:r>
        <w:rPr>
          <w:rFonts w:cs="Times New Roman" w:ascii="Times New Roman" w:hAnsi="Times New Roman"/>
          <w:b/>
          <w:bCs/>
          <w:sz w:val="24"/>
          <w:szCs w:val="24"/>
        </w:rPr>
        <w:t>(</w:t>
      </w:r>
      <w:r>
        <w:rPr>
          <w:rFonts w:cs="Times New Roman" w:ascii="Times New Roman" w:hAnsi="Times New Roman"/>
          <w:b/>
          <w:bCs/>
          <w:sz w:val="24"/>
          <w:szCs w:val="24"/>
        </w:rPr>
        <w:t>que altera a lei 8.948/94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) e a lei 1.892/2008. Em conjunto estes documentos cronologicamente proíbem a educação propedêutica dentro do ensino técnica federal, a expansão dos campi dentro da rede existente, autorizam a oferta de educação propedêutica vinculada ao ensino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médio </w:t>
      </w:r>
      <w:r>
        <w:rPr>
          <w:rFonts w:cs="Times New Roman" w:ascii="Times New Roman" w:hAnsi="Times New Roman"/>
          <w:b/>
          <w:bCs/>
          <w:sz w:val="24"/>
          <w:szCs w:val="24"/>
        </w:rPr>
        <w:t>técnico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e, por fim, criam a rede federal de educação profissional, técnica e tecnológica. Além da análises documental, este trabalho se baseia na análise bibliográfica dentro da pertinência do tema. Optou-se por autores que evidenciem a relação estudada sob dois aspectos. O primeiro rol de autores nos ajudam a compreender o desenrolar das ações que balizam a efetivação da política pública estudada são autores como SILVA, 2015; SILVA e TERRA, 2013; TURMENA e AZEVEDO, 2017; CARDOSO e REIS 2016 dentre outros. Estes autores de maneira mais ou menos contundente acabam olhando a execução da política pública e olhando para o território observando os seus efeitos.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O segundo rol de autores busca olhar para ao espaço e para a compreensão teórica das suas relações, ficando portanto alheios ao fenômeno estudado. Contudo, contribuindo para o entendimento dos seus reflexos espaciais.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RESULTADOS E DISCUSSÕES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Observar os reflexos espaciais da implementação de uma política pública nada mais é do que olhar para o passado e tentar entender os passos e as consequências destes. Entendemos que o processo de criação e expansão dos institutos federais foi extremamente exitoso por promover acesso à educação de qualidade em diversos cantos do país, que até outrora se viam alijados da possibilidade de acesso a serviços federais. Observamos também que como um todo a política foi muito bem-sucedida na construção de uma nova roupagem para a educação federal de nível médio. Por sua vez, quando versamos sobre o desenvolvimento regional nas suas múltiplas facetas entendemos que o estudo não está acabado. Embora o conjunto de ações aqui estudadas, por definição, tenham a capacidade de coletivamente promover o desenvolvimento econômico e melhorar a qualidade de vida da população de diversos locais, não podemos deixar de observar que a ação em certa medida se foca em locais já consolidados. Neste caso olhando globalmente há uma dúvida que permanece no ar, a política estudada se mostra como uma fomentadora do desenvolvimento ou se presta mais à manutenção do desenvolvimento? Para dirimir totalmente a questão faz-se necessário um estudo pormenorizado com um recorte analítico bem definido. O que possivelmente faremos dentro do futuro próximo. Pra já ficamos com a leitura inicial de que provavelmente os impactos são maiores quão menores forem as localidades que se instalam.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RELAÇÃO COM A SESSÃO TEM</w:t>
      </w:r>
      <w:r>
        <w:rPr>
          <w:rFonts w:cs="Times New Roman" w:ascii="Times New Roman" w:hAnsi="Times New Roman"/>
          <w:b/>
          <w:bCs/>
          <w:sz w:val="24"/>
          <w:szCs w:val="24"/>
        </w:rPr>
        <w:t>Á</w:t>
      </w:r>
      <w:r>
        <w:rPr>
          <w:rFonts w:cs="Times New Roman" w:ascii="Times New Roman" w:hAnsi="Times New Roman"/>
          <w:b/>
          <w:bCs/>
          <w:sz w:val="24"/>
          <w:szCs w:val="24"/>
        </w:rPr>
        <w:t>TICA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 presente trabalho tem total ligação com a seção temática. Ao se predispor a construir uma ligação entre os efeitos da aplicação de uma política pública com o desenvolvimento regional o encaixe se torna perceptível. O que pretendemos ao longo do trabalho é analisar a medida que a proliferação destas estruturas, enquanto fruto de uma política pública </w:t>
      </w:r>
      <w:r>
        <w:rPr>
          <w:rFonts w:cs="Times New Roman" w:ascii="Times New Roman" w:hAnsi="Times New Roman"/>
          <w:b/>
          <w:bCs/>
          <w:sz w:val="24"/>
          <w:szCs w:val="24"/>
        </w:rPr>
        <w:t>bem-sucedida</w:t>
      </w:r>
      <w:r>
        <w:rPr>
          <w:rFonts w:cs="Times New Roman" w:ascii="Times New Roman" w:hAnsi="Times New Roman"/>
          <w:b/>
          <w:bCs/>
          <w:sz w:val="24"/>
          <w:szCs w:val="24"/>
        </w:rPr>
        <w:t>, acabam por incrementar e auxiliar no desenvolvimento regional e local.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FreeSan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60"/>
      <w:jc w:val="center"/>
      <w:rPr/>
    </w:pPr>
    <w:r>
      <w:rPr/>
      <w:drawing>
        <wp:inline distT="0" distB="0" distL="0" distR="0">
          <wp:extent cx="6115050" cy="33147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f72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2f5f72"/>
    <w:rPr>
      <w:rFonts w:cs="Mangal"/>
      <w:szCs w:val="21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2f5f7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304</TotalTime>
  <Application>LibreOffice/5.3.7.2$Windows_X86_64 LibreOffice_project/6b8ed514a9f8b44d37a1b96673cbbdd077e24059</Application>
  <Pages>2</Pages>
  <Words>698</Words>
  <Characters>3834</Characters>
  <CharactersWithSpaces>4526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2023-11-29T21:05:00Z</dcterms:created>
  <dc:creator>Rhuann Oliveira</dc:creator>
  <dc:description/>
  <dc:language>pt-BR</dc:language>
  <cp:lastModifiedBy/>
  <dcterms:modified xsi:type="dcterms:W3CDTF">2024-04-10T16:51:30Z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