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left"/>
        <w:rPr/>
      </w:pPr>
    </w:p>
    <w:p>
      <w:pPr>
        <w:jc w:val="center"/>
        <w:rPr/>
      </w:pP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SPIRULINA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PLATENSIS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EM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PORTADORES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DE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HIV: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REVISÃO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INTEGRATIVA</w:t>
      </w:r>
    </w:p>
    <w:p>
      <w:pPr>
        <w:spacing w:lineRule="auto" w:line="240"/>
        <w:jc w:val="right"/>
        <w:rPr/>
      </w:pPr>
      <w:r>
        <w:rPr>
          <w:rFonts w:ascii="Times New Roman" w:cs="Times New Roman" w:eastAsia="Arial" w:hAnsi="Times New Roman" w:hint="default"/>
          <w:sz w:val="24"/>
          <w:szCs w:val="24"/>
          <w:u w:val="single"/>
        </w:rPr>
        <w:t>Francisco</w:t>
      </w:r>
      <w:r>
        <w:rPr>
          <w:rFonts w:ascii="Times New Roman" w:cs="Times New Roman" w:eastAsia="Arial" w:hAnsi="Times New Roman" w:hint="default"/>
          <w:sz w:val="24"/>
          <w:szCs w:val="24"/>
          <w:u w:val="single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  <w:u w:val="single"/>
        </w:rPr>
        <w:t>Claudemir</w:t>
      </w:r>
      <w:r>
        <w:rPr>
          <w:rFonts w:ascii="Times New Roman" w:cs="Times New Roman" w:eastAsia="Arial" w:hAnsi="Times New Roman" w:hint="default"/>
          <w:sz w:val="24"/>
          <w:szCs w:val="24"/>
          <w:u w:val="single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  <w:u w:val="single"/>
        </w:rPr>
        <w:t>da</w:t>
      </w:r>
      <w:r>
        <w:rPr>
          <w:rFonts w:ascii="Times New Roman" w:cs="Times New Roman" w:eastAsia="Arial" w:hAnsi="Times New Roman" w:hint="default"/>
          <w:sz w:val="24"/>
          <w:szCs w:val="24"/>
          <w:u w:val="single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  <w:u w:val="single"/>
        </w:rPr>
        <w:t>Cruz</w:t>
      </w:r>
      <w:r>
        <w:rPr>
          <w:rFonts w:ascii="Times New Roman" w:cs="Times New Roman" w:eastAsia="Arial" w:hAnsi="Times New Roman" w:hint="default"/>
          <w:sz w:val="24"/>
          <w:szCs w:val="24"/>
          <w:u w:val="single"/>
          <w:vertAlign w:val="superscript"/>
        </w:rPr>
        <w:t>1</w:t>
      </w:r>
    </w:p>
    <w:p>
      <w:pPr>
        <w:spacing w:lineRule="auto" w:line="240"/>
        <w:jc w:val="right"/>
        <w:rPr/>
      </w:pPr>
      <w:r>
        <w:rPr>
          <w:rFonts w:ascii="Times New Roman" w:cs="Times New Roman" w:eastAsia="Arial" w:hAnsi="Times New Roman" w:hint="default"/>
          <w:sz w:val="24"/>
          <w:szCs w:val="24"/>
        </w:rPr>
        <w:t>Ana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Gabrielle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Rocha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Rodrigues</w:t>
      </w:r>
      <w:r>
        <w:rPr>
          <w:rFonts w:ascii="Times New Roman" w:cs="Times New Roman" w:eastAsia="Arial" w:hAnsi="Times New Roman" w:hint="default"/>
          <w:sz w:val="24"/>
          <w:szCs w:val="24"/>
          <w:vertAlign w:val="superscript"/>
        </w:rPr>
        <w:t>1</w:t>
      </w:r>
    </w:p>
    <w:p>
      <w:pPr>
        <w:spacing w:lineRule="auto" w:line="240"/>
        <w:jc w:val="right"/>
        <w:rPr/>
      </w:pPr>
      <w:r>
        <w:rPr>
          <w:rFonts w:ascii="Times New Roman" w:cs="Times New Roman" w:eastAsia="Arial" w:hAnsi="Times New Roman" w:hint="default"/>
          <w:sz w:val="24"/>
          <w:szCs w:val="24"/>
        </w:rPr>
        <w:t>Lívia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Ferreira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Gondim</w:t>
      </w:r>
      <w:r>
        <w:rPr>
          <w:rFonts w:ascii="Times New Roman" w:cs="Times New Roman" w:eastAsia="Arial" w:hAnsi="Times New Roman" w:hint="default"/>
          <w:sz w:val="24"/>
          <w:szCs w:val="24"/>
          <w:vertAlign w:val="superscript"/>
        </w:rPr>
        <w:t>1</w:t>
      </w:r>
    </w:p>
    <w:p>
      <w:pPr>
        <w:spacing w:before="240" w:lineRule="auto" w:line="240"/>
        <w:jc w:val="right"/>
        <w:rPr/>
      </w:pPr>
      <w:r>
        <w:rPr>
          <w:rFonts w:ascii="Times New Roman" w:cs="Times New Roman" w:eastAsia="Arial" w:hAnsi="Times New Roman" w:hint="default"/>
          <w:sz w:val="24"/>
          <w:szCs w:val="24"/>
        </w:rPr>
        <w:t>RAFAELA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LIMA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GOMES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SOARES</w:t>
      </w:r>
      <w:r>
        <w:rPr>
          <w:rFonts w:ascii="Times New Roman" w:cs="Times New Roman" w:eastAsia="Arial" w:hAnsi="Times New Roman" w:hint="default"/>
          <w:sz w:val="24"/>
          <w:szCs w:val="24"/>
          <w:vertAlign w:val="superscript"/>
        </w:rPr>
        <w:t>2</w:t>
      </w:r>
      <w:r>
        <w:rPr>
          <w:rFonts w:ascii="Times New Roman" w:cs="Times New Roman" w:eastAsia="Arial" w:hAnsi="Times New Roman" w:hint="default"/>
          <w:sz w:val="24"/>
          <w:szCs w:val="24"/>
          <w:vertAlign w:val="superscript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(rafaela.lima.itapipoca@uninta.edu.br)</w:t>
      </w:r>
    </w:p>
    <w:p>
      <w:pPr>
        <w:spacing w:lineRule="auto" w:line="240"/>
        <w:jc w:val="right"/>
        <w:rPr/>
      </w:pPr>
      <w:r>
        <w:rPr>
          <w:rFonts w:ascii="Times New Roman" w:cs="Times New Roman" w:eastAsia="Arial" w:hAnsi="Times New Roman" w:hint="default"/>
          <w:sz w:val="24"/>
          <w:szCs w:val="24"/>
          <w:vertAlign w:val="superscript"/>
        </w:rPr>
        <w:t>1</w:t>
      </w:r>
      <w:r>
        <w:rPr>
          <w:rFonts w:ascii="Times New Roman" w:cs="Times New Roman" w:eastAsia="Arial" w:hAnsi="Times New Roman" w:hint="default"/>
          <w:sz w:val="24"/>
          <w:szCs w:val="24"/>
        </w:rPr>
        <w:t>Dicente</w:t>
      </w:r>
      <w:r>
        <w:rPr>
          <w:rFonts w:ascii="Times New Roman" w:cs="Times New Roman" w:eastAsia="Arial" w:hAnsi="Times New Roman" w:hint="default"/>
          <w:sz w:val="24"/>
          <w:szCs w:val="24"/>
        </w:rPr>
        <w:t>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do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curso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Nutrição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Faculdade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Uninta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Itapipoca-CE,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Brasil.</w:t>
      </w:r>
    </w:p>
    <w:p>
      <w:pPr>
        <w:spacing w:lineRule="auto" w:line="240"/>
        <w:jc w:val="right"/>
        <w:rPr>
          <w:rFonts w:ascii="Times New Roman" w:cs="Times New Roman" w:eastAsia="Arial" w:hAnsi="Times New Roman" w:hint="default"/>
          <w:sz w:val="24"/>
          <w:szCs w:val="24"/>
        </w:rPr>
      </w:pPr>
      <w:r>
        <w:rPr>
          <w:rFonts w:ascii="Times New Roman" w:cs="Times New Roman" w:eastAsia="Arial" w:hAnsi="Times New Roman" w:hint="default"/>
          <w:sz w:val="24"/>
          <w:szCs w:val="24"/>
          <w:vertAlign w:val="superscript"/>
        </w:rPr>
        <w:t>2</w:t>
      </w:r>
      <w:r>
        <w:rPr>
          <w:rFonts w:ascii="Times New Roman" w:cs="Times New Roman" w:eastAsia="Arial" w:hAnsi="Times New Roman" w:hint="default"/>
          <w:sz w:val="24"/>
          <w:szCs w:val="24"/>
        </w:rPr>
        <w:t>Docente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Faculdade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Uninta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Itapipoca-CE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*Orientadora.</w:t>
      </w:r>
    </w:p>
    <w:p>
      <w:pPr>
        <w:pStyle w:val="style0"/>
        <w:spacing w:lineRule="auto" w:line="240"/>
        <w:jc w:val="right"/>
        <w:rPr/>
      </w:pPr>
    </w:p>
    <w:p>
      <w:pPr>
        <w:jc w:val="both"/>
        <w:rPr/>
      </w:pP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INTRODUÇÃO: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Manter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uma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nutrição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ideal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é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importante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tratamento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clí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nico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pacientes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portadores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Vírus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imunodeficiência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humana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(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HIV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)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,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principalmente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em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relação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à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função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imunológica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um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indivíduo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limitar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complicações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específicas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doença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eastAsia="Quattrocento Sans" w:hAnsi="Times New Roman" w:hint="default"/>
          <w:sz w:val="24"/>
          <w:szCs w:val="24"/>
          <w:highlight w:val="white"/>
        </w:rPr>
        <w:t>(SIBIYA,</w:t>
      </w:r>
      <w:r>
        <w:rPr>
          <w:rFonts w:ascii="Times New Roman" w:cs="Times New Roman" w:eastAsia="Quattrocento Sans" w:hAnsi="Times New Roman" w:hint="default"/>
          <w:sz w:val="24"/>
          <w:szCs w:val="24"/>
          <w:highlight w:val="white"/>
        </w:rPr>
        <w:t xml:space="preserve"> </w:t>
      </w:r>
      <w:r>
        <w:rPr>
          <w:rFonts w:ascii="Times New Roman" w:cs="Times New Roman" w:eastAsia="Quattrocento Sans" w:hAnsi="Times New Roman" w:hint="default"/>
          <w:sz w:val="24"/>
          <w:szCs w:val="24"/>
          <w:highlight w:val="white"/>
        </w:rPr>
        <w:t>2022)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.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Utilizando-se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terapia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antirretroviral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altamente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ativa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(HAART)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,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que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pesar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seu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sucesso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em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prolongar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expectativa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vida,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pode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promove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síndrome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metabólica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(MetS)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por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meio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uma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via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inflamatória,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partir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produção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excessiva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espécies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reativas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oxigênio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(ROS)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disfunção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mitocondrial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(LIMA,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2022)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. </w:t>
      </w:r>
      <w:r>
        <w:rPr>
          <w:rFonts w:ascii="Times New Roman" w:cs="Times New Roman" w:eastAsia="Arial" w:hAnsi="Times New Roman" w:hint="default"/>
          <w:sz w:val="24"/>
          <w:szCs w:val="24"/>
        </w:rPr>
        <w:t>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microalga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Spirulina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(</w:t>
      </w:r>
      <w:r>
        <w:rPr>
          <w:rFonts w:ascii="Times New Roman" w:cs="Times New Roman" w:eastAsia="Arial" w:hAnsi="Times New Roman" w:hint="default"/>
          <w:i/>
          <w:iCs/>
          <w:sz w:val="24"/>
          <w:szCs w:val="24"/>
        </w:rPr>
        <w:t>Arthrospira</w:t>
      </w:r>
      <w:r>
        <w:rPr>
          <w:rFonts w:ascii="Times New Roman" w:cs="Times New Roman" w:eastAsia="Arial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i/>
          <w:iCs/>
          <w:sz w:val="24"/>
          <w:szCs w:val="24"/>
        </w:rPr>
        <w:t>platensis</w:t>
      </w:r>
      <w:r>
        <w:rPr>
          <w:rFonts w:ascii="Times New Roman" w:cs="Times New Roman" w:eastAsia="Arial" w:hAnsi="Times New Roman" w:hint="default"/>
          <w:sz w:val="24"/>
          <w:szCs w:val="24"/>
        </w:rPr>
        <w:t>)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possui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várias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propriedades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medicinais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conté</w:t>
      </w:r>
      <w:r>
        <w:rPr>
          <w:rFonts w:ascii="Times New Roman" w:cs="Times New Roman" w:eastAsia="Arial" w:hAnsi="Times New Roman" w:hint="default"/>
          <w:sz w:val="24"/>
          <w:szCs w:val="24"/>
        </w:rPr>
        <w:t>m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em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suas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características</w:t>
      </w:r>
      <w:r>
        <w:rPr>
          <w:rFonts w:ascii="Times New Roman" w:cs="Times New Roman" w:eastAsia="Arial" w:hAnsi="Times New Roman" w:hint="default"/>
          <w:sz w:val="24"/>
          <w:szCs w:val="24"/>
        </w:rPr>
        <w:t>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inibidores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estresse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oxidativo</w:t>
      </w:r>
      <w:r>
        <w:rPr>
          <w:rFonts w:ascii="Times New Roman" w:cs="Times New Roman" w:eastAsia="Arial" w:hAnsi="Times New Roman" w:hint="default"/>
          <w:sz w:val="24"/>
          <w:szCs w:val="24"/>
        </w:rPr>
        <w:t>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promove</w:t>
      </w:r>
      <w:r>
        <w:rPr>
          <w:rFonts w:ascii="Times New Roman" w:cs="Times New Roman" w:eastAsia="Arial" w:hAnsi="Times New Roman" w:hint="default"/>
          <w:sz w:val="24"/>
          <w:szCs w:val="24"/>
        </w:rPr>
        <w:t>ndo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saúde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mitocondrial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do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paciente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portador,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podendo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ser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recomendada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para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tratamentos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doenças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metabólica</w:t>
      </w:r>
      <w:r>
        <w:rPr>
          <w:rFonts w:ascii="Times New Roman" w:cs="Times New Roman" w:eastAsia="Arial" w:hAnsi="Times New Roman" w:hint="default"/>
          <w:sz w:val="24"/>
          <w:szCs w:val="24"/>
        </w:rPr>
        <w:t>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(ANTONELLI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</w:rPr>
        <w:t>et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</w:rPr>
        <w:t>al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</w:rPr>
        <w:t>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2022)</w:t>
      </w:r>
      <w:r>
        <w:rPr>
          <w:rFonts w:ascii="Times New Roman" w:cs="Times New Roman" w:eastAsia="Arial" w:hAnsi="Times New Roman" w:hint="default"/>
          <w:sz w:val="24"/>
          <w:szCs w:val="24"/>
        </w:rPr>
        <w:t>.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Dessa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forma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um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suporte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dietético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suplementar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pode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melhorar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resultados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clínicos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em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indivíduos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infectados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pelo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Vírus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imunodeficiência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humana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(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HIV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)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,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reduzindo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incidência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complicações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finalmente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melhorando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qualidade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vida.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OBJETIVO: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Compreender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o</w:t>
      </w:r>
      <w:r>
        <w:rPr>
          <w:rFonts w:ascii="Times New Roman" w:cs="Times New Roman" w:eastAsia="Arial" w:hAnsi="Times New Roman" w:hint="default"/>
          <w:sz w:val="24"/>
          <w:szCs w:val="24"/>
        </w:rPr>
        <w:t>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benefícios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Spirulina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(</w:t>
      </w:r>
      <w:r>
        <w:rPr>
          <w:rFonts w:ascii="Times New Roman" w:cs="Times New Roman" w:eastAsia="Arial" w:hAnsi="Times New Roman" w:hint="default"/>
          <w:i/>
          <w:iCs/>
          <w:sz w:val="24"/>
          <w:szCs w:val="24"/>
        </w:rPr>
        <w:t>Arthrospira</w:t>
      </w:r>
      <w:r>
        <w:rPr>
          <w:rFonts w:ascii="Times New Roman" w:cs="Times New Roman" w:eastAsia="Arial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i/>
          <w:iCs/>
          <w:sz w:val="24"/>
          <w:szCs w:val="24"/>
        </w:rPr>
        <w:t>platensis</w:t>
      </w:r>
      <w:r>
        <w:rPr>
          <w:rFonts w:ascii="Times New Roman" w:cs="Times New Roman" w:eastAsia="Arial" w:hAnsi="Times New Roman" w:hint="default"/>
          <w:sz w:val="24"/>
          <w:szCs w:val="24"/>
        </w:rPr>
        <w:t>)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em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portadores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HIV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avaliar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eficácia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suplementação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spirulina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na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indução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mecanismos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humorais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celulares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sistema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imunológico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em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indivíduos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com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HIV</w:t>
      </w:r>
      <w:r>
        <w:rPr>
          <w:rFonts w:ascii="Times New Roman" w:cs="Times New Roman" w:eastAsia="Arial" w:hAnsi="Times New Roman" w:hint="default"/>
          <w:sz w:val="24"/>
          <w:szCs w:val="24"/>
        </w:rPr>
        <w:t>.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MÉTODO: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Foi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realizada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uma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revisão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integrativa,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pela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síntese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resultados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obtidos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pesquisa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sobre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questão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norteadora: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“Como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spirulina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eastAsia="Arial" w:hAnsi="Times New Roman" w:hint="default"/>
          <w:i/>
          <w:iCs/>
          <w:sz w:val="24"/>
          <w:szCs w:val="24"/>
        </w:rPr>
        <w:t>platensis</w:t>
      </w:r>
      <w:r>
        <w:rPr>
          <w:rFonts w:ascii="Times New Roman" w:cs="Times New Roman" w:eastAsia="Arial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pode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contribuir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tratamento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clínico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portadores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HIV?”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Utilizando-se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descritores: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HIV;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Portadores;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Spirulina</w:t>
      </w:r>
      <w:r>
        <w:rPr>
          <w:rFonts w:ascii="Times New Roman" w:cs="Times New Roman" w:eastAsia="Arial" w:hAnsi="Times New Roman" w:hint="default"/>
          <w:sz w:val="24"/>
          <w:szCs w:val="24"/>
        </w:rPr>
        <w:t>.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Para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essa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pesquisa,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as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bases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dados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foram</w:t>
      </w:r>
      <w:r>
        <w:rPr>
          <w:rFonts w:ascii="Times New Roman" w:cs="Times New Roman" w:eastAsia="Arial" w:hAnsi="Times New Roman" w:hint="default"/>
          <w:sz w:val="24"/>
          <w:szCs w:val="24"/>
        </w:rPr>
        <w:t>: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Medline,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BVS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SCIELO,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entre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anos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2019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>2023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>.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>Com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>os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>filtros: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HIV,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Portadores,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Spirulina.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fatores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inclusão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foram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artigos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disponíveis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na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integra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em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português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inglês...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Para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aspectos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exclus</w:t>
      </w:r>
      <w:r>
        <w:rPr>
          <w:rFonts w:ascii="Times New Roman" w:cs="Times New Roman" w:eastAsia="Arial" w:hAnsi="Times New Roman" w:hint="default"/>
          <w:sz w:val="24"/>
          <w:szCs w:val="24"/>
        </w:rPr>
        <w:t>ão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não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foram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aceitos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artigos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de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revisão,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teses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monografias</w:t>
      </w:r>
      <w:r>
        <w:rPr>
          <w:rFonts w:ascii="Times New Roman" w:cs="Times New Roman" w:eastAsia="Arial" w:hAnsi="Times New Roman" w:hint="default"/>
          <w:sz w:val="24"/>
          <w:szCs w:val="24"/>
        </w:rPr>
        <w:t>.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RESULTADOS: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foram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coletados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5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artigos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em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que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foram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selecionados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3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para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embasamento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teórico.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>Fica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>evidente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color w:val="000000"/>
          <w:sz w:val="24"/>
          <w:szCs w:val="24"/>
        </w:rPr>
        <w:t>que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o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tratamento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HAART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promove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altos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índices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enzimas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pró-inflamatórios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como: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interleucina6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(IL-6),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p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roteínas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C-reativas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e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D-dímeros,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induzido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MetS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(LIMA,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2022)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>.</w:t>
      </w:r>
      <w:r>
        <w:rPr>
          <w:rFonts w:ascii="Times New Roman" w:cs="Times New Roman" w:hAnsi="Times New Roman" w:hint="default"/>
          <w:color w:val="000000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Nesse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requisito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SP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tem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potencial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inibir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estresse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oxidativo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bloqueando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NADPH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oxidase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aumentando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saúde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mitocondrial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(LIMA,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2022)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.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entanto,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há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informações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limitadas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sobre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investigação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SP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confirmando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mecanismo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efeitos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antioxidantes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anti-inflamatórios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impacto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qualidade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vida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população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HIV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positiva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em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uso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HAART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eastAsia="Quattrocento Sans" w:hAnsi="Times New Roman" w:hint="default"/>
          <w:sz w:val="24"/>
          <w:szCs w:val="24"/>
          <w:highlight w:val="white"/>
        </w:rPr>
        <w:t>(SIBIYA,</w:t>
      </w:r>
      <w:r>
        <w:rPr>
          <w:rFonts w:ascii="Times New Roman" w:cs="Times New Roman" w:eastAsia="Quattrocento Sans" w:hAnsi="Times New Roman" w:hint="default"/>
          <w:sz w:val="24"/>
          <w:szCs w:val="24"/>
          <w:highlight w:val="white"/>
        </w:rPr>
        <w:t xml:space="preserve"> </w:t>
      </w:r>
      <w:r>
        <w:rPr>
          <w:rFonts w:ascii="Times New Roman" w:cs="Times New Roman" w:eastAsia="Quattrocento Sans" w:hAnsi="Times New Roman" w:hint="default"/>
          <w:sz w:val="24"/>
          <w:szCs w:val="24"/>
          <w:highlight w:val="white"/>
        </w:rPr>
        <w:t>2022)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. </w:t>
      </w:r>
      <w:bookmarkStart w:id="0" w:name="_heading=h.gjdgxs"/>
      <w:bookmarkEnd w:id="0"/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CONSIDERAÇÕES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FINAIS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: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propriedades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SP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indicadas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nesta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revisão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destacam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seu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potencial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mitigação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reações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adver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sas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medicamentos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HAART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MetS,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podendo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auxiliar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HAART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redução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carga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viral.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inda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persiste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uma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lacuna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literat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ura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referente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tema,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portanto,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até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momento,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não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foi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identificado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uma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efetividade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da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SP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voltada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exclusivamente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para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tratamento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em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adultos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com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>HIV.</w:t>
      </w:r>
      <w:r>
        <w:rPr>
          <w:rFonts w:ascii="Times New Roman" w:cs="Times New Roman" w:hAnsi="Times New Roman" w:hint="default"/>
          <w:sz w:val="24"/>
          <w:szCs w:val="24"/>
          <w:shd w:val="clear" w:color="ffffff" w:fill="ffffff"/>
        </w:rPr>
        <w:t xml:space="preserve"> </w:t>
      </w:r>
    </w:p>
    <w:p>
      <w:pPr>
        <w:jc w:val="both"/>
        <w:rPr/>
      </w:pP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>Descritores:</w:t>
      </w:r>
      <w:r>
        <w:rPr>
          <w:rFonts w:ascii="Times New Roman" w:cs="Times New Roman" w:eastAsia="Arial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HIV,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Portadores,</w:t>
      </w:r>
      <w:r>
        <w:rPr>
          <w:rFonts w:ascii="Times New Roman" w:cs="Times New Roman" w:eastAsia="Arial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Arial" w:hAnsi="Times New Roman" w:hint="default"/>
          <w:sz w:val="24"/>
          <w:szCs w:val="24"/>
        </w:rPr>
        <w:t>Spirulina.</w:t>
      </w:r>
    </w:p>
    <w:p>
      <w:pPr>
        <w:jc w:val="both"/>
        <w:rPr/>
      </w:pP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REFERÊNCIAS:</w:t>
      </w:r>
    </w:p>
    <w:p>
      <w:pPr>
        <w:jc w:val="both"/>
        <w:rPr/>
      </w:pP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ANTONELLI,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Michele;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DONELLI,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Davide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.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>EffectsofSpirulinaon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>CD4+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>T-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>LymphocyteCount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>in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>Patientswith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>HIV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>Infection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 w:hint="default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A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LiteratureReview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.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In: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Biologyand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Life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SciencesForum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.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MDPI,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2022.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p.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24"/>
        </w:rPr>
        <w:t>6.</w:t>
      </w:r>
    </w:p>
    <w:p>
      <w:pPr>
        <w:jc w:val="both"/>
        <w:rPr/>
      </w:pPr>
      <w:r>
        <w:rPr>
          <w:rFonts w:ascii="Times New Roman" w:cs="Times New Roman" w:eastAsia="Times New Roman" w:hAnsi="Times New Roman" w:hint="default"/>
          <w:sz w:val="24"/>
          <w:szCs w:val="24"/>
        </w:rPr>
        <w:t>LIMA,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Maria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Amanda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Correia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et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al.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Knowledge,attitudeandpracticeofpeoplewith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HIV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regarding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a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healthylifestyle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: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clinicaltrial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.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Revista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Brasileira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de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Enfermagem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[online].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2022,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v.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75,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n.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5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[Acessado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11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Março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2023],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e20210307.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Disponível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em: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&lt;https://doi.org/10.1590/0034-7167-2021-0307&gt;.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Epub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07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Mar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2022.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ISSN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1984-0446.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u w:val="single"/>
        </w:rPr>
        <w:t>https://doi.org/10.1590/0034-7167-2021-0307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.</w:t>
      </w:r>
    </w:p>
    <w:p>
      <w:pPr>
        <w:jc w:val="both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 w:hint="default"/>
          <w:sz w:val="24"/>
          <w:szCs w:val="24"/>
        </w:rPr>
        <w:t>SIBIYA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T,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Ghazi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T,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Chuturgoon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A.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O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potencial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da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Spirulina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platensis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para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melhorar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os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efeitos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adversos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da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terapia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antirretroviral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altamente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ativa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(HAART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).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Nutrientes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.2022;14(15):3076.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Publicado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em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2022,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27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de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julho.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[Acessado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11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Março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2023]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u w:val="single"/>
        </w:rPr>
        <w:t>https://doi.org/10.3390/nu14153076</w:t>
      </w:r>
      <w:bookmarkStart w:id="1" w:name="_heading=h.1fob9te"/>
      <w:bookmarkStart w:id="2" w:name="_GoBack"/>
      <w:bookmarkEnd w:id="1"/>
      <w:bookmarkEnd w:id="2"/>
    </w:p>
    <w:sectPr>
      <w:headerReference w:type="default" r:id="rId2"/>
      <w:pgSz w:w="11906" w:h="16838" w:orient="portrait"/>
      <w:pgMar w:top="226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pitch w:val="variable"/>
    <w:sig w:usb0="800002E7" w:usb1="2AC7FCFF" w:usb2="00000012" w:usb3="00000000" w:csb0="0002009F" w:csb1="00000000"/>
  </w:font>
  <w:font w:name="Quattrocento Sans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right</wp:align>
          </wp:positionH>
          <wp:positionV relativeFrom="paragraph">
            <wp:posOffset>-440054</wp:posOffset>
          </wp:positionV>
          <wp:extent cx="7541368" cy="10667388"/>
          <wp:effectExtent l="0" t="0" r="2540" b="635"/>
          <wp:wrapNone/>
          <wp:docPr id="4097" name="Imagem 1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41368" cy="10667388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readOnly" w:formatting="1" w:enforcement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t-B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lang w:eastAsia="pt-B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7"/>
    <w:uiPriority w:val="99"/>
    <w:pPr>
      <w:spacing w:lineRule="auto" w:line="240"/>
    </w:pPr>
    <w:rPr>
      <w:sz w:val="20"/>
      <w:szCs w:val="20"/>
    </w:rPr>
  </w:style>
  <w:style w:type="character" w:customStyle="1" w:styleId="style4097">
    <w:name w:val="Texto de comentário Char"/>
    <w:basedOn w:val="style65"/>
    <w:next w:val="style4097"/>
    <w:link w:val="style30"/>
    <w:uiPriority w:val="99"/>
    <w:rPr>
      <w:rFonts w:ascii="Calibri" w:cs="Calibri" w:eastAsia="Calibri" w:hAnsi="Calibri"/>
      <w:sz w:val="20"/>
      <w:szCs w:val="20"/>
      <w:lang w:eastAsia="pt-BR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Texto de balão Char"/>
    <w:basedOn w:val="style65"/>
    <w:next w:val="style4098"/>
    <w:link w:val="style153"/>
    <w:uiPriority w:val="99"/>
    <w:rPr>
      <w:rFonts w:ascii="Segoe UI" w:cs="Segoe UI" w:eastAsia="Calibri" w:hAnsi="Segoe UI"/>
      <w:sz w:val="18"/>
      <w:szCs w:val="18"/>
      <w:lang w:eastAsia="pt-BR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9">
    <w:name w:val="Cabeçalho Char"/>
    <w:basedOn w:val="style65"/>
    <w:next w:val="style4099"/>
    <w:link w:val="style31"/>
    <w:uiPriority w:val="99"/>
    <w:rPr>
      <w:rFonts w:ascii="Calibri" w:cs="Calibri" w:eastAsia="Calibri" w:hAnsi="Calibri"/>
      <w:lang w:eastAsia="pt-BR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100">
    <w:name w:val="Rodapé Char"/>
    <w:basedOn w:val="style65"/>
    <w:next w:val="style4100"/>
    <w:link w:val="style32"/>
    <w:uiPriority w:val="99"/>
    <w:rPr>
      <w:rFonts w:ascii="Calibri" w:cs="Calibri" w:eastAsia="Calibri" w:hAnsi="Calibri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567</Words>
  <Pages>1</Pages>
  <Characters>3622</Characters>
  <Application>WPS Office</Application>
  <DocSecurity>0</DocSecurity>
  <Paragraphs>17</Paragraphs>
  <ScaleCrop>false</ScaleCrop>
  <LinksUpToDate>false</LinksUpToDate>
  <CharactersWithSpaces>4177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2023-04-07T02:49:38Z</dcterms:created>
  <dc:creator>Aline Ximenes</dc:creator>
  <lastModifiedBy>M2102J20SG</lastModifiedBy>
  <dcterms:modified xsi:type="dcterms:W3CDTF">2023-04-07T23:28:58Z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