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8E5B" w14:textId="77777777" w:rsidR="00311FFC" w:rsidRDefault="000A2C7B" w:rsidP="000A2C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1F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TRANSCRIPTOME PROFILING IN A LICHEN-FORMING FUNGUS </w:t>
      </w:r>
    </w:p>
    <w:p w14:paraId="1045BC44" w14:textId="0CF5E024" w:rsidR="000A2C7B" w:rsidRPr="00311FFC" w:rsidRDefault="000A2C7B" w:rsidP="000A2C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1F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DURING INDUCTION OF DEPSIDONE BIOSYNTHESIS </w:t>
      </w:r>
    </w:p>
    <w:p w14:paraId="2BACD7FF" w14:textId="323038CC" w:rsidR="000A2C7B" w:rsidRPr="00311FFC" w:rsidRDefault="000A2C7B" w:rsidP="000A2C7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1F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SHEDS LIGHT ON THE GENE NETWORKS INVOLVED</w:t>
      </w:r>
    </w:p>
    <w:p w14:paraId="572D2FAD" w14:textId="5ECC1A70" w:rsidR="00D9081A" w:rsidRPr="00E13EE0" w:rsidRDefault="00E25B3E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 w:rsidRPr="00E13EE0">
        <w:rPr>
          <w:rFonts w:ascii="Times New Roman" w:hAnsi="Times New Roman" w:cs="Times New Roman"/>
          <w:sz w:val="24"/>
          <w:szCs w:val="24"/>
          <w:lang w:val="it-IT"/>
        </w:rPr>
        <w:t>Francesco Dal Grande</w:t>
      </w:r>
      <w:r w:rsidRPr="00E13EE0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1,2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*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; </w:t>
      </w:r>
      <w:r w:rsidR="000415D8"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Daniele Armaleo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3*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; </w:t>
      </w:r>
      <w:proofErr w:type="spellStart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Anjuli</w:t>
      </w:r>
      <w:proofErr w:type="spellEnd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Calchera</w:t>
      </w:r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1,</w:t>
      </w:r>
      <w:r w:rsidR="00C45DDA"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4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;</w:t>
      </w:r>
      <w:r w:rsidR="0088575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Imke</w:t>
      </w:r>
      <w:proofErr w:type="spellEnd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Schmitt</w:t>
      </w:r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1,2,</w:t>
      </w:r>
      <w:r w:rsidR="00C45DDA"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4</w:t>
      </w:r>
      <w:r w:rsidRPr="00E13EE0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 </w:t>
      </w:r>
    </w:p>
    <w:p w14:paraId="1C491E85" w14:textId="571F2742" w:rsidR="00D9081A" w:rsidRPr="00E13EE0" w:rsidRDefault="00E25B3E" w:rsidP="00311FFC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13E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proofErr w:type="spellStart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Senckenberg</w:t>
      </w:r>
      <w:proofErr w:type="spellEnd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Biodiversity and Climate Research Centre (</w:t>
      </w:r>
      <w:proofErr w:type="spellStart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SBiK</w:t>
      </w:r>
      <w:proofErr w:type="spellEnd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-F), </w:t>
      </w:r>
      <w:proofErr w:type="spellStart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Senckenberganlage</w:t>
      </w:r>
      <w:proofErr w:type="spellEnd"/>
      <w:r w:rsidRPr="00E13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25, 60325 Frankfurt am Main, Germany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="00E13EE0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LOEWE Centre for Translational Biodiversity Genomics (TBG), </w:t>
      </w:r>
      <w:proofErr w:type="spellStart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Senckenberg</w:t>
      </w:r>
      <w:proofErr w:type="spellEnd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Gesellschaft </w:t>
      </w:r>
      <w:proofErr w:type="spellStart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für</w:t>
      </w:r>
      <w:proofErr w:type="spellEnd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Naturforschung</w:t>
      </w:r>
      <w:proofErr w:type="spellEnd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Senckenberganlage</w:t>
      </w:r>
      <w:proofErr w:type="spellEnd"/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25, 60325 Frankfurt am Main, Germany;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5DDA"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3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Department of Biology, Duke University, Durham, North Carolina</w:t>
      </w:r>
      <w:r w:rsidR="00E15D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15D07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27708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4" w:history="1">
        <w:r w:rsidR="000415D8" w:rsidRPr="00E13E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darmaleo@duke.edu</w:t>
        </w:r>
      </w:hyperlink>
      <w:r w:rsidR="000415D8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C45DDA"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4</w:t>
      </w:r>
      <w:r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Institute of Ecology, Evolution and Diversity, Goethe University Frankfurt am Main, Max-von-Laue-Str. 9, 60438 Frankfurt am Main, Germany;</w:t>
      </w:r>
      <w:r w:rsidR="00B50F86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13EE0" w:rsidRPr="00E13EE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E13EE0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5" w:history="1">
        <w:r w:rsidR="00E13EE0" w:rsidRPr="00E13E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francesco.dalgrande@senckenberg.de</w:t>
        </w:r>
      </w:hyperlink>
      <w:r w:rsidR="00E13EE0" w:rsidRPr="00E13E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darmaleo@duke.edu</w:t>
      </w:r>
    </w:p>
    <w:p w14:paraId="3AB2193A" w14:textId="77777777" w:rsidR="00E13EE0" w:rsidRPr="00E13EE0" w:rsidRDefault="00E13EE0" w:rsidP="00E13EE0">
      <w:pPr>
        <w:jc w:val="center"/>
        <w:rPr>
          <w:rStyle w:val="InternetLink"/>
          <w:rFonts w:ascii="Times" w:hAnsi="Times"/>
          <w:color w:val="000000" w:themeColor="text1"/>
          <w:sz w:val="24"/>
          <w:szCs w:val="24"/>
          <w:u w:val="none"/>
          <w:lang w:val="en-US"/>
        </w:rPr>
      </w:pPr>
    </w:p>
    <w:p w14:paraId="18954533" w14:textId="0CE6BEAD" w:rsidR="0057200B" w:rsidRPr="00E13EE0" w:rsidRDefault="00CB61E8" w:rsidP="00E13EE0">
      <w:pPr>
        <w:pStyle w:val="CommentText"/>
        <w:jc w:val="both"/>
        <w:rPr>
          <w:rFonts w:ascii="Times New Roman" w:eastAsia="Cambria" w:hAnsi="Times New Roman" w:cs="Times New Roman"/>
          <w:color w:val="000000"/>
        </w:rPr>
      </w:pPr>
      <w:r w:rsidRPr="00E13EE0">
        <w:rPr>
          <w:rFonts w:ascii="Times New Roman" w:hAnsi="Times New Roman" w:cs="Times New Roman"/>
          <w:color w:val="000000"/>
        </w:rPr>
        <w:t>In</w:t>
      </w:r>
      <w:r w:rsidR="00E25B3E" w:rsidRPr="00E13EE0">
        <w:rPr>
          <w:rFonts w:ascii="Times New Roman" w:hAnsi="Times New Roman" w:cs="Times New Roman"/>
          <w:color w:val="000000"/>
        </w:rPr>
        <w:t xml:space="preserve"> lichen symbiotic fungi, a large and versatile group of natural product </w:t>
      </w:r>
      <w:proofErr w:type="spellStart"/>
      <w:r w:rsidR="00E25B3E" w:rsidRPr="00E13EE0">
        <w:rPr>
          <w:rFonts w:ascii="Times New Roman" w:hAnsi="Times New Roman" w:cs="Times New Roman"/>
          <w:color w:val="000000"/>
        </w:rPr>
        <w:t>biosynthesizers</w:t>
      </w:r>
      <w:proofErr w:type="spellEnd"/>
      <w:r w:rsidR="00E25B3E" w:rsidRPr="00E13EE0">
        <w:rPr>
          <w:rFonts w:ascii="Times New Roman" w:hAnsi="Times New Roman" w:cs="Times New Roman"/>
          <w:color w:val="000000"/>
        </w:rPr>
        <w:t xml:space="preserve">, we know virtually nothing about the functional and regulatory </w:t>
      </w:r>
      <w:r w:rsidRPr="00E13EE0">
        <w:rPr>
          <w:rFonts w:ascii="Times New Roman" w:hAnsi="Times New Roman" w:cs="Times New Roman"/>
          <w:color w:val="000000"/>
        </w:rPr>
        <w:t xml:space="preserve">gene </w:t>
      </w:r>
      <w:r w:rsidR="00E25B3E" w:rsidRPr="00E13EE0">
        <w:rPr>
          <w:rFonts w:ascii="Times New Roman" w:hAnsi="Times New Roman" w:cs="Times New Roman"/>
          <w:color w:val="000000"/>
        </w:rPr>
        <w:t>networks involved</w:t>
      </w:r>
      <w:r w:rsidRPr="00E13EE0">
        <w:rPr>
          <w:rFonts w:ascii="Times New Roman" w:hAnsi="Times New Roman" w:cs="Times New Roman"/>
          <w:color w:val="000000"/>
        </w:rPr>
        <w:t xml:space="preserve"> in the biosynthesis of secondary compounds</w:t>
      </w:r>
      <w:r w:rsidR="00E25B3E" w:rsidRPr="00E13EE0">
        <w:rPr>
          <w:rFonts w:ascii="Times New Roman" w:hAnsi="Times New Roman" w:cs="Times New Roman"/>
          <w:color w:val="000000"/>
        </w:rPr>
        <w:t xml:space="preserve">. </w:t>
      </w:r>
      <w:r w:rsidR="005E5636" w:rsidRPr="00E13EE0">
        <w:rPr>
          <w:rFonts w:ascii="Times New Roman" w:hAnsi="Times New Roman" w:cs="Times New Roman"/>
          <w:color w:val="000000"/>
        </w:rPr>
        <w:t xml:space="preserve">Here, </w:t>
      </w:r>
      <w:r w:rsidR="005E5636" w:rsidRPr="00E13EE0">
        <w:rPr>
          <w:rFonts w:ascii="Times New Roman" w:eastAsia="Times New Roman" w:hAnsi="Times New Roman" w:cs="Times New Roman"/>
        </w:rPr>
        <w:t>we</w:t>
      </w:r>
      <w:r w:rsidR="005E5636" w:rsidRPr="00E13EE0">
        <w:rPr>
          <w:rFonts w:ascii="Times New Roman" w:hAnsi="Times New Roman" w:cs="Times New Roman"/>
        </w:rPr>
        <w:t xml:space="preserve"> </w:t>
      </w:r>
      <w:r w:rsidR="00C370FC" w:rsidRPr="00E13EE0">
        <w:rPr>
          <w:rFonts w:ascii="Times New Roman" w:hAnsi="Times New Roman" w:cs="Times New Roman"/>
        </w:rPr>
        <w:t>examined</w:t>
      </w:r>
      <w:r w:rsidR="005E5636" w:rsidRPr="00E13EE0">
        <w:rPr>
          <w:rFonts w:ascii="Times New Roman" w:hAnsi="Times New Roman" w:cs="Times New Roman"/>
        </w:rPr>
        <w:t xml:space="preserve"> global time-series gene expression profiles </w:t>
      </w:r>
      <w:r w:rsidR="00C370FC" w:rsidRPr="00E13EE0">
        <w:rPr>
          <w:rFonts w:ascii="Times New Roman" w:hAnsi="Times New Roman" w:cs="Times New Roman"/>
        </w:rPr>
        <w:t xml:space="preserve">during </w:t>
      </w:r>
      <w:r w:rsidR="00064CE9" w:rsidRPr="00E13EE0">
        <w:rPr>
          <w:rFonts w:ascii="Times New Roman" w:hAnsi="Times New Roman" w:cs="Times New Roman"/>
        </w:rPr>
        <w:t>induction</w:t>
      </w:r>
      <w:r w:rsidR="00C370FC" w:rsidRPr="00E13EE0">
        <w:rPr>
          <w:rFonts w:ascii="Times New Roman" w:hAnsi="Times New Roman" w:cs="Times New Roman"/>
        </w:rPr>
        <w:t xml:space="preserve"> of secondary metabolism in</w:t>
      </w:r>
      <w:r w:rsidR="005E5636" w:rsidRPr="00E13EE0">
        <w:rPr>
          <w:rFonts w:ascii="Times New Roman" w:hAnsi="Times New Roman" w:cs="Times New Roman"/>
        </w:rPr>
        <w:t xml:space="preserve"> the </w:t>
      </w:r>
      <w:r w:rsidR="00C370FC" w:rsidRPr="00E13EE0">
        <w:rPr>
          <w:rFonts w:ascii="Times New Roman" w:hAnsi="Times New Roman" w:cs="Times New Roman"/>
        </w:rPr>
        <w:t xml:space="preserve">cultured </w:t>
      </w:r>
      <w:r w:rsidR="005E5636" w:rsidRPr="00E13EE0">
        <w:rPr>
          <w:rFonts w:ascii="Times New Roman" w:hAnsi="Times New Roman" w:cs="Times New Roman"/>
        </w:rPr>
        <w:t xml:space="preserve">lichen fungus </w:t>
      </w:r>
      <w:proofErr w:type="spellStart"/>
      <w:r w:rsidR="005E5636" w:rsidRPr="00E13EE0">
        <w:rPr>
          <w:rFonts w:ascii="Times New Roman" w:hAnsi="Times New Roman" w:cs="Times New Roman"/>
          <w:i/>
          <w:iCs/>
        </w:rPr>
        <w:t>Cladonia</w:t>
      </w:r>
      <w:proofErr w:type="spellEnd"/>
      <w:r w:rsidR="005E5636" w:rsidRPr="00E13EE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E5636" w:rsidRPr="00E13EE0">
        <w:rPr>
          <w:rFonts w:ascii="Times New Roman" w:hAnsi="Times New Roman" w:cs="Times New Roman"/>
          <w:i/>
          <w:iCs/>
        </w:rPr>
        <w:t>grayi</w:t>
      </w:r>
      <w:proofErr w:type="spellEnd"/>
      <w:r w:rsidR="005E5636" w:rsidRPr="00E13EE0">
        <w:rPr>
          <w:rFonts w:ascii="Times New Roman" w:hAnsi="Times New Roman" w:cs="Times New Roman"/>
        </w:rPr>
        <w:t xml:space="preserve">. </w:t>
      </w:r>
      <w:r w:rsidR="00064CE9" w:rsidRPr="00E13EE0">
        <w:rPr>
          <w:rFonts w:ascii="Times New Roman" w:hAnsi="Times New Roman" w:cs="Times New Roman"/>
        </w:rPr>
        <w:t>For induction, w</w:t>
      </w:r>
      <w:r w:rsidR="00C370FC" w:rsidRPr="00E13EE0">
        <w:rPr>
          <w:rFonts w:ascii="Times New Roman" w:hAnsi="Times New Roman" w:cs="Times New Roman"/>
        </w:rPr>
        <w:t xml:space="preserve">e perfected a method to uniformly transition mycelial growth of the mycobiont from liquid to solid media, a switch that triggers production of the depsidone </w:t>
      </w:r>
      <w:proofErr w:type="spellStart"/>
      <w:r w:rsidR="00C370FC" w:rsidRPr="00E13EE0">
        <w:rPr>
          <w:rFonts w:ascii="Times New Roman" w:hAnsi="Times New Roman" w:cs="Times New Roman"/>
        </w:rPr>
        <w:t>grayanic</w:t>
      </w:r>
      <w:proofErr w:type="spellEnd"/>
      <w:r w:rsidR="00C370FC" w:rsidRPr="00E13EE0">
        <w:rPr>
          <w:rFonts w:ascii="Times New Roman" w:hAnsi="Times New Roman" w:cs="Times New Roman"/>
        </w:rPr>
        <w:t xml:space="preserve"> acid (GRA), the main natural product in this lichen.</w:t>
      </w:r>
      <w:r w:rsidR="007155E0" w:rsidRPr="00E13EE0">
        <w:rPr>
          <w:rFonts w:ascii="Times New Roman" w:hAnsi="Times New Roman" w:cs="Times New Roman"/>
        </w:rPr>
        <w:t xml:space="preserve"> </w:t>
      </w:r>
      <w:r w:rsidR="002A761D" w:rsidRPr="00E13EE0">
        <w:rPr>
          <w:rFonts w:ascii="Times New Roman" w:eastAsia="Times New Roman" w:hAnsi="Times New Roman" w:cs="Times New Roman"/>
        </w:rPr>
        <w:t xml:space="preserve">Gene expression was compared </w:t>
      </w:r>
      <w:r w:rsidR="002A761D" w:rsidRPr="00E13EE0">
        <w:rPr>
          <w:rFonts w:ascii="Times New Roman" w:hAnsi="Times New Roman" w:cs="Times New Roman"/>
        </w:rPr>
        <w:t xml:space="preserve">in two </w:t>
      </w:r>
      <w:r w:rsidR="002A761D" w:rsidRPr="00E13EE0">
        <w:rPr>
          <w:rFonts w:ascii="Times New Roman" w:hAnsi="Times New Roman" w:cs="Times New Roman"/>
          <w:i/>
        </w:rPr>
        <w:t xml:space="preserve">C. </w:t>
      </w:r>
      <w:proofErr w:type="spellStart"/>
      <w:r w:rsidR="002A761D" w:rsidRPr="00E13EE0">
        <w:rPr>
          <w:rFonts w:ascii="Times New Roman" w:hAnsi="Times New Roman" w:cs="Times New Roman"/>
          <w:i/>
        </w:rPr>
        <w:t>grayi</w:t>
      </w:r>
      <w:proofErr w:type="spellEnd"/>
      <w:r w:rsidR="002A761D" w:rsidRPr="00E13EE0">
        <w:rPr>
          <w:rFonts w:ascii="Times New Roman" w:hAnsi="Times New Roman" w:cs="Times New Roman"/>
        </w:rPr>
        <w:t xml:space="preserve"> strains, a high and a null GRA producer under identical induction conditions. </w:t>
      </w:r>
      <w:r w:rsidR="00E25B3E" w:rsidRPr="00E13EE0">
        <w:rPr>
          <w:rFonts w:ascii="Times New Roman" w:hAnsi="Times New Roman" w:cs="Times New Roman"/>
          <w:color w:val="000000"/>
        </w:rPr>
        <w:t>Using functional and network analysis</w:t>
      </w:r>
      <w:r w:rsidR="001F1370" w:rsidRPr="00E13EE0">
        <w:rPr>
          <w:rFonts w:ascii="Times New Roman" w:hAnsi="Times New Roman" w:cs="Times New Roman"/>
          <w:color w:val="000000"/>
        </w:rPr>
        <w:t>, we identified 1343 differentially expressed genes between the two strains</w:t>
      </w:r>
      <w:r w:rsidR="007504B9" w:rsidRPr="00E13EE0">
        <w:rPr>
          <w:rFonts w:ascii="Times New Roman" w:hAnsi="Times New Roman" w:cs="Times New Roman"/>
          <w:color w:val="000000"/>
        </w:rPr>
        <w:t>, out of a total of</w:t>
      </w:r>
      <w:r w:rsidR="00530888" w:rsidRPr="00E13EE0">
        <w:rPr>
          <w:rFonts w:ascii="Times New Roman" w:hAnsi="Times New Roman" w:cs="Times New Roman"/>
          <w:color w:val="000000"/>
        </w:rPr>
        <w:t xml:space="preserve"> 11293.</w:t>
      </w:r>
      <w:r w:rsidR="001F1370" w:rsidRPr="00E13EE0">
        <w:rPr>
          <w:rFonts w:ascii="Times New Roman" w:hAnsi="Times New Roman" w:cs="Times New Roman"/>
          <w:color w:val="000000"/>
        </w:rPr>
        <w:t xml:space="preserve"> A </w:t>
      </w:r>
      <w:r w:rsidR="00E25B3E" w:rsidRPr="00E13EE0">
        <w:rPr>
          <w:rFonts w:ascii="Times New Roman" w:hAnsi="Times New Roman" w:cs="Times New Roman"/>
          <w:color w:val="000000"/>
        </w:rPr>
        <w:t xml:space="preserve">major biochemical dichotomy between the null and the </w:t>
      </w:r>
      <w:r w:rsidR="001F1370" w:rsidRPr="00E13EE0">
        <w:rPr>
          <w:rFonts w:ascii="Times New Roman" w:hAnsi="Times New Roman" w:cs="Times New Roman"/>
          <w:color w:val="000000"/>
        </w:rPr>
        <w:t xml:space="preserve">high </w:t>
      </w:r>
      <w:r w:rsidR="00E25B3E" w:rsidRPr="00E13EE0">
        <w:rPr>
          <w:rFonts w:ascii="Times New Roman" w:hAnsi="Times New Roman" w:cs="Times New Roman"/>
          <w:color w:val="000000"/>
        </w:rPr>
        <w:t xml:space="preserve">GRA producer </w:t>
      </w:r>
      <w:r w:rsidR="001F1370" w:rsidRPr="00E13EE0">
        <w:rPr>
          <w:rFonts w:ascii="Times New Roman" w:hAnsi="Times New Roman" w:cs="Times New Roman"/>
          <w:color w:val="000000"/>
        </w:rPr>
        <w:t>was represented by</w:t>
      </w:r>
      <w:r w:rsidR="00E25B3E" w:rsidRPr="00E13EE0">
        <w:rPr>
          <w:rFonts w:ascii="Times New Roman" w:hAnsi="Times New Roman" w:cs="Times New Roman"/>
          <w:color w:val="000000"/>
        </w:rPr>
        <w:t xml:space="preserve"> the activation of the </w:t>
      </w:r>
      <w:r w:rsidR="00C80311" w:rsidRPr="00E13EE0">
        <w:rPr>
          <w:rFonts w:ascii="Times New Roman" w:hAnsi="Times New Roman" w:cs="Times New Roman"/>
          <w:color w:val="000000"/>
        </w:rPr>
        <w:t>squalene</w:t>
      </w:r>
      <w:r w:rsidR="00E25B3E" w:rsidRPr="00E13EE0">
        <w:rPr>
          <w:rFonts w:ascii="Times New Roman" w:hAnsi="Times New Roman" w:cs="Times New Roman"/>
          <w:color w:val="000000"/>
        </w:rPr>
        <w:t xml:space="preserve"> pathway </w:t>
      </w:r>
      <w:r w:rsidR="00241AC2" w:rsidRPr="00E13EE0">
        <w:rPr>
          <w:rFonts w:ascii="Times New Roman" w:hAnsi="Times New Roman" w:cs="Times New Roman"/>
          <w:color w:val="000000"/>
        </w:rPr>
        <w:t xml:space="preserve">in the null producer </w:t>
      </w:r>
      <w:r w:rsidR="00241AC2" w:rsidRPr="00E13EE0">
        <w:rPr>
          <w:rFonts w:ascii="Times New Roman" w:hAnsi="Times New Roman" w:cs="Times New Roman"/>
          <w:i/>
          <w:iCs/>
          <w:color w:val="000000"/>
        </w:rPr>
        <w:t>vs.</w:t>
      </w:r>
      <w:r w:rsidR="00E25B3E" w:rsidRPr="00E13EE0">
        <w:rPr>
          <w:rFonts w:ascii="Times New Roman" w:hAnsi="Times New Roman" w:cs="Times New Roman"/>
          <w:color w:val="000000"/>
        </w:rPr>
        <w:t xml:space="preserve"> the </w:t>
      </w:r>
      <w:r w:rsidR="00241AC2" w:rsidRPr="00E13EE0">
        <w:rPr>
          <w:rFonts w:ascii="Times New Roman" w:hAnsi="Times New Roman" w:cs="Times New Roman"/>
          <w:color w:val="000000"/>
        </w:rPr>
        <w:t>activation of the</w:t>
      </w:r>
      <w:r w:rsidR="00E25B3E" w:rsidRPr="00E13EE0">
        <w:rPr>
          <w:rFonts w:ascii="Times New Roman" w:hAnsi="Times New Roman" w:cs="Times New Roman"/>
          <w:color w:val="000000"/>
        </w:rPr>
        <w:t xml:space="preserve"> GRA </w:t>
      </w:r>
      <w:r w:rsidR="00241AC2" w:rsidRPr="00E13EE0">
        <w:rPr>
          <w:rFonts w:ascii="Times New Roman" w:hAnsi="Times New Roman" w:cs="Times New Roman"/>
          <w:color w:val="000000"/>
        </w:rPr>
        <w:t xml:space="preserve">pathway </w:t>
      </w:r>
      <w:r w:rsidR="00E25B3E" w:rsidRPr="00E13EE0">
        <w:rPr>
          <w:rFonts w:ascii="Times New Roman" w:hAnsi="Times New Roman" w:cs="Times New Roman"/>
          <w:color w:val="000000"/>
        </w:rPr>
        <w:t>in the high producer.</w:t>
      </w:r>
      <w:r w:rsidR="00591EE2" w:rsidRPr="00E13EE0">
        <w:rPr>
          <w:rFonts w:ascii="Times New Roman" w:hAnsi="Times New Roman" w:cs="Times New Roman"/>
          <w:color w:val="000000"/>
        </w:rPr>
        <w:t xml:space="preserve"> In addition, t</w:t>
      </w:r>
      <w:r w:rsidR="001F1370" w:rsidRPr="00E13EE0">
        <w:rPr>
          <w:rFonts w:ascii="Times New Roman" w:hAnsi="Times New Roman" w:cs="Times New Roman"/>
          <w:color w:val="000000"/>
        </w:rPr>
        <w:t xml:space="preserve">he high producer </w:t>
      </w:r>
      <w:r w:rsidR="009B1BD6" w:rsidRPr="00E13EE0">
        <w:rPr>
          <w:rFonts w:ascii="Times New Roman" w:hAnsi="Times New Roman" w:cs="Times New Roman"/>
          <w:color w:val="000000"/>
        </w:rPr>
        <w:t xml:space="preserve">downregulated mitochondrial ATPase and </w:t>
      </w:r>
      <w:r w:rsidR="001F1370" w:rsidRPr="00E13EE0">
        <w:rPr>
          <w:rFonts w:ascii="Times New Roman" w:hAnsi="Times New Roman" w:cs="Times New Roman"/>
          <w:color w:val="000000"/>
        </w:rPr>
        <w:t>upregulated</w:t>
      </w:r>
      <w:r w:rsidR="00E25B3E" w:rsidRPr="00E13EE0">
        <w:rPr>
          <w:rFonts w:ascii="Times New Roman" w:hAnsi="Times New Roman" w:cs="Times New Roman"/>
          <w:color w:val="000000"/>
        </w:rPr>
        <w:t xml:space="preserve"> genes related to oxidoreductase activity and transmembrane transport</w:t>
      </w:r>
      <w:r w:rsidR="00E25B3E" w:rsidRPr="00E13EE0">
        <w:rPr>
          <w:rFonts w:ascii="Times New Roman" w:hAnsi="Times New Roman" w:cs="Times New Roman"/>
          <w:color w:val="000000" w:themeColor="text1"/>
        </w:rPr>
        <w:t xml:space="preserve">. </w:t>
      </w:r>
      <w:r w:rsidR="009B1BD6" w:rsidRPr="00E13EE0">
        <w:rPr>
          <w:rFonts w:ascii="Times New Roman" w:hAnsi="Times New Roman" w:cs="Times New Roman"/>
          <w:color w:val="000000" w:themeColor="text1"/>
        </w:rPr>
        <w:t>This suggests a significant diversion of Acetyl-CoA from mitochondrial ATP synthesis towards the GRA pathway</w:t>
      </w:r>
      <w:r w:rsidR="000415D8" w:rsidRPr="00E13EE0">
        <w:rPr>
          <w:rFonts w:ascii="Times New Roman" w:hAnsi="Times New Roman" w:cs="Times New Roman"/>
          <w:color w:val="000000" w:themeColor="text1"/>
        </w:rPr>
        <w:t xml:space="preserve"> in the high GRA producer</w:t>
      </w:r>
      <w:r w:rsidR="002247C2" w:rsidRPr="00E13EE0">
        <w:rPr>
          <w:rFonts w:ascii="Times New Roman" w:hAnsi="Times New Roman" w:cs="Times New Roman"/>
          <w:color w:val="000000" w:themeColor="text1"/>
        </w:rPr>
        <w:t xml:space="preserve">. Our results also suggest that compartmentalization via peroxisomes and cytoplasmic vesicles, as seen in aflatoxin production </w:t>
      </w:r>
      <w:r w:rsidR="00BF75AA" w:rsidRPr="00E13EE0">
        <w:rPr>
          <w:rFonts w:ascii="Times New Roman" w:hAnsi="Times New Roman" w:cs="Times New Roman"/>
          <w:color w:val="000000" w:themeColor="text1"/>
        </w:rPr>
        <w:t>in</w:t>
      </w:r>
      <w:r w:rsidR="002247C2" w:rsidRPr="00E13EE0">
        <w:rPr>
          <w:rFonts w:ascii="Times New Roman" w:hAnsi="Times New Roman" w:cs="Times New Roman"/>
          <w:color w:val="000000" w:themeColor="text1"/>
        </w:rPr>
        <w:t xml:space="preserve"> </w:t>
      </w:r>
      <w:r w:rsidR="002247C2" w:rsidRPr="00E13EE0">
        <w:rPr>
          <w:rFonts w:ascii="Times New Roman" w:hAnsi="Times New Roman" w:cs="Times New Roman"/>
          <w:i/>
          <w:iCs/>
          <w:color w:val="000000" w:themeColor="text1"/>
        </w:rPr>
        <w:t>Aspergillus</w:t>
      </w:r>
      <w:r w:rsidR="002247C2" w:rsidRPr="00E13EE0">
        <w:rPr>
          <w:rFonts w:ascii="Times New Roman" w:hAnsi="Times New Roman" w:cs="Times New Roman"/>
          <w:color w:val="000000" w:themeColor="text1"/>
        </w:rPr>
        <w:t>, may also characterize biosynthesis and secretion of GRA</w:t>
      </w:r>
      <w:r w:rsidR="007B363A" w:rsidRPr="00E13EE0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7B363A" w:rsidRPr="00E13EE0">
        <w:rPr>
          <w:rFonts w:ascii="Times New Roman" w:hAnsi="Times New Roman" w:cs="Times New Roman"/>
          <w:i/>
          <w:iCs/>
          <w:color w:val="000000" w:themeColor="text1"/>
        </w:rPr>
        <w:t>Cladonia</w:t>
      </w:r>
      <w:proofErr w:type="spellEnd"/>
      <w:r w:rsidR="002247C2" w:rsidRPr="00E13EE0">
        <w:rPr>
          <w:rFonts w:ascii="Times New Roman" w:hAnsi="Times New Roman" w:cs="Times New Roman"/>
          <w:color w:val="000000" w:themeColor="text1"/>
        </w:rPr>
        <w:t xml:space="preserve">. </w:t>
      </w:r>
      <w:r w:rsidR="00E25B3E" w:rsidRPr="00E13EE0">
        <w:rPr>
          <w:rFonts w:ascii="Times New Roman" w:hAnsi="Times New Roman" w:cs="Times New Roman"/>
          <w:color w:val="000000" w:themeColor="text1"/>
        </w:rPr>
        <w:t xml:space="preserve">We also identified </w:t>
      </w:r>
      <w:r w:rsidR="00575D51" w:rsidRPr="00E13EE0">
        <w:rPr>
          <w:rFonts w:ascii="Times New Roman" w:hAnsi="Times New Roman" w:cs="Times New Roman"/>
          <w:color w:val="000000"/>
        </w:rPr>
        <w:t xml:space="preserve">a </w:t>
      </w:r>
      <w:r w:rsidR="00C05FE6" w:rsidRPr="00E13EE0">
        <w:rPr>
          <w:rFonts w:ascii="Times New Roman" w:hAnsi="Times New Roman" w:cs="Times New Roman"/>
          <w:color w:val="000000"/>
        </w:rPr>
        <w:t xml:space="preserve">likely </w:t>
      </w:r>
      <w:r w:rsidR="00575D51" w:rsidRPr="00E13EE0">
        <w:rPr>
          <w:rFonts w:ascii="Times New Roman" w:hAnsi="Times New Roman" w:cs="Times New Roman"/>
          <w:color w:val="000000"/>
        </w:rPr>
        <w:t>GRA-specific regulatory gene, CLAGR_00823-RA, encoding a putative Zn(II)2Cys6 transcription factor</w:t>
      </w:r>
      <w:r w:rsidR="00E25B3E" w:rsidRPr="00E13EE0">
        <w:rPr>
          <w:rFonts w:ascii="Times New Roman" w:hAnsi="Times New Roman" w:cs="Times New Roman"/>
          <w:color w:val="000000"/>
        </w:rPr>
        <w:t xml:space="preserve">. </w:t>
      </w:r>
    </w:p>
    <w:p w14:paraId="750DB14B" w14:textId="77777777" w:rsidR="0057200B" w:rsidRDefault="0057200B">
      <w:pPr>
        <w:spacing w:line="276" w:lineRule="auto"/>
        <w:jc w:val="both"/>
      </w:pPr>
    </w:p>
    <w:sectPr w:rsidR="0057200B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1A"/>
    <w:rsid w:val="000415D8"/>
    <w:rsid w:val="00064CE9"/>
    <w:rsid w:val="000A2C7B"/>
    <w:rsid w:val="001F1370"/>
    <w:rsid w:val="002247C2"/>
    <w:rsid w:val="00241AC2"/>
    <w:rsid w:val="00291152"/>
    <w:rsid w:val="002A2C36"/>
    <w:rsid w:val="002A761D"/>
    <w:rsid w:val="00311FFC"/>
    <w:rsid w:val="004265FE"/>
    <w:rsid w:val="00447821"/>
    <w:rsid w:val="00530888"/>
    <w:rsid w:val="00534491"/>
    <w:rsid w:val="0057200B"/>
    <w:rsid w:val="00575D51"/>
    <w:rsid w:val="00591EE2"/>
    <w:rsid w:val="005E5636"/>
    <w:rsid w:val="007155E0"/>
    <w:rsid w:val="007504B9"/>
    <w:rsid w:val="007B363A"/>
    <w:rsid w:val="007C3D3C"/>
    <w:rsid w:val="0088575D"/>
    <w:rsid w:val="00955581"/>
    <w:rsid w:val="009600D5"/>
    <w:rsid w:val="009B1BD6"/>
    <w:rsid w:val="00B50F86"/>
    <w:rsid w:val="00BF75AA"/>
    <w:rsid w:val="00C05FE6"/>
    <w:rsid w:val="00C370FC"/>
    <w:rsid w:val="00C45DDA"/>
    <w:rsid w:val="00C80311"/>
    <w:rsid w:val="00CB61E8"/>
    <w:rsid w:val="00D9081A"/>
    <w:rsid w:val="00E0580E"/>
    <w:rsid w:val="00E13EE0"/>
    <w:rsid w:val="00E15D07"/>
    <w:rsid w:val="00E25B3E"/>
    <w:rsid w:val="00E3099F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0AA3C5"/>
  <w15:docId w15:val="{2AB1B230-FB29-B04A-9F8D-90F5E6D4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ascii="Cambria" w:eastAsiaTheme="minorHAnsi" w:hAnsi="Cambria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D276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0B"/>
    <w:rPr>
      <w:rFonts w:ascii="Times New Roman" w:eastAsiaTheme="minorHAnsi" w:hAnsi="Times New Roman" w:cs="Times New Roman"/>
      <w:sz w:val="18"/>
      <w:szCs w:val="18"/>
      <w:lang w:val="pt-BR"/>
    </w:rPr>
  </w:style>
  <w:style w:type="paragraph" w:styleId="CommentText">
    <w:name w:val="annotation text"/>
    <w:basedOn w:val="Normal"/>
    <w:link w:val="CommentTextChar"/>
    <w:uiPriority w:val="99"/>
    <w:unhideWhenUsed/>
    <w:rsid w:val="0057200B"/>
    <w:pPr>
      <w:suppressAutoHyphens/>
      <w:spacing w:after="0" w:line="276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00B"/>
    <w:rPr>
      <w:rFonts w:ascii="Arial" w:eastAsia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62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81"/>
    <w:pPr>
      <w:suppressAutoHyphens w:val="0"/>
      <w:spacing w:after="160" w:line="240" w:lineRule="auto"/>
    </w:pPr>
    <w:rPr>
      <w:rFonts w:ascii="Cambria" w:eastAsiaTheme="minorHAnsi" w:hAnsi="Cambria" w:cstheme="minorBidi"/>
      <w:b/>
      <w:bCs/>
      <w:sz w:val="20"/>
      <w:szCs w:val="20"/>
      <w:lang w:val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281"/>
    <w:rPr>
      <w:rFonts w:ascii="Cambria" w:eastAsiaTheme="minorHAnsi" w:hAnsi="Cambria" w:cs="Arial"/>
      <w:b/>
      <w:bCs/>
      <w:sz w:val="24"/>
      <w:szCs w:val="20"/>
      <w:lang w:val="pt-BR"/>
    </w:rPr>
  </w:style>
  <w:style w:type="character" w:styleId="Hyperlink">
    <w:name w:val="Hyperlink"/>
    <w:basedOn w:val="DefaultParagraphFont"/>
    <w:unhideWhenUsed/>
    <w:rsid w:val="000415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o.dalgrande@senckenberg.de" TargetMode="External"/><Relationship Id="rId4" Type="http://schemas.openxmlformats.org/officeDocument/2006/relationships/hyperlink" Target="mailto:darmaleo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dc:description/>
  <cp:lastModifiedBy>Daniele Armaleo, Ph.D.</cp:lastModifiedBy>
  <cp:revision>34</cp:revision>
  <dcterms:created xsi:type="dcterms:W3CDTF">2019-10-29T19:24:00Z</dcterms:created>
  <dcterms:modified xsi:type="dcterms:W3CDTF">2021-03-16T21:09:00Z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NMNH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