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93" w:lineRule="auto" w:before="115"/>
        <w:ind w:left="3459" w:right="1187" w:hanging="2304"/>
      </w:pPr>
      <w:r>
        <w:rPr/>
        <w:pict>
          <v:group style="position:absolute;margin-left:1.950012pt;margin-top:1.600024pt;width:593.050pt;height:839.9pt;mso-position-horizontal-relative:page;mso-position-vertical-relative:page;z-index:-15748608" coordorigin="39,32" coordsize="11861,16798">
            <v:shape style="position:absolute;left:39;top:84;width:11861;height:16714" type="#_x0000_t75" stroked="false">
              <v:imagedata r:id="rId5" o:title=""/>
            </v:shape>
            <v:shape style="position:absolute;left:39;top:32;width:11861;height:16798" type="#_x0000_t75" stroked="false">
              <v:imagedata r:id="rId6" o:title=""/>
            </v:shape>
            <w10:wrap type="none"/>
          </v:group>
        </w:pict>
      </w:r>
      <w:bookmarkStart w:name="CORRELAÇÃO DA OBESIDADE COM ESÔFAGO DE B" w:id="1"/>
      <w:bookmarkEnd w:id="1"/>
      <w:r>
        <w:rPr>
          <w:b w:val="0"/>
        </w:rPr>
      </w:r>
      <w:r>
        <w:rPr>
          <w:spacing w:val="-4"/>
        </w:rPr>
        <w:t>CORRELAÇÃO</w:t>
      </w:r>
      <w:r>
        <w:rPr>
          <w:spacing w:val="-6"/>
        </w:rPr>
        <w:t> </w:t>
      </w:r>
      <w:r>
        <w:rPr>
          <w:spacing w:val="-4"/>
        </w:rPr>
        <w:t>DA</w:t>
      </w:r>
      <w:r>
        <w:rPr>
          <w:spacing w:val="-19"/>
        </w:rPr>
        <w:t> </w:t>
      </w:r>
      <w:r>
        <w:rPr>
          <w:spacing w:val="-4"/>
        </w:rPr>
        <w:t>OBESIDADE</w:t>
      </w:r>
      <w:r>
        <w:rPr>
          <w:spacing w:val="-12"/>
        </w:rPr>
        <w:t> </w:t>
      </w:r>
      <w:r>
        <w:rPr>
          <w:spacing w:val="-4"/>
        </w:rPr>
        <w:t>COM</w:t>
      </w:r>
      <w:r>
        <w:rPr>
          <w:spacing w:val="-12"/>
        </w:rPr>
        <w:t> </w:t>
      </w:r>
      <w:r>
        <w:rPr>
          <w:spacing w:val="-4"/>
        </w:rPr>
        <w:t>ESÔFAGO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BARRET</w:t>
      </w:r>
      <w:r>
        <w:rPr>
          <w:spacing w:val="-17"/>
        </w:rPr>
        <w:t> </w:t>
      </w:r>
      <w:r>
        <w:rPr>
          <w:spacing w:val="-3"/>
        </w:rPr>
        <w:t>E</w:t>
      </w:r>
      <w:r>
        <w:rPr>
          <w:spacing w:val="-57"/>
        </w:rPr>
        <w:t> </w:t>
      </w:r>
      <w:r>
        <w:rPr/>
        <w:t>ADENOCARCINOMA</w:t>
      </w:r>
    </w:p>
    <w:p>
      <w:pPr>
        <w:pStyle w:val="BodyText"/>
        <w:spacing w:line="261" w:lineRule="auto" w:before="94"/>
        <w:ind w:left="100" w:right="111"/>
        <w:jc w:val="both"/>
      </w:pPr>
      <w:r>
        <w:rPr>
          <w:b/>
        </w:rPr>
        <w:t>INTRODUÇÃO</w:t>
      </w:r>
      <w:r>
        <w:rPr/>
        <w:t>: O esôfago de Barret (EB) é uma condição em que o tecido esofágico sofre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metaplasia</w:t>
      </w:r>
      <w:r>
        <w:rPr>
          <w:spacing w:val="1"/>
        </w:rPr>
        <w:t> </w:t>
      </w:r>
      <w:r>
        <w:rPr/>
        <w:t>intestinal.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Evidências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comprovam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metabólicas causadas pela obesidade, podem mediar o efeito pró-proliferativo da insulina em</w:t>
      </w:r>
      <w:r>
        <w:rPr>
          <w:spacing w:val="1"/>
        </w:rPr>
        <w:t> </w:t>
      </w:r>
      <w:r>
        <w:rPr/>
        <w:t>células esofágicas pré-cancerosas e cancerosas. Logo, a obesidade configura-se como um</w:t>
      </w:r>
      <w:r>
        <w:rPr>
          <w:spacing w:val="1"/>
        </w:rPr>
        <w:t> </w:t>
      </w:r>
      <w:r>
        <w:rPr/>
        <w:t>importante fator de risco para o desenvolvimento de EB e progressão para o adenocarcinoma</w:t>
      </w:r>
      <w:r>
        <w:rPr>
          <w:spacing w:val="1"/>
        </w:rPr>
        <w:t> </w:t>
      </w:r>
      <w:r>
        <w:rPr/>
        <w:t>esofágico. </w:t>
      </w:r>
      <w:r>
        <w:rPr>
          <w:b/>
        </w:rPr>
        <w:t>OBJETIVO</w:t>
      </w:r>
      <w:r>
        <w:rPr/>
        <w:t>: Correlacionar a obesidade com esôfago de Barret e adenocarcinoma .</w:t>
      </w:r>
      <w:r>
        <w:rPr>
          <w:spacing w:val="-57"/>
        </w:rPr>
        <w:t> </w:t>
      </w:r>
      <w:r>
        <w:rPr>
          <w:b/>
        </w:rPr>
        <w:t>METODOLOGIA</w:t>
      </w:r>
      <w:r>
        <w:rPr/>
        <w:t>:</w:t>
      </w:r>
      <w:r>
        <w:rPr>
          <w:spacing w:val="1"/>
        </w:rPr>
        <w:t> </w:t>
      </w:r>
      <w:r>
        <w:rPr/>
        <w:t>Trata-se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revisão</w:t>
      </w:r>
      <w:r>
        <w:rPr>
          <w:spacing w:val="1"/>
        </w:rPr>
        <w:t> </w:t>
      </w:r>
      <w:r>
        <w:rPr/>
        <w:t>interativa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literatura,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artigos</w:t>
      </w:r>
      <w:r>
        <w:rPr>
          <w:spacing w:val="60"/>
        </w:rPr>
        <w:t> </w:t>
      </w:r>
      <w:r>
        <w:rPr/>
        <w:t>foram</w:t>
      </w:r>
      <w:r>
        <w:rPr>
          <w:spacing w:val="1"/>
        </w:rPr>
        <w:t> </w:t>
      </w:r>
      <w:r>
        <w:rPr/>
        <w:t>extraídos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plataforma:</w:t>
      </w:r>
      <w:r>
        <w:rPr>
          <w:spacing w:val="1"/>
        </w:rPr>
        <w:t> </w:t>
      </w:r>
      <w:r>
        <w:rPr/>
        <w:t>PubMed,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descritores:</w:t>
      </w:r>
      <w:r>
        <w:rPr>
          <w:spacing w:val="1"/>
        </w:rPr>
        <w:t> </w:t>
      </w:r>
      <w:r>
        <w:rPr/>
        <w:t>“Barrett's esophagus</w:t>
      </w:r>
      <w:r>
        <w:rPr>
          <w:color w:val="202429"/>
        </w:rPr>
        <w:t>”, “obesity” e “adenocarcinoma”. Foram incluídos estudos no idioma</w:t>
      </w:r>
      <w:r>
        <w:rPr>
          <w:color w:val="202429"/>
          <w:spacing w:val="1"/>
        </w:rPr>
        <w:t> </w:t>
      </w:r>
      <w:r>
        <w:rPr>
          <w:color w:val="202429"/>
        </w:rPr>
        <w:t>inglês e português disponíveis na íntegra, realizados entre 2019 e 2024. Literaturas destoantes</w:t>
      </w:r>
      <w:r>
        <w:rPr>
          <w:color w:val="202429"/>
          <w:spacing w:val="-57"/>
        </w:rPr>
        <w:t> </w:t>
      </w:r>
      <w:r>
        <w:rPr>
          <w:color w:val="202429"/>
          <w:spacing w:val="-4"/>
        </w:rPr>
        <w:t>da temática abordada e foram excluídos. </w:t>
      </w:r>
      <w:r>
        <w:rPr>
          <w:b/>
          <w:spacing w:val="-3"/>
        </w:rPr>
        <w:t>RESULTADOS</w:t>
      </w:r>
      <w:r>
        <w:rPr>
          <w:spacing w:val="-3"/>
        </w:rPr>
        <w:t>: </w:t>
      </w:r>
      <w:r>
        <w:rPr>
          <w:color w:val="202429"/>
          <w:spacing w:val="-3"/>
        </w:rPr>
        <w:t>A obesidade representa um problema</w:t>
      </w:r>
      <w:r>
        <w:rPr>
          <w:color w:val="202429"/>
          <w:spacing w:val="-2"/>
        </w:rPr>
        <w:t> </w:t>
      </w:r>
      <w:r>
        <w:rPr>
          <w:color w:val="202429"/>
        </w:rPr>
        <w:t>de saúde global crescente e desafiador, que pode induzir a alterações metabólicas, como a</w:t>
      </w:r>
      <w:r>
        <w:rPr>
          <w:color w:val="202429"/>
          <w:spacing w:val="1"/>
        </w:rPr>
        <w:t> </w:t>
      </w:r>
      <w:r>
        <w:rPr>
          <w:color w:val="202429"/>
        </w:rPr>
        <w:t>hiperinsulinemia, capaz de mediar a progressão do câncer através do eixo insulina / fator de</w:t>
      </w:r>
      <w:r>
        <w:rPr>
          <w:color w:val="202429"/>
          <w:spacing w:val="1"/>
        </w:rPr>
        <w:t> </w:t>
      </w:r>
      <w:r>
        <w:rPr>
          <w:color w:val="202429"/>
        </w:rPr>
        <w:t>crescimento semelhante à insulina (IGF-1) .</w:t>
      </w:r>
      <w:r>
        <w:rPr/>
        <w:t>Assim, há</w:t>
      </w:r>
      <w:r>
        <w:rPr>
          <w:spacing w:val="1"/>
        </w:rPr>
        <w:t> </w:t>
      </w:r>
      <w:r>
        <w:rPr/>
        <w:t>hiperativação de receptores esofágicos</w:t>
      </w:r>
      <w:r>
        <w:rPr>
          <w:spacing w:val="1"/>
        </w:rPr>
        <w:t> </w:t>
      </w:r>
      <w:r>
        <w:rPr/>
        <w:t>para insulina e IGF-1, o qual</w:t>
      </w:r>
      <w:r>
        <w:rPr>
          <w:spacing w:val="1"/>
        </w:rPr>
        <w:t> </w:t>
      </w:r>
      <w:r>
        <w:rPr/>
        <w:t>controla diferentes aspectos do crescimento e metabolismo,</w:t>
      </w:r>
      <w:r>
        <w:rPr>
          <w:spacing w:val="1"/>
        </w:rPr>
        <w:t> </w:t>
      </w:r>
      <w:r>
        <w:rPr/>
        <w:t>propiciando a progressão do paciente obeso com esôfago de Barret para um adenocarcinoma</w:t>
      </w:r>
      <w:r>
        <w:rPr>
          <w:spacing w:val="1"/>
        </w:rPr>
        <w:t> </w:t>
      </w:r>
      <w:r>
        <w:rPr/>
        <w:t>esofágico.</w:t>
      </w:r>
      <w:r>
        <w:rPr>
          <w:spacing w:val="1"/>
        </w:rPr>
        <w:t> </w:t>
      </w:r>
      <w:r>
        <w:rPr>
          <w:b/>
        </w:rPr>
        <w:t>CONCLUSÃO</w:t>
      </w:r>
      <w:r>
        <w:rPr/>
        <w:t>:A partir da análise dos artigos selecionados, observa-se que a</w:t>
      </w:r>
      <w:r>
        <w:rPr>
          <w:spacing w:val="1"/>
        </w:rPr>
        <w:t> </w:t>
      </w:r>
      <w:r>
        <w:rPr>
          <w:spacing w:val="-14"/>
        </w:rPr>
        <w:t>obesidade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3"/>
        </w:rPr>
        <w:t>estilo</w:t>
      </w:r>
      <w:r>
        <w:rPr>
          <w:spacing w:val="-8"/>
        </w:rPr>
        <w:t> de</w:t>
      </w:r>
      <w:r>
        <w:rPr>
          <w:spacing w:val="-9"/>
        </w:rPr>
        <w:t> </w:t>
      </w:r>
      <w:r>
        <w:rPr>
          <w:spacing w:val="-12"/>
        </w:rPr>
        <w:t>vida,</w:t>
      </w:r>
      <w:r>
        <w:rPr>
          <w:spacing w:val="-8"/>
        </w:rPr>
        <w:t> </w:t>
      </w:r>
      <w:r>
        <w:rPr>
          <w:spacing w:val="-14"/>
        </w:rPr>
        <w:t>influenciam</w:t>
      </w:r>
      <w:r>
        <w:rPr>
          <w:spacing w:val="-8"/>
        </w:rPr>
        <w:t> de </w:t>
      </w:r>
      <w:r>
        <w:rPr>
          <w:spacing w:val="-12"/>
        </w:rPr>
        <w:t>forma</w:t>
      </w:r>
      <w:r>
        <w:rPr>
          <w:spacing w:val="-9"/>
        </w:rPr>
        <w:t> </w:t>
      </w:r>
      <w:r>
        <w:rPr>
          <w:spacing w:val="-15"/>
        </w:rPr>
        <w:t>significativa</w:t>
      </w:r>
      <w:r>
        <w:rPr>
          <w:spacing w:val="-8"/>
        </w:rPr>
        <w:t> no </w:t>
      </w:r>
      <w:r>
        <w:rPr>
          <w:spacing w:val="-13"/>
        </w:rPr>
        <w:t>quadro</w:t>
      </w:r>
      <w:r>
        <w:rPr>
          <w:spacing w:val="-8"/>
        </w:rPr>
        <w:t> de</w:t>
      </w:r>
      <w:r>
        <w:rPr>
          <w:spacing w:val="-9"/>
        </w:rPr>
        <w:t> </w:t>
      </w:r>
      <w:r>
        <w:rPr>
          <w:spacing w:val="-13"/>
        </w:rPr>
        <w:t>esôfago</w:t>
      </w:r>
      <w:r>
        <w:rPr>
          <w:spacing w:val="-8"/>
        </w:rPr>
        <w:t> de </w:t>
      </w:r>
      <w:r>
        <w:rPr>
          <w:spacing w:val="-13"/>
        </w:rPr>
        <w:t>Barret</w:t>
      </w:r>
      <w:r>
        <w:rPr>
          <w:spacing w:val="-8"/>
        </w:rPr>
        <w:t> </w:t>
      </w:r>
      <w:r>
        <w:rPr>
          <w:spacing w:val="-12"/>
        </w:rPr>
        <w:t>para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>
          <w:spacing w:val="-15"/>
        </w:rPr>
        <w:t>câncer</w:t>
      </w:r>
      <w:r>
        <w:rPr>
          <w:spacing w:val="-14"/>
        </w:rPr>
        <w:t> esofágico</w:t>
      </w:r>
      <w:r>
        <w:rPr>
          <w:spacing w:val="-18"/>
        </w:rPr>
        <w:t> </w:t>
      </w:r>
      <w:r>
        <w:rPr/>
        <w:t>,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14"/>
        </w:rPr>
        <w:t>partir</w:t>
      </w:r>
      <w:r>
        <w:rPr>
          <w:spacing w:val="-17"/>
        </w:rPr>
        <w:t> </w:t>
      </w:r>
      <w:r>
        <w:rPr>
          <w:spacing w:val="-8"/>
        </w:rPr>
        <w:t>de</w:t>
      </w:r>
      <w:r>
        <w:rPr>
          <w:spacing w:val="-18"/>
        </w:rPr>
        <w:t> </w:t>
      </w:r>
      <w:r>
        <w:rPr>
          <w:spacing w:val="-14"/>
        </w:rPr>
        <w:t>alterações</w:t>
      </w:r>
      <w:r>
        <w:rPr>
          <w:spacing w:val="-18"/>
        </w:rPr>
        <w:t> </w:t>
      </w:r>
      <w:r>
        <w:rPr>
          <w:spacing w:val="-14"/>
        </w:rPr>
        <w:t>metabólicas</w:t>
      </w:r>
      <w:r>
        <w:rPr>
          <w:spacing w:val="-17"/>
        </w:rPr>
        <w:t> </w:t>
      </w:r>
      <w:r>
        <w:rPr>
          <w:spacing w:val="-15"/>
        </w:rPr>
        <w:t>relacionadas</w:t>
      </w:r>
      <w:r>
        <w:rPr>
          <w:spacing w:val="-18"/>
        </w:rPr>
        <w:t> </w:t>
      </w:r>
      <w:r>
        <w:rPr/>
        <w:t>à</w:t>
      </w:r>
      <w:r>
        <w:rPr>
          <w:spacing w:val="-18"/>
        </w:rPr>
        <w:t> </w:t>
      </w:r>
      <w:r>
        <w:rPr>
          <w:spacing w:val="-14"/>
        </w:rPr>
        <w:t>insulina.</w:t>
      </w:r>
      <w:r>
        <w:rPr>
          <w:spacing w:val="-18"/>
        </w:rPr>
        <w:t> </w:t>
      </w:r>
      <w:r>
        <w:rPr>
          <w:spacing w:val="-15"/>
        </w:rPr>
        <w:t>Portanto,</w:t>
      </w:r>
      <w:r>
        <w:rPr>
          <w:spacing w:val="-17"/>
        </w:rPr>
        <w:t> </w:t>
      </w:r>
      <w:r>
        <w:rPr>
          <w:spacing w:val="-14"/>
        </w:rPr>
        <w:t>torna-se</w:t>
      </w:r>
      <w:r>
        <w:rPr>
          <w:spacing w:val="-18"/>
        </w:rPr>
        <w:t> </w:t>
      </w:r>
      <w:r>
        <w:rPr>
          <w:spacing w:val="-14"/>
        </w:rPr>
        <w:t>evidente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15"/>
        </w:rPr>
        <w:t>importância</w:t>
      </w:r>
      <w:r>
        <w:rPr>
          <w:spacing w:val="-14"/>
        </w:rPr>
        <w:t> </w:t>
      </w:r>
      <w:r>
        <w:rPr>
          <w:spacing w:val="-8"/>
        </w:rPr>
        <w:t>de</w:t>
      </w:r>
      <w:r>
        <w:rPr>
          <w:spacing w:val="-23"/>
        </w:rPr>
        <w:t> </w:t>
      </w:r>
      <w:r>
        <w:rPr>
          <w:spacing w:val="-12"/>
        </w:rPr>
        <w:t>bons</w:t>
      </w:r>
      <w:r>
        <w:rPr>
          <w:spacing w:val="-22"/>
        </w:rPr>
        <w:t> </w:t>
      </w:r>
      <w:r>
        <w:rPr>
          <w:spacing w:val="-13"/>
        </w:rPr>
        <w:t>hábitos</w:t>
      </w:r>
      <w:r>
        <w:rPr>
          <w:spacing w:val="-22"/>
        </w:rPr>
        <w:t> </w:t>
      </w:r>
      <w:r>
        <w:rPr>
          <w:spacing w:val="-8"/>
        </w:rPr>
        <w:t>de</w:t>
      </w:r>
      <w:r>
        <w:rPr>
          <w:spacing w:val="-23"/>
        </w:rPr>
        <w:t> </w:t>
      </w:r>
      <w:r>
        <w:rPr>
          <w:spacing w:val="-12"/>
        </w:rPr>
        <w:t>vida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>
          <w:spacing w:val="-14"/>
        </w:rPr>
        <w:t>controle</w:t>
      </w:r>
      <w:r>
        <w:rPr>
          <w:spacing w:val="-23"/>
        </w:rPr>
        <w:t> </w:t>
      </w:r>
      <w:r>
        <w:rPr>
          <w:spacing w:val="-8"/>
        </w:rPr>
        <w:t>do</w:t>
      </w:r>
      <w:r>
        <w:rPr>
          <w:spacing w:val="-22"/>
        </w:rPr>
        <w:t> </w:t>
      </w:r>
      <w:r>
        <w:rPr>
          <w:spacing w:val="-12"/>
        </w:rPr>
        <w:t>peso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>
          <w:spacing w:val="-14"/>
        </w:rPr>
        <w:t>circunferência</w:t>
      </w:r>
      <w:r>
        <w:rPr>
          <w:spacing w:val="-22"/>
        </w:rPr>
        <w:t> </w:t>
      </w:r>
      <w:r>
        <w:rPr>
          <w:spacing w:val="-14"/>
        </w:rPr>
        <w:t>abdominal</w:t>
      </w:r>
      <w:r>
        <w:rPr>
          <w:spacing w:val="-22"/>
        </w:rPr>
        <w:t> </w:t>
      </w:r>
      <w:r>
        <w:rPr>
          <w:spacing w:val="-12"/>
        </w:rPr>
        <w:t>para</w:t>
      </w:r>
      <w:r>
        <w:rPr>
          <w:spacing w:val="-23"/>
        </w:rPr>
        <w:t> </w:t>
      </w:r>
      <w:r>
        <w:rPr>
          <w:spacing w:val="-14"/>
        </w:rPr>
        <w:t>regulação</w:t>
      </w:r>
      <w:r>
        <w:rPr>
          <w:spacing w:val="-22"/>
        </w:rPr>
        <w:t> </w:t>
      </w:r>
      <w:r>
        <w:rPr>
          <w:spacing w:val="-14"/>
        </w:rPr>
        <w:t>negativa</w:t>
      </w:r>
      <w:r>
        <w:rPr>
          <w:spacing w:val="-22"/>
        </w:rPr>
        <w:t> </w:t>
      </w:r>
      <w:r>
        <w:rPr>
          <w:spacing w:val="-15"/>
        </w:rPr>
        <w:t>significativa</w:t>
      </w:r>
      <w:r>
        <w:rPr>
          <w:spacing w:val="-23"/>
        </w:rPr>
        <w:t> </w:t>
      </w:r>
      <w:r>
        <w:rPr>
          <w:spacing w:val="-15"/>
        </w:rPr>
        <w:t>da</w:t>
      </w:r>
      <w:r>
        <w:rPr>
          <w:spacing w:val="-14"/>
        </w:rPr>
        <w:t> </w:t>
      </w:r>
      <w:r>
        <w:rPr/>
        <w:t>via</w:t>
      </w:r>
      <w:r>
        <w:rPr>
          <w:spacing w:val="-37"/>
        </w:rPr>
        <w:t> </w:t>
      </w:r>
      <w:r>
        <w:rPr/>
        <w:t>supracitada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prevenção</w:t>
      </w:r>
      <w:r>
        <w:rPr>
          <w:spacing w:val="-37"/>
        </w:rPr>
        <w:t> </w:t>
      </w:r>
      <w:r>
        <w:rPr/>
        <w:t>de</w:t>
      </w:r>
      <w:r>
        <w:rPr>
          <w:spacing w:val="-36"/>
        </w:rPr>
        <w:t> </w:t>
      </w:r>
      <w:r>
        <w:rPr/>
        <w:t>adenocarcinoma</w:t>
      </w:r>
      <w:r>
        <w:rPr>
          <w:spacing w:val="-36"/>
        </w:rPr>
        <w:t> </w:t>
      </w:r>
      <w:r>
        <w:rPr/>
        <w:t>na</w:t>
      </w:r>
      <w:r>
        <w:rPr>
          <w:spacing w:val="-36"/>
        </w:rPr>
        <w:t> </w:t>
      </w:r>
      <w:r>
        <w:rPr/>
        <w:t>região</w:t>
      </w:r>
      <w:r>
        <w:rPr>
          <w:spacing w:val="-36"/>
        </w:rPr>
        <w:t> </w:t>
      </w:r>
      <w:r>
        <w:rPr/>
        <w:t>esofágica.</w:t>
      </w: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00"/>
        <w:jc w:val="both"/>
      </w:pPr>
      <w:r>
        <w:rPr>
          <w:b/>
          <w:spacing w:val="-3"/>
        </w:rPr>
        <w:t>Palavras-chaves</w:t>
      </w:r>
      <w:r>
        <w:rPr>
          <w:spacing w:val="-3"/>
        </w:rPr>
        <w:t>:</w:t>
      </w:r>
      <w:r>
        <w:rPr/>
        <w:t> </w:t>
      </w:r>
      <w:r>
        <w:rPr>
          <w:spacing w:val="-3"/>
        </w:rPr>
        <w:t>Esôfago</w:t>
      </w:r>
      <w:r>
        <w:rPr>
          <w:spacing w:val="1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Barret;</w:t>
      </w:r>
      <w:r>
        <w:rPr>
          <w:spacing w:val="-12"/>
        </w:rPr>
        <w:t> </w:t>
      </w:r>
      <w:r>
        <w:rPr>
          <w:spacing w:val="-3"/>
        </w:rPr>
        <w:t>Obesidade;</w:t>
      </w:r>
      <w:r>
        <w:rPr>
          <w:spacing w:val="-18"/>
        </w:rPr>
        <w:t> </w:t>
      </w:r>
      <w:r>
        <w:rPr>
          <w:spacing w:val="-2"/>
        </w:rPr>
        <w:t>Adenocarcinoma</w:t>
      </w:r>
      <w:r>
        <w:rPr>
          <w:spacing w:val="-10"/>
        </w:rPr>
        <w:t> </w:t>
      </w:r>
      <w:r>
        <w:rPr>
          <w:spacing w:val="-2"/>
        </w:rPr>
        <w:t>;</w:t>
      </w:r>
      <w:r>
        <w:rPr>
          <w:spacing w:val="-4"/>
        </w:rPr>
        <w:t> </w:t>
      </w:r>
      <w:r>
        <w:rPr>
          <w:color w:val="202429"/>
          <w:spacing w:val="-2"/>
        </w:rPr>
        <w:t>Hiperinsulinemia.</w:t>
      </w:r>
    </w:p>
    <w:p>
      <w:pPr>
        <w:pStyle w:val="BodyText"/>
        <w:rPr>
          <w:sz w:val="26"/>
        </w:rPr>
      </w:pPr>
    </w:p>
    <w:p>
      <w:pPr>
        <w:pStyle w:val="Heading1"/>
        <w:spacing w:before="225"/>
        <w:ind w:left="100" w:right="0"/>
      </w:pPr>
      <w:r>
        <w:rPr/>
        <w:t>REFERÊNCIAS:</w:t>
      </w:r>
    </w:p>
    <w:p>
      <w:pPr>
        <w:spacing w:line="264" w:lineRule="auto" w:before="207"/>
        <w:ind w:left="200" w:right="110" w:firstLine="0"/>
        <w:jc w:val="left"/>
        <w:rPr>
          <w:b/>
          <w:sz w:val="24"/>
        </w:rPr>
      </w:pPr>
      <w:r>
        <w:rPr>
          <w:b/>
          <w:sz w:val="24"/>
        </w:rPr>
        <w:t>ARCIDIACONO, Diletta et al. Insulin/IGF-1 Signaling Is Downregulated in Barrett’s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Esophagus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Patients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Undergoing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Calorie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Protein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Restriction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Program: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A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Randomized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2-Year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Trial.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Nutrients,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v.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13,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n.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10,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p.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3638,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2021.</w:t>
      </w:r>
    </w:p>
    <w:p>
      <w:pPr>
        <w:pStyle w:val="Heading1"/>
        <w:spacing w:line="264" w:lineRule="auto"/>
      </w:pPr>
      <w:r>
        <w:rPr/>
        <w:t>DI</w:t>
      </w:r>
      <w:r>
        <w:rPr>
          <w:spacing w:val="-3"/>
        </w:rPr>
        <w:t> </w:t>
      </w:r>
      <w:r>
        <w:rPr/>
        <w:t>CARO,</w:t>
      </w:r>
      <w:r>
        <w:rPr>
          <w:spacing w:val="-2"/>
        </w:rPr>
        <w:t> </w:t>
      </w:r>
      <w:r>
        <w:rPr/>
        <w:t>Simona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</w:t>
      </w:r>
      <w:r>
        <w:rPr>
          <w:spacing w:val="-2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metabolic</w:t>
      </w:r>
      <w:r>
        <w:rPr>
          <w:spacing w:val="-3"/>
        </w:rPr>
        <w:t> </w:t>
      </w:r>
      <w:r>
        <w:rPr/>
        <w:t>profile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Barrett’s</w:t>
      </w:r>
      <w:r>
        <w:rPr>
          <w:spacing w:val="-57"/>
        </w:rPr>
        <w:t> </w:t>
      </w:r>
      <w:r>
        <w:rPr/>
        <w:t>oesophagus and progression to cancer. European Journal of Gastroenterology &amp;</w:t>
      </w:r>
      <w:r>
        <w:rPr>
          <w:spacing w:val="1"/>
        </w:rPr>
        <w:t> </w:t>
      </w:r>
      <w:r>
        <w:rPr/>
        <w:t>Hepatology,</w:t>
      </w:r>
      <w:r>
        <w:rPr>
          <w:spacing w:val="-1"/>
        </w:rPr>
        <w:t> </w:t>
      </w:r>
      <w:r>
        <w:rPr/>
        <w:t>v. 28,</w:t>
      </w:r>
      <w:r>
        <w:rPr>
          <w:spacing w:val="-1"/>
        </w:rPr>
        <w:t> </w:t>
      </w:r>
      <w:r>
        <w:rPr/>
        <w:t>n. 3, p.</w:t>
      </w:r>
      <w:r>
        <w:rPr>
          <w:spacing w:val="-1"/>
        </w:rPr>
        <w:t> </w:t>
      </w:r>
      <w:r>
        <w:rPr/>
        <w:t>251-260, 2016.</w:t>
      </w:r>
    </w:p>
    <w:p>
      <w:pPr>
        <w:spacing w:line="264" w:lineRule="auto" w:before="127"/>
        <w:ind w:left="200" w:right="526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DUGGAN, Catherine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al.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Association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obesity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progression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Barrett's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esophagus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esophageal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adenocarcinoma.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Gastroenterology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Hepatology,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v. 11,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n. 8,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934-943, 2013.</w:t>
      </w:r>
    </w:p>
    <w:p>
      <w:pPr>
        <w:pStyle w:val="Heading1"/>
        <w:spacing w:line="264" w:lineRule="auto"/>
      </w:pPr>
      <w:r>
        <w:rPr/>
        <w:t>KENDALL, Bradley J. et al. The risk of Barrett's esophagus associated with</w:t>
      </w:r>
      <w:r>
        <w:rPr>
          <w:spacing w:val="1"/>
        </w:rPr>
        <w:t> </w:t>
      </w:r>
      <w:r>
        <w:rPr/>
        <w:t>abdominal</w:t>
      </w:r>
      <w:r>
        <w:rPr>
          <w:spacing w:val="-5"/>
        </w:rPr>
        <w:t> </w:t>
      </w:r>
      <w:r>
        <w:rPr/>
        <w:t>obesity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males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females.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journal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cancer,</w:t>
      </w:r>
      <w:r>
        <w:rPr>
          <w:spacing w:val="-4"/>
        </w:rPr>
        <w:t> </w:t>
      </w:r>
      <w:r>
        <w:rPr/>
        <w:t>v.</w:t>
      </w:r>
      <w:r>
        <w:rPr>
          <w:spacing w:val="-3"/>
        </w:rPr>
        <w:t> </w:t>
      </w:r>
      <w:r>
        <w:rPr/>
        <w:t>132,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9,</w:t>
      </w:r>
      <w:r>
        <w:rPr>
          <w:spacing w:val="-57"/>
        </w:rPr>
        <w:t> </w:t>
      </w:r>
      <w:r>
        <w:rPr/>
        <w:t>p. 2192-2199, 2013.</w:t>
      </w:r>
    </w:p>
    <w:sectPr>
      <w:type w:val="continuous"/>
      <w:pgSz w:w="11900" w:h="16840"/>
      <w:pgMar w:top="16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200" w:right="45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Esofagobarret</dc:title>
  <dcterms:created xsi:type="dcterms:W3CDTF">2024-05-14T02:52:02Z</dcterms:created>
  <dcterms:modified xsi:type="dcterms:W3CDTF">2024-05-14T02:52:02Z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Pages</vt:lpwstr>
  </property>
  <property fmtid="{D5CDD505-2E9C-101B-9397-08002B2CF9AE}" pid="4" name="LastSaved">
    <vt:filetime>2024-05-14T00:00:00Z</vt:filetime>
  </property>
</Properties>
</file>