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991D28" w14:textId="77777777" w:rsidR="00453B41" w:rsidRDefault="00453B41" w:rsidP="00B91183">
      <w:pPr>
        <w:pStyle w:val="Ttulo"/>
        <w:spacing w:before="0" w:after="0"/>
        <w:jc w:val="center"/>
        <w:rPr>
          <w:sz w:val="24"/>
          <w:szCs w:val="24"/>
        </w:rPr>
      </w:pPr>
      <w:r w:rsidRPr="00E100CA">
        <w:rPr>
          <w:sz w:val="24"/>
          <w:szCs w:val="24"/>
        </w:rPr>
        <w:t xml:space="preserve">VALORAÇÃO ECONÔMICA: </w:t>
      </w:r>
      <w:r>
        <w:rPr>
          <w:sz w:val="24"/>
          <w:szCs w:val="24"/>
        </w:rPr>
        <w:t xml:space="preserve">UTILIZANDO </w:t>
      </w:r>
      <w:r w:rsidRPr="00E100CA">
        <w:rPr>
          <w:sz w:val="24"/>
          <w:szCs w:val="24"/>
        </w:rPr>
        <w:t xml:space="preserve">MÉTODO CUSTO DE VIAGEM </w:t>
      </w:r>
      <w:r>
        <w:rPr>
          <w:sz w:val="24"/>
          <w:szCs w:val="24"/>
        </w:rPr>
        <w:t xml:space="preserve">PARA </w:t>
      </w:r>
      <w:r w:rsidRPr="00E100CA">
        <w:rPr>
          <w:sz w:val="24"/>
          <w:szCs w:val="24"/>
        </w:rPr>
        <w:t>TORNEIO DE PESCA D</w:t>
      </w:r>
      <w:r>
        <w:rPr>
          <w:sz w:val="24"/>
          <w:szCs w:val="24"/>
        </w:rPr>
        <w:t>A</w:t>
      </w:r>
      <w:r w:rsidRPr="00E100CA">
        <w:rPr>
          <w:sz w:val="24"/>
          <w:szCs w:val="24"/>
        </w:rPr>
        <w:t xml:space="preserve"> </w:t>
      </w:r>
      <w:r>
        <w:rPr>
          <w:sz w:val="24"/>
          <w:szCs w:val="24"/>
        </w:rPr>
        <w:t>AMAZÔNIA</w:t>
      </w:r>
      <w:r w:rsidRPr="00E100CA">
        <w:rPr>
          <w:sz w:val="24"/>
          <w:szCs w:val="24"/>
        </w:rPr>
        <w:t xml:space="preserve"> (TOPAM)</w:t>
      </w:r>
    </w:p>
    <w:p w14:paraId="7C006C62" w14:textId="77777777" w:rsidR="00453B41" w:rsidRPr="00E100CA" w:rsidRDefault="00453B41" w:rsidP="00B91183">
      <w:pPr>
        <w:pStyle w:val="Ttulo"/>
        <w:spacing w:before="0" w:after="0"/>
        <w:jc w:val="center"/>
        <w:rPr>
          <w:b w:val="0"/>
          <w:sz w:val="24"/>
          <w:szCs w:val="24"/>
        </w:rPr>
      </w:pPr>
    </w:p>
    <w:p w14:paraId="374AD82C" w14:textId="77777777" w:rsidR="00453B41" w:rsidRDefault="00453B41" w:rsidP="00B91183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Lethicia Lima Cavalcante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Deivison de Souza Alencar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; </w:t>
      </w:r>
      <w:r w:rsidRPr="007474A1">
        <w:rPr>
          <w:sz w:val="24"/>
          <w:szCs w:val="24"/>
          <w:u w:val="single"/>
        </w:rPr>
        <w:t>Evanice</w:t>
      </w:r>
      <w:r>
        <w:rPr>
          <w:sz w:val="24"/>
          <w:szCs w:val="24"/>
          <w:u w:val="single"/>
        </w:rPr>
        <w:t xml:space="preserve"> Pinheiro Gomes</w:t>
      </w:r>
      <w:r>
        <w:rPr>
          <w:sz w:val="24"/>
          <w:szCs w:val="24"/>
          <w:vertAlign w:val="superscript"/>
        </w:rPr>
        <w:t>3</w:t>
      </w:r>
    </w:p>
    <w:p w14:paraId="4D53F177" w14:textId="77777777" w:rsidR="00453B41" w:rsidRDefault="00453B41" w:rsidP="00B91183">
      <w:pPr>
        <w:shd w:val="clear" w:color="auto" w:fill="FFFFFF"/>
        <w:tabs>
          <w:tab w:val="left" w:pos="2500"/>
        </w:tabs>
        <w:jc w:val="center"/>
        <w:rPr>
          <w:b/>
          <w:color w:val="FF0000"/>
          <w:sz w:val="24"/>
          <w:szCs w:val="24"/>
        </w:rPr>
      </w:pPr>
    </w:p>
    <w:p w14:paraId="28634822" w14:textId="77777777" w:rsidR="00453B41" w:rsidRDefault="00453B41" w:rsidP="00B91183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Graduanda de Engenharia Sanitaria e Ambiental. Universidade Federal do Pará – Campus Universitário de Tucuruí. Lethicia.cavalcante@tucurui.ufpa.br</w:t>
      </w:r>
    </w:p>
    <w:p w14:paraId="03D31B65" w14:textId="3BC6F0AF" w:rsidR="00453B41" w:rsidRDefault="00453B41" w:rsidP="00B91183">
      <w:pPr>
        <w:keepLines/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Graduando de Engenharia Sanitaria e Ambiental. Universidade Federal do Pará – Campus Universitário de Tucuruí.</w:t>
      </w:r>
    </w:p>
    <w:p w14:paraId="54CE9967" w14:textId="315B9BE6" w:rsidR="00453B41" w:rsidRDefault="00453B41" w:rsidP="00B91183">
      <w:pPr>
        <w:keepLines/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Doutora em Engenharia Civil (Área: Recursos Hídricos e Saneamento </w:t>
      </w:r>
      <w:r w:rsidR="00B91183">
        <w:rPr>
          <w:sz w:val="24"/>
          <w:szCs w:val="24"/>
        </w:rPr>
        <w:t>Ambiental</w:t>
      </w:r>
      <w:r>
        <w:rPr>
          <w:sz w:val="24"/>
          <w:szCs w:val="24"/>
        </w:rPr>
        <w:t>). Universidade Federal do Pará – Campus Universitário de Tucuruí.</w:t>
      </w:r>
    </w:p>
    <w:p w14:paraId="17C74AF3" w14:textId="2EAC8BB7" w:rsidR="007830E4" w:rsidRPr="003B2E5B" w:rsidRDefault="007830E4" w:rsidP="00B91183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539310FC" w14:textId="77777777" w:rsidR="007830E4" w:rsidRDefault="009C13EE" w:rsidP="00B91183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05C875BC" w14:textId="77777777" w:rsidR="00B91183" w:rsidRDefault="00B91183" w:rsidP="00B91183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6C0DA7A8" w14:textId="58C4BB38" w:rsidR="004F5B7B" w:rsidRDefault="00964A9D" w:rsidP="00B91183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recursos hídricos </w:t>
      </w:r>
      <w:r w:rsidR="0076555E">
        <w:rPr>
          <w:sz w:val="24"/>
          <w:szCs w:val="24"/>
        </w:rPr>
        <w:t xml:space="preserve">desempenham papel </w:t>
      </w:r>
      <w:r>
        <w:rPr>
          <w:sz w:val="24"/>
          <w:szCs w:val="24"/>
        </w:rPr>
        <w:t>essenciais para</w:t>
      </w:r>
      <w:r w:rsidR="0076555E">
        <w:rPr>
          <w:sz w:val="24"/>
          <w:szCs w:val="24"/>
        </w:rPr>
        <w:t xml:space="preserve"> as</w:t>
      </w:r>
      <w:r>
        <w:rPr>
          <w:sz w:val="24"/>
          <w:szCs w:val="24"/>
        </w:rPr>
        <w:t xml:space="preserve"> atividades como abastecimento, ecoturismo e pesca esportiva, exigem gestão sustentável para garantir a preservação. </w:t>
      </w:r>
      <w:r w:rsidR="004F5B7B">
        <w:rPr>
          <w:sz w:val="24"/>
          <w:szCs w:val="24"/>
        </w:rPr>
        <w:t xml:space="preserve">O Lago de Tucuruí, no Pará, </w:t>
      </w:r>
      <w:r w:rsidR="00F40570">
        <w:rPr>
          <w:sz w:val="24"/>
          <w:szCs w:val="24"/>
        </w:rPr>
        <w:t xml:space="preserve">Brasil, </w:t>
      </w:r>
      <w:r w:rsidR="0076555E">
        <w:rPr>
          <w:sz w:val="24"/>
          <w:szCs w:val="24"/>
        </w:rPr>
        <w:t xml:space="preserve">se </w:t>
      </w:r>
      <w:r w:rsidR="00F40570">
        <w:rPr>
          <w:sz w:val="24"/>
          <w:szCs w:val="24"/>
        </w:rPr>
        <w:t>destaca</w:t>
      </w:r>
      <w:r w:rsidR="0076555E">
        <w:rPr>
          <w:sz w:val="24"/>
          <w:szCs w:val="24"/>
        </w:rPr>
        <w:t xml:space="preserve"> por seu impacto</w:t>
      </w:r>
      <w:r w:rsidR="004F5B7B">
        <w:rPr>
          <w:sz w:val="24"/>
          <w:szCs w:val="24"/>
        </w:rPr>
        <w:t xml:space="preserve"> econômic</w:t>
      </w:r>
      <w:r w:rsidR="0076555E">
        <w:rPr>
          <w:sz w:val="24"/>
          <w:szCs w:val="24"/>
        </w:rPr>
        <w:t>o</w:t>
      </w:r>
      <w:r w:rsidR="004F5B7B">
        <w:rPr>
          <w:sz w:val="24"/>
          <w:szCs w:val="24"/>
        </w:rPr>
        <w:t xml:space="preserve">, social e ecológica, </w:t>
      </w:r>
      <w:r w:rsidR="005042B2">
        <w:rPr>
          <w:sz w:val="24"/>
          <w:szCs w:val="24"/>
        </w:rPr>
        <w:t>atendendo aproximadamente 50 mil pessoas que dependem da pesca diretamente</w:t>
      </w:r>
      <w:r w:rsidR="004F5B7B">
        <w:rPr>
          <w:sz w:val="24"/>
          <w:szCs w:val="24"/>
        </w:rPr>
        <w:t xml:space="preserve">. </w:t>
      </w:r>
      <w:r w:rsidR="005042B2">
        <w:rPr>
          <w:sz w:val="24"/>
          <w:szCs w:val="24"/>
        </w:rPr>
        <w:t>O</w:t>
      </w:r>
      <w:r w:rsidR="004F5B7B">
        <w:rPr>
          <w:sz w:val="24"/>
          <w:szCs w:val="24"/>
        </w:rPr>
        <w:t xml:space="preserve"> Torneio de Pesca da Amazônia (TOPAM), </w:t>
      </w:r>
      <w:r w:rsidR="005042B2">
        <w:rPr>
          <w:sz w:val="24"/>
          <w:szCs w:val="24"/>
        </w:rPr>
        <w:t>reconhecido como ícone nacional pela EMBRATUR,</w:t>
      </w:r>
      <w:r w:rsidR="004F5B7B">
        <w:rPr>
          <w:sz w:val="24"/>
          <w:szCs w:val="24"/>
        </w:rPr>
        <w:t xml:space="preserve"> promove o ecoturismo, o uso recreativo do lago gera impacto econômico significativo para a região</w:t>
      </w:r>
      <w:r w:rsidR="00F40570">
        <w:rPr>
          <w:sz w:val="24"/>
          <w:szCs w:val="24"/>
        </w:rPr>
        <w:t xml:space="preserve">. </w:t>
      </w:r>
      <w:r w:rsidR="00DF06BC">
        <w:rPr>
          <w:sz w:val="24"/>
          <w:szCs w:val="24"/>
        </w:rPr>
        <w:t>A pesquisa</w:t>
      </w:r>
      <w:r w:rsidR="00F40570">
        <w:rPr>
          <w:sz w:val="24"/>
          <w:szCs w:val="24"/>
        </w:rPr>
        <w:t xml:space="preserve"> </w:t>
      </w:r>
      <w:r w:rsidR="00DF06BC">
        <w:rPr>
          <w:sz w:val="24"/>
          <w:szCs w:val="24"/>
        </w:rPr>
        <w:t>visa preencher uma lacuna na literatura ao estimar</w:t>
      </w:r>
      <w:r w:rsidR="00F40570">
        <w:rPr>
          <w:sz w:val="24"/>
          <w:szCs w:val="24"/>
        </w:rPr>
        <w:t xml:space="preserve"> o valor econômico dessas atividades utilizando o método de custo de viagem, considerando despesas com transporte, alimentação, hospedagem, inscrição e combustível para o barco.</w:t>
      </w:r>
      <w:r w:rsidR="00DF06BC">
        <w:rPr>
          <w:sz w:val="24"/>
          <w:szCs w:val="24"/>
        </w:rPr>
        <w:t xml:space="preserve"> A análise incluiu os seguintes municípios, Breu Branco, Goianésia, Itupiranga, Jacundá, Nova Ipixuna, Novo Repartimento e Tucuruí. Os custos de transporte foram calculados com base na distância dos municípios e o preço da gasolina, que em junho de 2024 era de R$ 5,85 por litro. Para alimentação, est</w:t>
      </w:r>
      <w:r w:rsidR="00946B8A">
        <w:rPr>
          <w:sz w:val="24"/>
          <w:szCs w:val="24"/>
        </w:rPr>
        <w:t xml:space="preserve">es são um gasto diário de R$ 50,00 por participante, com redução para </w:t>
      </w:r>
      <w:r w:rsidR="00076FC5">
        <w:rPr>
          <w:sz w:val="24"/>
          <w:szCs w:val="24"/>
        </w:rPr>
        <w:t>o</w:t>
      </w:r>
      <w:r w:rsidR="00946B8A">
        <w:rPr>
          <w:sz w:val="24"/>
          <w:szCs w:val="24"/>
        </w:rPr>
        <w:t xml:space="preserve"> último dia de evento. O custo médio da hospedagem, baseado em hotéis da cidade, foi R$ 516,00 p</w:t>
      </w:r>
      <w:r w:rsidR="00AE61E4">
        <w:rPr>
          <w:sz w:val="24"/>
          <w:szCs w:val="24"/>
        </w:rPr>
        <w:t>or participante para o período do troneio. De acordo com o regulamento, o valor da inscrição para o TOPAM 2024 é de R$ 650,00 por participante. Esse valor inclui almoço par os dias de sexta-feira, sábado e domingo.</w:t>
      </w:r>
      <w:r w:rsidR="00076FC5">
        <w:rPr>
          <w:sz w:val="24"/>
          <w:szCs w:val="24"/>
        </w:rPr>
        <w:t xml:space="preserve"> Os resultados mostraram que os custos totais de participação no evento variam de R$ 1.473,80 a R$ 1.643,90, dependendo da cidade de origem. Essa valoração econômica é fundamental para entender a contribuição do turismo recreativo para a economia local, </w:t>
      </w:r>
      <w:r w:rsidR="00A7789C">
        <w:rPr>
          <w:sz w:val="24"/>
          <w:szCs w:val="24"/>
        </w:rPr>
        <w:t>embasar políticas públicas, estratégias para o desenvolvimento sustentável e equilibrando o uso econômico dos recursos hídricos. Diante disso, torna-se importante reforçar a importância dos eventos como o TOPAM para o turismo e a economia local, esse tipo de investimento são eficazes para a conservação dos recursos naturais e sustentabilidade da região.</w:t>
      </w:r>
    </w:p>
    <w:p w14:paraId="0E4F2DDC" w14:textId="77777777" w:rsidR="007D7B52" w:rsidRDefault="007D7B52" w:rsidP="00B91183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14:paraId="60193851" w14:textId="6B36B45F" w:rsidR="0076555E" w:rsidRDefault="009C13EE" w:rsidP="00B91183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76555E">
        <w:rPr>
          <w:sz w:val="24"/>
          <w:szCs w:val="24"/>
        </w:rPr>
        <w:t>Recursos hídricos. Pesca esportiva. Valoração.</w:t>
      </w:r>
      <w:r w:rsidR="0076555E">
        <w:rPr>
          <w:color w:val="FF0000"/>
          <w:sz w:val="24"/>
          <w:szCs w:val="24"/>
        </w:rPr>
        <w:t xml:space="preserve"> </w:t>
      </w:r>
    </w:p>
    <w:p w14:paraId="2CB290E8" w14:textId="77777777" w:rsidR="0076555E" w:rsidRDefault="0076555E" w:rsidP="00B91183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31D7EA4E" w14:textId="7C1D9414" w:rsidR="007830E4" w:rsidRPr="003B2E5B" w:rsidRDefault="0048607D" w:rsidP="00B91183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B91183" w:rsidRPr="00B91183">
        <w:rPr>
          <w:sz w:val="24"/>
          <w:szCs w:val="24"/>
        </w:rPr>
        <w:t>Bioeconomia, Créditos de Carbono, Pagamento por Serviços Ambientais, REED+, Valoração Econômica dos Recursos Ambientais, Inovação e Empreendedorismo para Negócios Sustentáveis</w:t>
      </w:r>
      <w:r w:rsidR="00B91183">
        <w:rPr>
          <w:sz w:val="24"/>
          <w:szCs w:val="24"/>
        </w:rPr>
        <w:t>.</w:t>
      </w:r>
    </w:p>
    <w:sectPr w:rsidR="007830E4" w:rsidRPr="003B2E5B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5B1370" w14:textId="77777777" w:rsidR="00FB4949" w:rsidRDefault="00FB4949">
      <w:r>
        <w:separator/>
      </w:r>
    </w:p>
  </w:endnote>
  <w:endnote w:type="continuationSeparator" w:id="0">
    <w:p w14:paraId="6D73FD77" w14:textId="77777777" w:rsidR="00FB4949" w:rsidRDefault="00FB4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4C384F" w14:textId="77777777" w:rsidR="00FB4949" w:rsidRDefault="00FB4949">
      <w:r>
        <w:separator/>
      </w:r>
    </w:p>
  </w:footnote>
  <w:footnote w:type="continuationSeparator" w:id="0">
    <w:p w14:paraId="265E13D5" w14:textId="77777777" w:rsidR="00FB4949" w:rsidRDefault="00FB4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76FC5"/>
    <w:rsid w:val="00362A1E"/>
    <w:rsid w:val="003A6125"/>
    <w:rsid w:val="003B2E5B"/>
    <w:rsid w:val="00453B41"/>
    <w:rsid w:val="0048607D"/>
    <w:rsid w:val="004E6543"/>
    <w:rsid w:val="004F5B7B"/>
    <w:rsid w:val="005042B2"/>
    <w:rsid w:val="0060276A"/>
    <w:rsid w:val="00626BB8"/>
    <w:rsid w:val="0070338F"/>
    <w:rsid w:val="0076555E"/>
    <w:rsid w:val="007830E4"/>
    <w:rsid w:val="007D7B52"/>
    <w:rsid w:val="00843D69"/>
    <w:rsid w:val="00922504"/>
    <w:rsid w:val="009423CF"/>
    <w:rsid w:val="00946B8A"/>
    <w:rsid w:val="00957BE7"/>
    <w:rsid w:val="00964A9D"/>
    <w:rsid w:val="009C13EE"/>
    <w:rsid w:val="00A7789C"/>
    <w:rsid w:val="00A86693"/>
    <w:rsid w:val="00AE61E4"/>
    <w:rsid w:val="00B26E21"/>
    <w:rsid w:val="00B461F4"/>
    <w:rsid w:val="00B826D9"/>
    <w:rsid w:val="00B91183"/>
    <w:rsid w:val="00C40B74"/>
    <w:rsid w:val="00C64DF0"/>
    <w:rsid w:val="00C822CA"/>
    <w:rsid w:val="00D170C3"/>
    <w:rsid w:val="00DF06BC"/>
    <w:rsid w:val="00E161EB"/>
    <w:rsid w:val="00E16A8E"/>
    <w:rsid w:val="00E721E0"/>
    <w:rsid w:val="00EA154B"/>
    <w:rsid w:val="00F40570"/>
    <w:rsid w:val="00F4556B"/>
    <w:rsid w:val="00FB4949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character" w:customStyle="1" w:styleId="TtuloChar">
    <w:name w:val="Título Char"/>
    <w:basedOn w:val="Fontepargpadro"/>
    <w:link w:val="Ttulo"/>
    <w:rsid w:val="00453B41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458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3</cp:revision>
  <dcterms:created xsi:type="dcterms:W3CDTF">2024-11-29T18:54:00Z</dcterms:created>
  <dcterms:modified xsi:type="dcterms:W3CDTF">2024-11-30T00:14:00Z</dcterms:modified>
</cp:coreProperties>
</file>