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ADDAF" w14:textId="6107E368" w:rsidR="005D54AB" w:rsidRDefault="005D54AB" w:rsidP="003949CE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 w:rsidRPr="005D54AB">
        <w:rPr>
          <w:b/>
          <w:sz w:val="24"/>
          <w:szCs w:val="24"/>
        </w:rPr>
        <w:t>IMPACTO DOS FATORES AMBIENTAIS NA DISSEMINAÇÃO DA LEISHMANIOSE TEGUMENTAR EM CASTANHAL</w:t>
      </w:r>
      <w:r>
        <w:rPr>
          <w:b/>
          <w:sz w:val="24"/>
          <w:szCs w:val="24"/>
        </w:rPr>
        <w:t>, PARÁ, BRASIL</w:t>
      </w:r>
      <w:r w:rsidRPr="005D54AB">
        <w:rPr>
          <w:b/>
          <w:sz w:val="24"/>
          <w:szCs w:val="24"/>
        </w:rPr>
        <w:t>: UMA ABORDAGEM EPIDEMIOLÓGICA</w:t>
      </w:r>
    </w:p>
    <w:p w14:paraId="79FFA4E4" w14:textId="77777777" w:rsidR="005D54AB" w:rsidRDefault="005D54AB" w:rsidP="003949CE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2F212F3E" w14:textId="0B8F3030" w:rsidR="003949CE" w:rsidRDefault="008D2719" w:rsidP="00465EF7">
      <w:pPr>
        <w:shd w:val="clear" w:color="auto" w:fill="FFFFFF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Amauri Mesquita de Sousa </w:t>
      </w:r>
      <w:r w:rsidR="003949CE">
        <w:rPr>
          <w:sz w:val="24"/>
          <w:szCs w:val="24"/>
          <w:vertAlign w:val="superscript"/>
        </w:rPr>
        <w:t>1</w:t>
      </w:r>
      <w:r w:rsidR="003949CE">
        <w:rPr>
          <w:sz w:val="24"/>
          <w:szCs w:val="24"/>
        </w:rPr>
        <w:t xml:space="preserve">; </w:t>
      </w:r>
      <w:r>
        <w:rPr>
          <w:sz w:val="24"/>
          <w:szCs w:val="24"/>
        </w:rPr>
        <w:t>Marcos Vinicius Afonso Cabral</w:t>
      </w:r>
      <w:r w:rsidR="00465EF7">
        <w:rPr>
          <w:sz w:val="24"/>
          <w:szCs w:val="24"/>
        </w:rPr>
        <w:t xml:space="preserve"> </w:t>
      </w:r>
      <w:r w:rsidR="003949CE">
        <w:rPr>
          <w:sz w:val="24"/>
          <w:szCs w:val="24"/>
          <w:vertAlign w:val="superscript"/>
        </w:rPr>
        <w:t>2</w:t>
      </w:r>
      <w:r w:rsidR="003949CE">
        <w:rPr>
          <w:sz w:val="24"/>
          <w:szCs w:val="24"/>
        </w:rPr>
        <w:t xml:space="preserve">; </w:t>
      </w:r>
      <w:r w:rsidR="00465EF7">
        <w:rPr>
          <w:sz w:val="24"/>
          <w:szCs w:val="24"/>
        </w:rPr>
        <w:t xml:space="preserve">Bruna Luana Oliveira Tavares ³; </w:t>
      </w:r>
      <w:r>
        <w:rPr>
          <w:sz w:val="24"/>
          <w:szCs w:val="24"/>
        </w:rPr>
        <w:t>José Augusto Carvalho de Araújo</w:t>
      </w:r>
      <w:r w:rsidR="00465EF7">
        <w:rPr>
          <w:sz w:val="24"/>
          <w:szCs w:val="24"/>
          <w:vertAlign w:val="superscript"/>
        </w:rPr>
        <w:t>4</w:t>
      </w:r>
    </w:p>
    <w:p w14:paraId="488A52A5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7D915DB4" w14:textId="66CDC37D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8D2719">
        <w:rPr>
          <w:sz w:val="24"/>
          <w:szCs w:val="24"/>
        </w:rPr>
        <w:t>Bacharelando em Enfermagem. Universidade Norte do Paraná. amaurimesquita1904@gmail.com</w:t>
      </w:r>
    </w:p>
    <w:p w14:paraId="31256D17" w14:textId="4DBC9EDA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 w:rsidR="008D2719">
        <w:rPr>
          <w:sz w:val="24"/>
          <w:szCs w:val="24"/>
        </w:rPr>
        <w:t>Mestrando em Ciências Ambientais. Universidade do Estado do Pará. marcos.vacabral@aluno.uepa.br</w:t>
      </w:r>
    </w:p>
    <w:p w14:paraId="4CAD9453" w14:textId="012012A7" w:rsidR="00465EF7" w:rsidRDefault="00465EF7" w:rsidP="003949C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³ Mestre em Doenças Tropicais na Amazônia. Universidade Norte do Paraná. tavaresbruna07@gmail.com</w:t>
      </w:r>
    </w:p>
    <w:p w14:paraId="03D6E02E" w14:textId="2606939F" w:rsidR="003949CE" w:rsidRPr="00462010" w:rsidRDefault="00465EF7" w:rsidP="00462010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465EF7">
        <w:rPr>
          <w:sz w:val="24"/>
          <w:szCs w:val="24"/>
          <w:vertAlign w:val="superscript"/>
        </w:rPr>
        <w:t>4</w:t>
      </w:r>
      <w:r w:rsidR="008D2719">
        <w:rPr>
          <w:sz w:val="24"/>
          <w:szCs w:val="24"/>
        </w:rPr>
        <w:t xml:space="preserve"> Professor</w:t>
      </w:r>
      <w:r w:rsidR="00021940">
        <w:rPr>
          <w:sz w:val="24"/>
          <w:szCs w:val="24"/>
        </w:rPr>
        <w:t>,</w:t>
      </w:r>
      <w:r w:rsidR="00462010">
        <w:rPr>
          <w:sz w:val="24"/>
          <w:szCs w:val="24"/>
        </w:rPr>
        <w:t xml:space="preserve"> Doutor </w:t>
      </w:r>
      <w:r w:rsidR="008D2719">
        <w:rPr>
          <w:sz w:val="24"/>
          <w:szCs w:val="24"/>
        </w:rPr>
        <w:t>em Sociologia. Universidade do Estado do Pará</w:t>
      </w:r>
      <w:r w:rsidR="00462010">
        <w:rPr>
          <w:sz w:val="24"/>
          <w:szCs w:val="24"/>
        </w:rPr>
        <w:t>. augustocarvalho@uepa.br</w:t>
      </w:r>
    </w:p>
    <w:p w14:paraId="6562E980" w14:textId="77777777" w:rsidR="003949CE" w:rsidRDefault="003949CE" w:rsidP="003949CE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center"/>
        <w:rPr>
          <w:sz w:val="24"/>
          <w:szCs w:val="24"/>
        </w:rPr>
      </w:pPr>
    </w:p>
    <w:p w14:paraId="1EA4B476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42D75990" w14:textId="45345270" w:rsidR="003949CE" w:rsidRDefault="000D548F" w:rsidP="002E1E9D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 w:rsidRPr="000D548F">
        <w:rPr>
          <w:sz w:val="24"/>
          <w:szCs w:val="24"/>
        </w:rPr>
        <w:t>Este estudo analisa o impacto dos fatores ambientais na disseminação da Leishmaniose Tegumentar Americana (LTA) em Castanhal, Pará. A pesquisa foi motivada pelo aumento significativo dos casos de LTA na região, levantando preocupações sobre os fatores que contribuem para essa disseminação. O problema de pesquisa focaliza a relação entre variáveis ambientais, como desmatamento, urbanização desordenada, mudanças climáticas e práticas agrícolas inadequadas, e a propagação da LTA. A justificativa do estudo reside na necessidade de compreender essas interações para desenvolver estratégias eficazes de prevenção e controle.</w:t>
      </w:r>
      <w:r>
        <w:rPr>
          <w:sz w:val="24"/>
          <w:szCs w:val="24"/>
        </w:rPr>
        <w:t xml:space="preserve"> </w:t>
      </w:r>
      <w:r w:rsidRPr="000D548F">
        <w:rPr>
          <w:sz w:val="24"/>
          <w:szCs w:val="24"/>
        </w:rPr>
        <w:t>Os objetivos do estudo incluem identificar e mapear os principais fatores ambientais que contribuem para a transmissão da LTA e avaliar como essas variáveis interagem para aumentar o risco de infecção. A metodologia envolveu a análise de 114 casos de LTA registrados entre 2011 e 2022 em Castanhal. Os dados foram analisados utilizando técnicas de análise de tendência linear para identificar padrões de distribuição e variação ao longo do tempo.</w:t>
      </w:r>
      <w:r>
        <w:rPr>
          <w:sz w:val="24"/>
          <w:szCs w:val="24"/>
        </w:rPr>
        <w:t xml:space="preserve"> </w:t>
      </w:r>
      <w:r w:rsidRPr="000D548F">
        <w:rPr>
          <w:sz w:val="24"/>
          <w:szCs w:val="24"/>
        </w:rPr>
        <w:t>Os resultados indicaram uma oscilação na incidência da doença, com uma tendência linear de queda. A maioria dos casos foi registrada entre homens adultos de etnia parda, com ensino fundamental e trabalhadores rurais, sugerindo uma maior exposição ocupacional. A análise revelou que a maioria dos casos ocorreu na zona urbana, possivelmente devido à migração do vetor ou maior notificação nessas áreas.</w:t>
      </w:r>
      <w:r>
        <w:rPr>
          <w:sz w:val="24"/>
          <w:szCs w:val="24"/>
        </w:rPr>
        <w:t xml:space="preserve"> </w:t>
      </w:r>
      <w:r w:rsidRPr="000D548F">
        <w:rPr>
          <w:sz w:val="24"/>
          <w:szCs w:val="24"/>
        </w:rPr>
        <w:t>Em conclusão, o perfil epidemiológico de LTA em Castanhal revela a importância de estratégias focadas em grupos de risco específicos. A pesquisa destaca a necessidade de intervenções direcionadas e contínuas, além de melhorias na coleta de dados e comunicação com a comunidade. Recomenda-se para pesquisas futuras uma abordagem integrada que combine análise de fatores ambientais com estudos comportamentais e socioeconômicos, visando o desenvolvimento de tecnologias avançadas de monitoramento e prevenção para um controle mais eficaz da LTA.</w:t>
      </w:r>
    </w:p>
    <w:p w14:paraId="334B72E5" w14:textId="77777777" w:rsidR="002E1E9D" w:rsidRDefault="002E1E9D" w:rsidP="002E1E9D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14:paraId="5A93BFDA" w14:textId="4DA3853C" w:rsidR="003949CE" w:rsidRDefault="003949CE" w:rsidP="00E73D91">
      <w:pP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E73D91">
        <w:rPr>
          <w:sz w:val="24"/>
          <w:szCs w:val="24"/>
        </w:rPr>
        <w:t xml:space="preserve">Saúde pública, doenças negligenciadas, epidemiologia, Impactos ambientais.  </w:t>
      </w:r>
    </w:p>
    <w:p w14:paraId="71340687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73EB5E4E" w14:textId="3BA77488" w:rsidR="003949CE" w:rsidRDefault="003949CE" w:rsidP="003949CE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462010">
        <w:rPr>
          <w:sz w:val="24"/>
          <w:szCs w:val="24"/>
        </w:rPr>
        <w:t>Saúde Publica e Meio Ambiente</w:t>
      </w:r>
    </w:p>
    <w:p w14:paraId="0121B69D" w14:textId="77777777" w:rsidR="002E1E9D" w:rsidRDefault="002E1E9D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B35A14B" w14:textId="244C38F7" w:rsidR="003949CE" w:rsidRDefault="003949CE" w:rsidP="003949C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1. INTRODUÇÃO </w:t>
      </w:r>
    </w:p>
    <w:p w14:paraId="1E8D9C89" w14:textId="6DD51DA5" w:rsidR="00323872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54AB" w:rsidRPr="005D54AB">
        <w:rPr>
          <w:sz w:val="24"/>
          <w:szCs w:val="24"/>
        </w:rPr>
        <w:t xml:space="preserve">A </w:t>
      </w:r>
      <w:r w:rsidR="00B005D0">
        <w:rPr>
          <w:sz w:val="24"/>
          <w:szCs w:val="24"/>
        </w:rPr>
        <w:t>L</w:t>
      </w:r>
      <w:r w:rsidR="005D54AB" w:rsidRPr="005D54AB">
        <w:rPr>
          <w:sz w:val="24"/>
          <w:szCs w:val="24"/>
        </w:rPr>
        <w:t xml:space="preserve">eishmaniose </w:t>
      </w:r>
      <w:r w:rsidR="00B005D0">
        <w:rPr>
          <w:sz w:val="24"/>
          <w:szCs w:val="24"/>
        </w:rPr>
        <w:t>T</w:t>
      </w:r>
      <w:r w:rsidR="005D54AB" w:rsidRPr="005D54AB">
        <w:rPr>
          <w:sz w:val="24"/>
          <w:szCs w:val="24"/>
        </w:rPr>
        <w:t xml:space="preserve">egumentar </w:t>
      </w:r>
      <w:r w:rsidR="00E73D91">
        <w:rPr>
          <w:sz w:val="24"/>
          <w:szCs w:val="24"/>
        </w:rPr>
        <w:t xml:space="preserve">Americana </w:t>
      </w:r>
      <w:r w:rsidR="005D54AB" w:rsidRPr="005D54AB">
        <w:rPr>
          <w:sz w:val="24"/>
          <w:szCs w:val="24"/>
        </w:rPr>
        <w:t>é uma doença infecciosa negligenciada que representa um grave problema de saúde pública em diversas regiões do mundo, incluindo o Brasil</w:t>
      </w:r>
      <w:r w:rsidR="002E1E9D">
        <w:rPr>
          <w:sz w:val="24"/>
          <w:szCs w:val="24"/>
        </w:rPr>
        <w:t xml:space="preserve"> (Brasil, 2007)</w:t>
      </w:r>
      <w:r w:rsidR="005D54AB" w:rsidRPr="005D54AB">
        <w:rPr>
          <w:sz w:val="24"/>
          <w:szCs w:val="24"/>
        </w:rPr>
        <w:t>. Castanhal, uma cidade</w:t>
      </w:r>
      <w:r w:rsidR="005D54AB">
        <w:rPr>
          <w:sz w:val="24"/>
          <w:szCs w:val="24"/>
        </w:rPr>
        <w:t xml:space="preserve"> d</w:t>
      </w:r>
      <w:r w:rsidR="005D54AB" w:rsidRPr="005D54AB">
        <w:rPr>
          <w:sz w:val="24"/>
          <w:szCs w:val="24"/>
        </w:rPr>
        <w:t xml:space="preserve">o </w:t>
      </w:r>
      <w:r w:rsidR="005D54AB">
        <w:rPr>
          <w:sz w:val="24"/>
          <w:szCs w:val="24"/>
        </w:rPr>
        <w:t>nordeste</w:t>
      </w:r>
      <w:r w:rsidR="005D54AB" w:rsidRPr="005D54AB">
        <w:rPr>
          <w:sz w:val="24"/>
          <w:szCs w:val="24"/>
        </w:rPr>
        <w:t xml:space="preserve"> Par</w:t>
      </w:r>
      <w:r w:rsidR="005D54AB">
        <w:rPr>
          <w:sz w:val="24"/>
          <w:szCs w:val="24"/>
        </w:rPr>
        <w:t>aense</w:t>
      </w:r>
      <w:r w:rsidR="005D54AB" w:rsidRPr="005D54AB">
        <w:rPr>
          <w:sz w:val="24"/>
          <w:szCs w:val="24"/>
        </w:rPr>
        <w:t xml:space="preserve">, tem registrado um aumento significativo nos casos de </w:t>
      </w:r>
      <w:r w:rsidR="00B005D0">
        <w:rPr>
          <w:sz w:val="24"/>
          <w:szCs w:val="24"/>
        </w:rPr>
        <w:t>L</w:t>
      </w:r>
      <w:r w:rsidR="005D54AB" w:rsidRPr="005D54AB">
        <w:rPr>
          <w:sz w:val="24"/>
          <w:szCs w:val="24"/>
        </w:rPr>
        <w:t xml:space="preserve">eishmaniose </w:t>
      </w:r>
      <w:r w:rsidR="00B005D0">
        <w:rPr>
          <w:sz w:val="24"/>
          <w:szCs w:val="24"/>
        </w:rPr>
        <w:t>T</w:t>
      </w:r>
      <w:r w:rsidR="005D54AB" w:rsidRPr="005D54AB">
        <w:rPr>
          <w:sz w:val="24"/>
          <w:szCs w:val="24"/>
        </w:rPr>
        <w:t>egumentar, levantando preocupações sobre os fatores que contribuem para essa disseminação</w:t>
      </w:r>
      <w:r w:rsidR="009F008B">
        <w:rPr>
          <w:sz w:val="24"/>
          <w:szCs w:val="24"/>
        </w:rPr>
        <w:t xml:space="preserve"> (Freitas, 2024)</w:t>
      </w:r>
      <w:r w:rsidR="005D54AB" w:rsidRPr="005D54AB">
        <w:rPr>
          <w:sz w:val="24"/>
          <w:szCs w:val="24"/>
        </w:rPr>
        <w:t xml:space="preserve">. Esta pesquisa busca compreender o impacto dos fatores ambientais na disseminação da </w:t>
      </w:r>
      <w:r w:rsidR="00B005D0">
        <w:rPr>
          <w:sz w:val="24"/>
          <w:szCs w:val="24"/>
        </w:rPr>
        <w:t>doença</w:t>
      </w:r>
      <w:r w:rsidR="005D54AB" w:rsidRPr="005D54AB">
        <w:rPr>
          <w:sz w:val="24"/>
          <w:szCs w:val="24"/>
        </w:rPr>
        <w:t xml:space="preserve"> em Castanhal, oferecendo uma perspectiva epidemiológica detalhada.</w:t>
      </w:r>
    </w:p>
    <w:p w14:paraId="71A5DF3A" w14:textId="39469744" w:rsidR="00323872" w:rsidRDefault="00323872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05D0" w:rsidRPr="00B005D0">
        <w:rPr>
          <w:sz w:val="24"/>
          <w:szCs w:val="24"/>
        </w:rPr>
        <w:t xml:space="preserve">Neste contexto, o problema de pesquisa centra-se na relação entre as variáveis ambientais e a propagação da </w:t>
      </w:r>
      <w:r w:rsidR="00B005D0">
        <w:rPr>
          <w:sz w:val="24"/>
          <w:szCs w:val="24"/>
        </w:rPr>
        <w:t>L</w:t>
      </w:r>
      <w:r w:rsidR="00B005D0" w:rsidRPr="00B005D0">
        <w:rPr>
          <w:sz w:val="24"/>
          <w:szCs w:val="24"/>
        </w:rPr>
        <w:t>eishmaniose em Castanhal. Fatores como desmatamento, urbanização desordenada, mudanças climáticas e práticas agrícolas inadequadas podem criar ambientes favoráveis para a proliferação dos flebotomíneos, os mosquitos vetores da doença</w:t>
      </w:r>
      <w:r w:rsidR="00596FED">
        <w:rPr>
          <w:sz w:val="24"/>
          <w:szCs w:val="24"/>
        </w:rPr>
        <w:t xml:space="preserve"> (OPAS, 2022)</w:t>
      </w:r>
      <w:r w:rsidR="00B005D0" w:rsidRPr="00B005D0">
        <w:rPr>
          <w:sz w:val="24"/>
          <w:szCs w:val="24"/>
        </w:rPr>
        <w:t>. Além disso, a falta de saneamento básico e o acúmulo de lixo agravam a situação, aumentando a vulnerabilidade das populações expostas</w:t>
      </w:r>
      <w:r w:rsidR="009F008B">
        <w:rPr>
          <w:sz w:val="24"/>
          <w:szCs w:val="24"/>
        </w:rPr>
        <w:t xml:space="preserve"> (Almeida, 2020)</w:t>
      </w:r>
      <w:r w:rsidR="00B005D0" w:rsidRPr="00B005D0">
        <w:rPr>
          <w:sz w:val="24"/>
          <w:szCs w:val="24"/>
        </w:rPr>
        <w:t>. Compreender essas interações é essencial para desenvolver estratégias eficazes de prevenção e controle.</w:t>
      </w:r>
    </w:p>
    <w:p w14:paraId="0ED8DCE2" w14:textId="7C220CB2" w:rsidR="003949CE" w:rsidRDefault="00323872" w:rsidP="00B005D0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05D0" w:rsidRPr="00B005D0">
        <w:rPr>
          <w:sz w:val="24"/>
          <w:szCs w:val="24"/>
        </w:rPr>
        <w:t>No contexto de Castanhal, a</w:t>
      </w:r>
      <w:r w:rsidR="00B005D0">
        <w:rPr>
          <w:sz w:val="24"/>
          <w:szCs w:val="24"/>
        </w:rPr>
        <w:t xml:space="preserve"> patologia </w:t>
      </w:r>
      <w:r w:rsidR="00B005D0" w:rsidRPr="00B005D0">
        <w:rPr>
          <w:sz w:val="24"/>
          <w:szCs w:val="24"/>
        </w:rPr>
        <w:t>representa um desafio significativo para a saúde pública. A doença manifesta-se em formas cutâneas, mucosas e mucocutâneas, causando lesões dolorosas e desfigurantes que podem levar a complicações graves se não tratadas adequadamente</w:t>
      </w:r>
      <w:r w:rsidR="00596FED">
        <w:rPr>
          <w:sz w:val="24"/>
          <w:szCs w:val="24"/>
        </w:rPr>
        <w:t xml:space="preserve"> (Benchimol, 2020)</w:t>
      </w:r>
      <w:r w:rsidR="00B005D0" w:rsidRPr="00B005D0">
        <w:rPr>
          <w:sz w:val="24"/>
          <w:szCs w:val="24"/>
        </w:rPr>
        <w:t>. A relação entre fatores ambientais e a transmissão da leishmaniose é complexa, envolvendo múltiplos aspectos ecológicos e sociais que exigem uma abordagem integrada</w:t>
      </w:r>
      <w:r w:rsidR="00596FED">
        <w:rPr>
          <w:sz w:val="24"/>
          <w:szCs w:val="24"/>
        </w:rPr>
        <w:t xml:space="preserve"> (Abrantes </w:t>
      </w:r>
      <w:r w:rsidR="00596FED" w:rsidRPr="00596FED">
        <w:rPr>
          <w:i/>
          <w:iCs/>
          <w:sz w:val="24"/>
          <w:szCs w:val="24"/>
        </w:rPr>
        <w:t>et al</w:t>
      </w:r>
      <w:r w:rsidR="00596FED">
        <w:rPr>
          <w:sz w:val="24"/>
          <w:szCs w:val="24"/>
        </w:rPr>
        <w:t>., 2018)</w:t>
      </w:r>
      <w:r w:rsidR="00B005D0" w:rsidRPr="00B005D0">
        <w:rPr>
          <w:sz w:val="24"/>
          <w:szCs w:val="24"/>
        </w:rPr>
        <w:t>.</w:t>
      </w:r>
    </w:p>
    <w:p w14:paraId="6DB76CAC" w14:textId="1DBA66BC" w:rsidR="00B005D0" w:rsidRPr="00323872" w:rsidRDefault="00B005D0" w:rsidP="00B005D0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05D0">
        <w:rPr>
          <w:sz w:val="24"/>
          <w:szCs w:val="24"/>
        </w:rPr>
        <w:t>O objetivo desta pesquisa é analisar o impacto dos fatores ambientais na disseminação da leishmaniose tegumentar em Castanhal, utilizando uma abordagem epidemiológica. Isso inclui identificar e mapear os principais fatores ambientais que contribuem para a transmissão da doença e avaliar como essas variáveis interagem para aumentar o risco de infecção. Os resultados esperados visam fornecer uma base sólida para o desenvolvimento de intervenções mais eficazes e direcionadas para o controle e prevenção da leishmaniose tegumentar em Castanhal.</w:t>
      </w:r>
    </w:p>
    <w:p w14:paraId="309E8D17" w14:textId="3D5FB358" w:rsidR="003949CE" w:rsidRDefault="003949CE" w:rsidP="003949C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METODOLOGIA</w:t>
      </w:r>
    </w:p>
    <w:p w14:paraId="315104C4" w14:textId="4DF3AAE7" w:rsidR="00352C2D" w:rsidRDefault="00352C2D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 w:rsidRPr="00352C2D">
        <w:rPr>
          <w:sz w:val="24"/>
          <w:szCs w:val="24"/>
        </w:rPr>
        <w:t>Este estudo longitudinal observacional analisou dados de casos notificados de leishmaniose cutânea em Castanhal, Pará, Brasil, no período de 2011 a 202</w:t>
      </w:r>
      <w:r w:rsidR="00021940">
        <w:rPr>
          <w:sz w:val="24"/>
          <w:szCs w:val="24"/>
        </w:rPr>
        <w:t>2</w:t>
      </w:r>
      <w:r w:rsidRPr="00352C2D">
        <w:rPr>
          <w:sz w:val="24"/>
          <w:szCs w:val="24"/>
        </w:rPr>
        <w:t>. Castanhal está situada na mesorregião metropolitana de Belém, com uma área total de 1.029,300 km² e uma população de aproximadamente 207 603 habitantes em 202</w:t>
      </w:r>
      <w:r>
        <w:rPr>
          <w:sz w:val="24"/>
          <w:szCs w:val="24"/>
        </w:rPr>
        <w:t>4</w:t>
      </w:r>
      <w:r w:rsidRPr="00352C2D">
        <w:rPr>
          <w:sz w:val="24"/>
          <w:szCs w:val="24"/>
        </w:rPr>
        <w:t>, resultando numa densidade demográfica de 201,7 hab./km²</w:t>
      </w:r>
      <w:r w:rsidR="00465EF7">
        <w:rPr>
          <w:sz w:val="24"/>
          <w:szCs w:val="24"/>
        </w:rPr>
        <w:t xml:space="preserve"> (Carvalho, 2019)</w:t>
      </w:r>
      <w:r>
        <w:rPr>
          <w:sz w:val="24"/>
          <w:szCs w:val="24"/>
        </w:rPr>
        <w:t>.</w:t>
      </w:r>
    </w:p>
    <w:p w14:paraId="1B153F8B" w14:textId="1FC8E1E7" w:rsidR="00352C2D" w:rsidRDefault="00F33792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 w:rsidRPr="00F33792">
        <w:rPr>
          <w:sz w:val="24"/>
          <w:szCs w:val="24"/>
        </w:rPr>
        <w:t>As variáveis epidemiológicas (sexo, faixa etária, etnia, escolaridade, ocupação, zona de residência e evolução) e as de políticas públicas de saúde (serviços e estabelecimentos de saúde) foram obtidas do Sistema de Informação de Agravos de Notificação (SINAN) e do Cadastro Nacional de Estabelecimentos e Serviços de Saúde (CNES), ambos do Ministério da Saúde. As variáveis ambientais (uso e ocupação do solo) foram adquiridas no projeto TerraClass, do Instituto Nacional de Pesquisas Espaciais (INPE). Dados cartográficos e demográficos (limites municipais e população) foram obtidos do Instituto Brasileiro de Geografia e Estatística (IBGE).</w:t>
      </w:r>
    </w:p>
    <w:p w14:paraId="3C6E9EFC" w14:textId="7F8BFBCA" w:rsidR="00E73D91" w:rsidRDefault="00F33792" w:rsidP="00E73D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 w:rsidRPr="00F33792">
        <w:rPr>
          <w:sz w:val="24"/>
          <w:szCs w:val="24"/>
        </w:rPr>
        <w:t xml:space="preserve">Os dados foram </w:t>
      </w:r>
      <w:r>
        <w:rPr>
          <w:sz w:val="24"/>
          <w:szCs w:val="24"/>
        </w:rPr>
        <w:t>triados</w:t>
      </w:r>
      <w:r w:rsidRPr="00F33792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eliminar</w:t>
      </w:r>
      <w:r w:rsidRPr="00F33792">
        <w:rPr>
          <w:sz w:val="24"/>
          <w:szCs w:val="24"/>
        </w:rPr>
        <w:t xml:space="preserve"> inconsistências e incompletudes antes de serem indexados em um banco de dados geográficos. Na análise estatística descritiva das variáveis relacionadas aos indivíduos, foram aplicados cálculos de incidência, percentagem e o teste estatístico não paramétrico qui-quadrado de proporções esperadas iguais, com significância de 0,05%. Observou-se a tendência linear da ocorrência de leishmaniose cutânea no município durante o período de estudo. Ambas as análises foram realizadas utilizando o software BioEstat 5.4.</w:t>
      </w:r>
    </w:p>
    <w:p w14:paraId="4ECD85E8" w14:textId="7AD60508" w:rsidR="003949CE" w:rsidRDefault="003949CE" w:rsidP="00E73D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</w:p>
    <w:p w14:paraId="26288912" w14:textId="77777777" w:rsidR="00E73D91" w:rsidRPr="00E73D91" w:rsidRDefault="00E73D91" w:rsidP="00E73D91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</w:p>
    <w:p w14:paraId="4D43008E" w14:textId="5580C852" w:rsidR="003949CE" w:rsidRDefault="00E8484F" w:rsidP="004F33DF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 w:rsidRPr="00E8484F">
        <w:rPr>
          <w:sz w:val="24"/>
          <w:szCs w:val="24"/>
        </w:rPr>
        <w:t>Foram analisados 114 casos de LTA no município de Castanhal entre 2011 e 2022. Observou-se uma oscilação na incidência da doença durante todo o período, com variações no número de casos, mas apresentando uma tendência linear de queda (Figura 1).</w:t>
      </w:r>
      <w:r w:rsidR="00D75F6C">
        <w:rPr>
          <w:sz w:val="24"/>
          <w:szCs w:val="24"/>
        </w:rPr>
        <w:t xml:space="preserve"> </w:t>
      </w:r>
    </w:p>
    <w:p w14:paraId="27FB28A6" w14:textId="5996D02B" w:rsidR="003949CE" w:rsidRDefault="003949CE" w:rsidP="00701E5F">
      <w:pPr>
        <w:pBdr>
          <w:bottom w:val="none" w:sz="0" w:space="6" w:color="000000"/>
        </w:pBdr>
        <w:shd w:val="clear" w:color="auto" w:fill="FFFFFF"/>
        <w:tabs>
          <w:tab w:val="left" w:pos="2500"/>
        </w:tabs>
        <w:jc w:val="center"/>
        <w:rPr>
          <w:highlight w:val="white"/>
        </w:rPr>
      </w:pPr>
      <w:r>
        <w:t xml:space="preserve">Figura 1 – </w:t>
      </w:r>
      <w:r w:rsidR="00701E5F" w:rsidRPr="00701E5F">
        <w:t>Incidência de LTA em Castanhal, Pará, Brasil, de 2011 a 202</w:t>
      </w:r>
      <w:r w:rsidR="00FC6432">
        <w:t>2.</w:t>
      </w:r>
      <w:r w:rsidR="00701E5F" w:rsidRPr="00701E5F">
        <w:rPr>
          <w:highlight w:val="white"/>
        </w:rPr>
        <w:t xml:space="preserve"> </w:t>
      </w:r>
      <w:r w:rsidR="00701E5F">
        <w:rPr>
          <w:noProof/>
          <w:highlight w:val="white"/>
        </w:rPr>
        <w:drawing>
          <wp:inline distT="0" distB="0" distL="0" distR="0" wp14:anchorId="4907BBA0" wp14:editId="4B6CF792">
            <wp:extent cx="5765165" cy="3154745"/>
            <wp:effectExtent l="0" t="0" r="6985" b="7620"/>
            <wp:docPr id="154617333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846" cy="315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98A98" w14:textId="6C59ED23" w:rsidR="003949CE" w:rsidRPr="008C6FB3" w:rsidRDefault="003949CE" w:rsidP="008C6FB3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color w:val="FF0000"/>
        </w:rPr>
      </w:pPr>
      <w:r>
        <w:rPr>
          <w:highlight w:val="white"/>
        </w:rPr>
        <w:t xml:space="preserve">Fonte: </w:t>
      </w:r>
      <w:r w:rsidR="00701E5F">
        <w:rPr>
          <w:highlight w:val="white"/>
        </w:rPr>
        <w:t>Elaborado pelos autores</w:t>
      </w:r>
      <w:r>
        <w:rPr>
          <w:highlight w:val="white"/>
        </w:rPr>
        <w:t xml:space="preserve">, </w:t>
      </w:r>
      <w:r w:rsidR="00701E5F">
        <w:rPr>
          <w:highlight w:val="white"/>
        </w:rPr>
        <w:t>2024</w:t>
      </w:r>
      <w:r>
        <w:rPr>
          <w:highlight w:val="white"/>
        </w:rPr>
        <w:t xml:space="preserve">. </w:t>
      </w:r>
    </w:p>
    <w:p w14:paraId="7436B3B2" w14:textId="77777777" w:rsidR="003949CE" w:rsidRDefault="003949CE" w:rsidP="008C6FB3">
      <w:pPr>
        <w:widowControl/>
        <w:spacing w:after="160" w:line="259" w:lineRule="auto"/>
        <w:rPr>
          <w:b/>
        </w:rPr>
      </w:pPr>
    </w:p>
    <w:p w14:paraId="7A526D5A" w14:textId="38A0BFC6" w:rsidR="00D75F6C" w:rsidRPr="00D75F6C" w:rsidRDefault="003949CE" w:rsidP="00D75F6C">
      <w:pPr>
        <w:widowControl/>
        <w:spacing w:line="259" w:lineRule="auto"/>
        <w:jc w:val="both"/>
        <w:rPr>
          <w:b/>
          <w:bCs/>
          <w:lang w:val="pt-BR"/>
        </w:rPr>
      </w:pPr>
      <w:r>
        <w:t>Tabela 1</w:t>
      </w:r>
      <w:r>
        <w:rPr>
          <w:b/>
        </w:rPr>
        <w:t xml:space="preserve"> – </w:t>
      </w:r>
      <w:r w:rsidR="00D75F6C" w:rsidRPr="00D75F6C">
        <w:rPr>
          <w:lang w:val="pt-BR"/>
        </w:rPr>
        <w:t>Perfil Epidemiológico d</w:t>
      </w:r>
      <w:r w:rsidR="000D548F">
        <w:rPr>
          <w:lang w:val="pt-BR"/>
        </w:rPr>
        <w:t xml:space="preserve">e </w:t>
      </w:r>
      <w:r w:rsidR="00D75F6C" w:rsidRPr="00D75F6C">
        <w:rPr>
          <w:lang w:val="pt-BR"/>
        </w:rPr>
        <w:t>Leishmaniose Tegumentar </w:t>
      </w:r>
      <w:r w:rsidR="000D548F">
        <w:rPr>
          <w:lang w:val="pt-BR"/>
        </w:rPr>
        <w:t xml:space="preserve">Americana, </w:t>
      </w:r>
      <w:r w:rsidR="00D75F6C" w:rsidRPr="00D75F6C">
        <w:rPr>
          <w:lang w:val="pt-BR"/>
        </w:rPr>
        <w:t>em Castanhal (2011-2022)</w:t>
      </w:r>
      <w:r w:rsidR="00D75F6C">
        <w:rPr>
          <w:lang w:val="pt-BR"/>
        </w:rPr>
        <w:t>.</w:t>
      </w:r>
    </w:p>
    <w:p w14:paraId="036C9FC4" w14:textId="473A1E24" w:rsidR="003949CE" w:rsidRDefault="003949CE" w:rsidP="003949CE">
      <w:pPr>
        <w:widowControl/>
        <w:spacing w:line="259" w:lineRule="auto"/>
        <w:jc w:val="both"/>
        <w:rPr>
          <w:color w:val="FF0000"/>
        </w:rPr>
      </w:pPr>
    </w:p>
    <w:tbl>
      <w:tblPr>
        <w:tblW w:w="9039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663"/>
        <w:gridCol w:w="1272"/>
        <w:gridCol w:w="1417"/>
        <w:gridCol w:w="1560"/>
      </w:tblGrid>
      <w:tr w:rsidR="003949CE" w14:paraId="6A9C4F8B" w14:textId="77777777" w:rsidTr="0085208E">
        <w:trPr>
          <w:trHeight w:val="376"/>
        </w:trPr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7A3FB25" w14:textId="15A18924" w:rsidR="003949CE" w:rsidRDefault="00E8484F" w:rsidP="00585209">
            <w:pPr>
              <w:widowControl/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2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8E66946" w14:textId="68676456" w:rsidR="003949CE" w:rsidRDefault="00E8484F" w:rsidP="00585209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Subcategoria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A616A0F" w14:textId="4507727A" w:rsidR="003949CE" w:rsidRDefault="00E8484F" w:rsidP="00585209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Nº de casos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62EB42B" w14:textId="26D0390C" w:rsidR="003949CE" w:rsidRDefault="00E8484F" w:rsidP="00585209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8C28CB1" w14:textId="111DE55F" w:rsidR="003949CE" w:rsidRDefault="00E8484F" w:rsidP="00585209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p-valor</w:t>
            </w:r>
          </w:p>
        </w:tc>
      </w:tr>
      <w:tr w:rsidR="003949CE" w14:paraId="7AA48FC3" w14:textId="77777777" w:rsidTr="0085208E">
        <w:trPr>
          <w:trHeight w:val="376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/>
          </w:tcPr>
          <w:p w14:paraId="09A48142" w14:textId="6F9F8E4E" w:rsidR="003949CE" w:rsidRDefault="00E8484F" w:rsidP="00585209">
            <w:pPr>
              <w:widowControl/>
              <w:spacing w:after="160" w:line="360" w:lineRule="auto"/>
              <w:jc w:val="both"/>
              <w:rPr>
                <w:b/>
                <w:highlight w:val="yellow"/>
              </w:rPr>
            </w:pPr>
            <w:r w:rsidRPr="00E8484F">
              <w:rPr>
                <w:b/>
                <w:bCs/>
              </w:rPr>
              <w:t>Sexo</w:t>
            </w:r>
          </w:p>
        </w:tc>
        <w:tc>
          <w:tcPr>
            <w:tcW w:w="2663" w:type="dxa"/>
            <w:tcBorders>
              <w:left w:val="nil"/>
              <w:right w:val="nil"/>
            </w:tcBorders>
            <w:shd w:val="clear" w:color="auto" w:fill="FFFFFF"/>
          </w:tcPr>
          <w:p w14:paraId="06FF7AD3" w14:textId="18A22840" w:rsidR="003949CE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Masculino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FFFFFF"/>
          </w:tcPr>
          <w:p w14:paraId="1217ACD3" w14:textId="097A65D6" w:rsidR="003949CE" w:rsidRDefault="00D348CD" w:rsidP="00585209">
            <w:pPr>
              <w:widowControl/>
              <w:spacing w:after="160" w:line="360" w:lineRule="auto"/>
              <w:jc w:val="center"/>
            </w:pPr>
            <w:r>
              <w:t>92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/>
          </w:tcPr>
          <w:p w14:paraId="314DC8A9" w14:textId="0FED5E32" w:rsidR="003949CE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80,70%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1017C31B" w14:textId="361BF334" w:rsidR="003949CE" w:rsidRDefault="00D348CD" w:rsidP="00585209">
            <w:pPr>
              <w:widowControl/>
              <w:spacing w:after="160" w:line="360" w:lineRule="auto"/>
              <w:jc w:val="center"/>
            </w:pPr>
            <w:r>
              <w:t>&lt; 0,0001</w:t>
            </w:r>
          </w:p>
        </w:tc>
      </w:tr>
      <w:tr w:rsidR="003949CE" w14:paraId="52846F40" w14:textId="77777777" w:rsidTr="0085208E">
        <w:trPr>
          <w:trHeight w:val="39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/>
          </w:tcPr>
          <w:p w14:paraId="162C2B72" w14:textId="694DDC71" w:rsidR="003949CE" w:rsidRDefault="003949CE" w:rsidP="00585209">
            <w:pPr>
              <w:widowControl/>
              <w:spacing w:after="160" w:line="360" w:lineRule="auto"/>
              <w:jc w:val="both"/>
              <w:rPr>
                <w:b/>
              </w:rPr>
            </w:pPr>
          </w:p>
        </w:tc>
        <w:tc>
          <w:tcPr>
            <w:tcW w:w="2663" w:type="dxa"/>
            <w:tcBorders>
              <w:left w:val="nil"/>
              <w:right w:val="nil"/>
            </w:tcBorders>
            <w:shd w:val="clear" w:color="auto" w:fill="FFFFFF"/>
          </w:tcPr>
          <w:p w14:paraId="378B74C7" w14:textId="0C3E10FB" w:rsidR="003949CE" w:rsidRDefault="00D348CD" w:rsidP="00585209">
            <w:pPr>
              <w:widowControl/>
              <w:spacing w:after="160" w:line="360" w:lineRule="auto"/>
              <w:jc w:val="center"/>
            </w:pPr>
            <w:r>
              <w:t>Feminino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FFFFFF"/>
          </w:tcPr>
          <w:p w14:paraId="7C0BD141" w14:textId="3A8CE77F" w:rsidR="003949CE" w:rsidRDefault="00D348CD" w:rsidP="00585209">
            <w:pPr>
              <w:widowControl/>
              <w:spacing w:after="160" w:line="360" w:lineRule="auto"/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/>
          </w:tcPr>
          <w:p w14:paraId="6C679815" w14:textId="4B6871DA" w:rsidR="003949CE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19,30%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5D424601" w14:textId="1EECDE86" w:rsidR="003949CE" w:rsidRDefault="003949CE" w:rsidP="00585209">
            <w:pPr>
              <w:widowControl/>
              <w:spacing w:after="160" w:line="360" w:lineRule="auto"/>
              <w:jc w:val="center"/>
            </w:pPr>
          </w:p>
        </w:tc>
      </w:tr>
      <w:tr w:rsidR="003949CE" w14:paraId="40728D7D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3DACD0C1" w14:textId="076D11E1" w:rsidR="003949CE" w:rsidRPr="00D348CD" w:rsidRDefault="00D348CD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  <w:r w:rsidRPr="00D348CD">
              <w:rPr>
                <w:b/>
                <w:bCs/>
              </w:rPr>
              <w:t xml:space="preserve">Faixa Etária </w:t>
            </w:r>
          </w:p>
        </w:tc>
        <w:tc>
          <w:tcPr>
            <w:tcW w:w="2663" w:type="dxa"/>
            <w:shd w:val="clear" w:color="auto" w:fill="FFFFFF"/>
          </w:tcPr>
          <w:p w14:paraId="29D1422C" w14:textId="72C168C7" w:rsidR="003949CE" w:rsidRDefault="00D348CD" w:rsidP="00585209">
            <w:pPr>
              <w:widowControl/>
              <w:spacing w:after="160" w:line="360" w:lineRule="auto"/>
              <w:jc w:val="center"/>
              <w:rPr>
                <w:vertAlign w:val="subscript"/>
              </w:rPr>
            </w:pPr>
            <w:r>
              <w:t>Criança (0-12 anos)</w:t>
            </w:r>
          </w:p>
        </w:tc>
        <w:tc>
          <w:tcPr>
            <w:tcW w:w="1272" w:type="dxa"/>
          </w:tcPr>
          <w:p w14:paraId="5BE46574" w14:textId="3CA7752C" w:rsidR="003949CE" w:rsidRDefault="00D348CD" w:rsidP="00585209">
            <w:pPr>
              <w:widowControl/>
              <w:spacing w:after="160" w:line="36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414FA51" w14:textId="7E7645F8" w:rsidR="003949CE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0,88%</w:t>
            </w:r>
          </w:p>
        </w:tc>
        <w:tc>
          <w:tcPr>
            <w:tcW w:w="1560" w:type="dxa"/>
          </w:tcPr>
          <w:p w14:paraId="13D3D3D7" w14:textId="416DAC18" w:rsidR="003949CE" w:rsidRDefault="00D348CD" w:rsidP="00585209">
            <w:pPr>
              <w:widowControl/>
              <w:spacing w:after="160" w:line="360" w:lineRule="auto"/>
              <w:jc w:val="center"/>
            </w:pPr>
            <w:r>
              <w:t>&lt; 0,0001</w:t>
            </w:r>
          </w:p>
        </w:tc>
      </w:tr>
      <w:tr w:rsidR="00D348CD" w14:paraId="23114043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59E21FB7" w14:textId="77777777" w:rsidR="00D348CD" w:rsidRDefault="00D348CD" w:rsidP="00585209">
            <w:pPr>
              <w:widowControl/>
              <w:spacing w:after="160" w:line="360" w:lineRule="auto"/>
              <w:jc w:val="both"/>
            </w:pPr>
          </w:p>
        </w:tc>
        <w:tc>
          <w:tcPr>
            <w:tcW w:w="2663" w:type="dxa"/>
            <w:shd w:val="clear" w:color="auto" w:fill="FFFFFF"/>
          </w:tcPr>
          <w:p w14:paraId="52E78E1D" w14:textId="69FEAF2B" w:rsidR="00D348CD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Adolescente (13 - 17 anos)</w:t>
            </w:r>
          </w:p>
        </w:tc>
        <w:tc>
          <w:tcPr>
            <w:tcW w:w="1272" w:type="dxa"/>
          </w:tcPr>
          <w:p w14:paraId="1843D830" w14:textId="15761C1A" w:rsidR="00D348CD" w:rsidRDefault="00D348CD" w:rsidP="00585209">
            <w:pPr>
              <w:widowControl/>
              <w:spacing w:after="160" w:line="360" w:lineRule="auto"/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7DC96141" w14:textId="7CD2DD11" w:rsidR="00D348CD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5,26%</w:t>
            </w:r>
          </w:p>
        </w:tc>
        <w:tc>
          <w:tcPr>
            <w:tcW w:w="1560" w:type="dxa"/>
          </w:tcPr>
          <w:p w14:paraId="31A5072E" w14:textId="77777777" w:rsidR="00D348CD" w:rsidRDefault="00D348CD" w:rsidP="00585209">
            <w:pPr>
              <w:widowControl/>
              <w:spacing w:after="160" w:line="360" w:lineRule="auto"/>
              <w:jc w:val="center"/>
            </w:pPr>
          </w:p>
        </w:tc>
      </w:tr>
      <w:tr w:rsidR="00D348CD" w14:paraId="40578AE7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2F8CD691" w14:textId="77777777" w:rsidR="00D348CD" w:rsidRDefault="00D348CD" w:rsidP="00585209">
            <w:pPr>
              <w:widowControl/>
              <w:spacing w:after="160" w:line="360" w:lineRule="auto"/>
              <w:jc w:val="both"/>
            </w:pPr>
          </w:p>
        </w:tc>
        <w:tc>
          <w:tcPr>
            <w:tcW w:w="2663" w:type="dxa"/>
            <w:shd w:val="clear" w:color="auto" w:fill="FFFFFF"/>
          </w:tcPr>
          <w:p w14:paraId="491046D3" w14:textId="48072D1C" w:rsidR="00D348CD" w:rsidRPr="00D348CD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Adulto (18 - 59 anos)</w:t>
            </w:r>
          </w:p>
        </w:tc>
        <w:tc>
          <w:tcPr>
            <w:tcW w:w="1272" w:type="dxa"/>
          </w:tcPr>
          <w:p w14:paraId="1079F7CE" w14:textId="55F051C3" w:rsidR="00D348CD" w:rsidRDefault="00D348CD" w:rsidP="00585209">
            <w:pPr>
              <w:widowControl/>
              <w:spacing w:after="160" w:line="360" w:lineRule="auto"/>
              <w:jc w:val="center"/>
            </w:pPr>
            <w:r>
              <w:t>84</w:t>
            </w:r>
          </w:p>
        </w:tc>
        <w:tc>
          <w:tcPr>
            <w:tcW w:w="1417" w:type="dxa"/>
          </w:tcPr>
          <w:p w14:paraId="32244392" w14:textId="6E67582D" w:rsidR="00D348CD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73,68%</w:t>
            </w:r>
          </w:p>
        </w:tc>
        <w:tc>
          <w:tcPr>
            <w:tcW w:w="1560" w:type="dxa"/>
          </w:tcPr>
          <w:p w14:paraId="3441188C" w14:textId="77777777" w:rsidR="00D348CD" w:rsidRDefault="00D348CD" w:rsidP="00585209">
            <w:pPr>
              <w:widowControl/>
              <w:spacing w:after="160" w:line="360" w:lineRule="auto"/>
              <w:jc w:val="center"/>
            </w:pPr>
          </w:p>
        </w:tc>
      </w:tr>
      <w:tr w:rsidR="00D348CD" w14:paraId="5C4DA3F3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4F216A4F" w14:textId="77777777" w:rsidR="00D348CD" w:rsidRDefault="00D348CD" w:rsidP="00585209">
            <w:pPr>
              <w:widowControl/>
              <w:spacing w:after="160" w:line="360" w:lineRule="auto"/>
              <w:jc w:val="both"/>
            </w:pPr>
          </w:p>
        </w:tc>
        <w:tc>
          <w:tcPr>
            <w:tcW w:w="2663" w:type="dxa"/>
            <w:shd w:val="clear" w:color="auto" w:fill="FFFFFF"/>
          </w:tcPr>
          <w:p w14:paraId="4FF8359C" w14:textId="609D814C" w:rsidR="00D348CD" w:rsidRPr="00D348CD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Idoso (&gt;</w:t>
            </w:r>
            <w:r>
              <w:t xml:space="preserve"> </w:t>
            </w:r>
            <w:r w:rsidRPr="00D348CD">
              <w:t>= 60 anos)</w:t>
            </w:r>
          </w:p>
        </w:tc>
        <w:tc>
          <w:tcPr>
            <w:tcW w:w="1272" w:type="dxa"/>
          </w:tcPr>
          <w:p w14:paraId="002D8482" w14:textId="0C198D94" w:rsidR="00D348CD" w:rsidRDefault="00D348CD" w:rsidP="00585209">
            <w:pPr>
              <w:widowControl/>
              <w:spacing w:after="160" w:line="360" w:lineRule="auto"/>
              <w:jc w:val="center"/>
            </w:pPr>
            <w:r>
              <w:t>23</w:t>
            </w:r>
          </w:p>
        </w:tc>
        <w:tc>
          <w:tcPr>
            <w:tcW w:w="1417" w:type="dxa"/>
          </w:tcPr>
          <w:p w14:paraId="6D4112BD" w14:textId="7DFACB64" w:rsidR="00D348CD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20,18%</w:t>
            </w:r>
          </w:p>
        </w:tc>
        <w:tc>
          <w:tcPr>
            <w:tcW w:w="1560" w:type="dxa"/>
          </w:tcPr>
          <w:p w14:paraId="7478E09C" w14:textId="77777777" w:rsidR="00D348CD" w:rsidRDefault="00D348CD" w:rsidP="00585209">
            <w:pPr>
              <w:widowControl/>
              <w:spacing w:after="160" w:line="360" w:lineRule="auto"/>
              <w:jc w:val="center"/>
            </w:pPr>
          </w:p>
        </w:tc>
      </w:tr>
      <w:tr w:rsidR="00D348CD" w14:paraId="5F6E6747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63D9E27B" w14:textId="08F531EA" w:rsidR="00D348CD" w:rsidRDefault="00D348CD" w:rsidP="00585209">
            <w:pPr>
              <w:widowControl/>
              <w:spacing w:after="160" w:line="360" w:lineRule="auto"/>
              <w:jc w:val="both"/>
            </w:pPr>
            <w:r w:rsidRPr="00D348CD">
              <w:rPr>
                <w:b/>
                <w:bCs/>
              </w:rPr>
              <w:t>Etnia</w:t>
            </w:r>
          </w:p>
        </w:tc>
        <w:tc>
          <w:tcPr>
            <w:tcW w:w="2663" w:type="dxa"/>
            <w:shd w:val="clear" w:color="auto" w:fill="FFFFFF"/>
          </w:tcPr>
          <w:p w14:paraId="38D26CF1" w14:textId="77DA1EBC" w:rsidR="00D348CD" w:rsidRPr="00D348CD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Branca</w:t>
            </w:r>
          </w:p>
        </w:tc>
        <w:tc>
          <w:tcPr>
            <w:tcW w:w="1272" w:type="dxa"/>
          </w:tcPr>
          <w:p w14:paraId="7BAA19D6" w14:textId="65F64A62" w:rsidR="00D348CD" w:rsidRDefault="007706CA" w:rsidP="00585209">
            <w:pPr>
              <w:widowControl/>
              <w:spacing w:after="160" w:line="360" w:lineRule="auto"/>
              <w:jc w:val="center"/>
            </w:pPr>
            <w:r>
              <w:t>17</w:t>
            </w:r>
          </w:p>
        </w:tc>
        <w:tc>
          <w:tcPr>
            <w:tcW w:w="1417" w:type="dxa"/>
          </w:tcPr>
          <w:p w14:paraId="47AE211A" w14:textId="22F4E435" w:rsidR="00D348CD" w:rsidRPr="00D348CD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14,91%</w:t>
            </w:r>
          </w:p>
        </w:tc>
        <w:tc>
          <w:tcPr>
            <w:tcW w:w="1560" w:type="dxa"/>
          </w:tcPr>
          <w:p w14:paraId="7E38ADBF" w14:textId="5AAFA2BE" w:rsidR="00D348CD" w:rsidRDefault="007706CA" w:rsidP="00585209">
            <w:pPr>
              <w:widowControl/>
              <w:spacing w:after="160" w:line="360" w:lineRule="auto"/>
              <w:jc w:val="center"/>
            </w:pPr>
            <w:r>
              <w:t>&lt; 0,0001</w:t>
            </w:r>
          </w:p>
        </w:tc>
      </w:tr>
      <w:tr w:rsidR="00D348CD" w14:paraId="65AAF9AA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4DDEB24B" w14:textId="77777777" w:rsidR="00D348CD" w:rsidRPr="00D348CD" w:rsidRDefault="00D348CD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736AD0F8" w14:textId="280E5608" w:rsidR="00D348CD" w:rsidRPr="00D348CD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Preta</w:t>
            </w:r>
          </w:p>
        </w:tc>
        <w:tc>
          <w:tcPr>
            <w:tcW w:w="1272" w:type="dxa"/>
          </w:tcPr>
          <w:p w14:paraId="63DF9F3F" w14:textId="34908F68" w:rsidR="00D348CD" w:rsidRDefault="007706CA" w:rsidP="00585209">
            <w:pPr>
              <w:widowControl/>
              <w:spacing w:after="160" w:line="360" w:lineRule="auto"/>
              <w:jc w:val="center"/>
            </w:pPr>
            <w:r>
              <w:t>8</w:t>
            </w:r>
          </w:p>
        </w:tc>
        <w:tc>
          <w:tcPr>
            <w:tcW w:w="1417" w:type="dxa"/>
          </w:tcPr>
          <w:p w14:paraId="14ED161F" w14:textId="6807FC66" w:rsidR="00D348CD" w:rsidRPr="00D348CD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7,02%</w:t>
            </w:r>
          </w:p>
        </w:tc>
        <w:tc>
          <w:tcPr>
            <w:tcW w:w="1560" w:type="dxa"/>
          </w:tcPr>
          <w:p w14:paraId="66765BC1" w14:textId="77777777" w:rsidR="00D348CD" w:rsidRDefault="00D348CD" w:rsidP="00585209">
            <w:pPr>
              <w:widowControl/>
              <w:spacing w:after="160" w:line="360" w:lineRule="auto"/>
              <w:jc w:val="center"/>
            </w:pPr>
          </w:p>
        </w:tc>
      </w:tr>
      <w:tr w:rsidR="00D348CD" w14:paraId="70D41F39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3D8AA857" w14:textId="77777777" w:rsidR="00D348CD" w:rsidRPr="00D348CD" w:rsidRDefault="00D348CD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0B68E29B" w14:textId="31FE387B" w:rsidR="00D348CD" w:rsidRPr="00D348CD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Parda</w:t>
            </w:r>
          </w:p>
        </w:tc>
        <w:tc>
          <w:tcPr>
            <w:tcW w:w="1272" w:type="dxa"/>
          </w:tcPr>
          <w:p w14:paraId="51CA1558" w14:textId="5CE0E11D" w:rsidR="00D348CD" w:rsidRDefault="007706CA" w:rsidP="00585209">
            <w:pPr>
              <w:widowControl/>
              <w:spacing w:after="160" w:line="360" w:lineRule="auto"/>
              <w:jc w:val="center"/>
            </w:pPr>
            <w:r>
              <w:t>85</w:t>
            </w:r>
          </w:p>
        </w:tc>
        <w:tc>
          <w:tcPr>
            <w:tcW w:w="1417" w:type="dxa"/>
          </w:tcPr>
          <w:p w14:paraId="50A1C448" w14:textId="312A6540" w:rsidR="00D348CD" w:rsidRPr="00D348CD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74,56%</w:t>
            </w:r>
          </w:p>
        </w:tc>
        <w:tc>
          <w:tcPr>
            <w:tcW w:w="1560" w:type="dxa"/>
          </w:tcPr>
          <w:p w14:paraId="68F3ECE6" w14:textId="77777777" w:rsidR="00D348CD" w:rsidRDefault="00D348CD" w:rsidP="00585209">
            <w:pPr>
              <w:widowControl/>
              <w:spacing w:after="160" w:line="360" w:lineRule="auto"/>
              <w:jc w:val="center"/>
            </w:pPr>
          </w:p>
        </w:tc>
      </w:tr>
      <w:tr w:rsidR="00D348CD" w14:paraId="58534470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67C681F8" w14:textId="77777777" w:rsidR="00D348CD" w:rsidRPr="00D348CD" w:rsidRDefault="00D348CD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4574F3BD" w14:textId="6D13E638" w:rsidR="00D348CD" w:rsidRPr="00D348CD" w:rsidRDefault="00D348CD" w:rsidP="00585209">
            <w:pPr>
              <w:widowControl/>
              <w:spacing w:after="160" w:line="360" w:lineRule="auto"/>
              <w:jc w:val="center"/>
            </w:pPr>
            <w:r w:rsidRPr="00D348CD">
              <w:t>Ignorado</w:t>
            </w:r>
          </w:p>
        </w:tc>
        <w:tc>
          <w:tcPr>
            <w:tcW w:w="1272" w:type="dxa"/>
          </w:tcPr>
          <w:p w14:paraId="32B78209" w14:textId="3A28FE23" w:rsidR="00D348CD" w:rsidRDefault="007706CA" w:rsidP="00585209">
            <w:pPr>
              <w:widowControl/>
              <w:spacing w:after="160" w:line="360" w:lineRule="auto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45046E15" w14:textId="25F87389" w:rsidR="00D348CD" w:rsidRPr="00D348CD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3,51%</w:t>
            </w:r>
          </w:p>
        </w:tc>
        <w:tc>
          <w:tcPr>
            <w:tcW w:w="1560" w:type="dxa"/>
          </w:tcPr>
          <w:p w14:paraId="55FFFB29" w14:textId="77777777" w:rsidR="00D348CD" w:rsidRDefault="00D348CD" w:rsidP="00585209">
            <w:pPr>
              <w:widowControl/>
              <w:spacing w:after="160" w:line="360" w:lineRule="auto"/>
              <w:jc w:val="center"/>
            </w:pPr>
          </w:p>
        </w:tc>
      </w:tr>
      <w:tr w:rsidR="00D348CD" w14:paraId="3EC350C4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4911E608" w14:textId="77777777" w:rsidR="00D348CD" w:rsidRPr="00D348CD" w:rsidRDefault="00D348CD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4EB29786" w14:textId="77777777" w:rsidR="00D348CD" w:rsidRPr="00D348CD" w:rsidRDefault="00D348CD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272" w:type="dxa"/>
          </w:tcPr>
          <w:p w14:paraId="346BC89F" w14:textId="77777777" w:rsidR="00D348CD" w:rsidRDefault="00D348CD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417" w:type="dxa"/>
          </w:tcPr>
          <w:p w14:paraId="25FC468B" w14:textId="77777777" w:rsidR="00D348CD" w:rsidRPr="00D348CD" w:rsidRDefault="00D348CD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560" w:type="dxa"/>
          </w:tcPr>
          <w:p w14:paraId="5A2B009C" w14:textId="77777777" w:rsidR="00D348CD" w:rsidRDefault="00D348CD" w:rsidP="00585209">
            <w:pPr>
              <w:widowControl/>
              <w:spacing w:after="160" w:line="360" w:lineRule="auto"/>
              <w:jc w:val="center"/>
            </w:pPr>
          </w:p>
        </w:tc>
      </w:tr>
      <w:tr w:rsidR="007706CA" w14:paraId="58B5A9C2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4502C935" w14:textId="7475582B" w:rsidR="007706CA" w:rsidRPr="00D348CD" w:rsidRDefault="007706CA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  <w:r w:rsidRPr="007706CA">
              <w:rPr>
                <w:b/>
                <w:bCs/>
              </w:rPr>
              <w:t>Escolaridade</w:t>
            </w:r>
          </w:p>
        </w:tc>
        <w:tc>
          <w:tcPr>
            <w:tcW w:w="2663" w:type="dxa"/>
            <w:shd w:val="clear" w:color="auto" w:fill="FFFFFF"/>
          </w:tcPr>
          <w:p w14:paraId="16EDD305" w14:textId="4E787A2B" w:rsidR="007706CA" w:rsidRPr="00D348CD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Ensino Fundamental</w:t>
            </w:r>
          </w:p>
        </w:tc>
        <w:tc>
          <w:tcPr>
            <w:tcW w:w="1272" w:type="dxa"/>
          </w:tcPr>
          <w:p w14:paraId="3CC51559" w14:textId="14A26FA6" w:rsidR="007706CA" w:rsidRDefault="007706CA" w:rsidP="00585209">
            <w:pPr>
              <w:widowControl/>
              <w:spacing w:after="160" w:line="360" w:lineRule="auto"/>
              <w:jc w:val="center"/>
            </w:pPr>
            <w:r>
              <w:t>69</w:t>
            </w:r>
          </w:p>
        </w:tc>
        <w:tc>
          <w:tcPr>
            <w:tcW w:w="1417" w:type="dxa"/>
          </w:tcPr>
          <w:p w14:paraId="6FD0C973" w14:textId="59E63833" w:rsidR="007706CA" w:rsidRPr="00D348CD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60,53%</w:t>
            </w:r>
          </w:p>
        </w:tc>
        <w:tc>
          <w:tcPr>
            <w:tcW w:w="1560" w:type="dxa"/>
          </w:tcPr>
          <w:p w14:paraId="37CD43FA" w14:textId="3B6F15F3" w:rsidR="007706CA" w:rsidRDefault="007706CA" w:rsidP="00585209">
            <w:pPr>
              <w:widowControl/>
              <w:spacing w:after="160" w:line="360" w:lineRule="auto"/>
              <w:jc w:val="center"/>
            </w:pPr>
            <w:r>
              <w:t>&lt; 0,0001</w:t>
            </w:r>
          </w:p>
        </w:tc>
      </w:tr>
      <w:tr w:rsidR="007706CA" w14:paraId="496B540B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4489F500" w14:textId="77777777" w:rsidR="007706CA" w:rsidRPr="007706CA" w:rsidRDefault="007706CA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7B88CA94" w14:textId="2DFECA06" w:rsidR="007706CA" w:rsidRPr="007706CA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Ensino Médio</w:t>
            </w:r>
          </w:p>
        </w:tc>
        <w:tc>
          <w:tcPr>
            <w:tcW w:w="1272" w:type="dxa"/>
          </w:tcPr>
          <w:p w14:paraId="49D077D7" w14:textId="7BBABCDA" w:rsidR="007706CA" w:rsidRDefault="007706CA" w:rsidP="00585209">
            <w:pPr>
              <w:widowControl/>
              <w:spacing w:after="160" w:line="360" w:lineRule="auto"/>
              <w:jc w:val="center"/>
            </w:pPr>
            <w:r>
              <w:t>17</w:t>
            </w:r>
          </w:p>
        </w:tc>
        <w:tc>
          <w:tcPr>
            <w:tcW w:w="1417" w:type="dxa"/>
          </w:tcPr>
          <w:p w14:paraId="5D92587B" w14:textId="0E366F6C" w:rsidR="007706CA" w:rsidRPr="00D348CD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14,91%</w:t>
            </w:r>
          </w:p>
        </w:tc>
        <w:tc>
          <w:tcPr>
            <w:tcW w:w="1560" w:type="dxa"/>
          </w:tcPr>
          <w:p w14:paraId="52595DAB" w14:textId="77777777" w:rsid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</w:tr>
      <w:tr w:rsidR="007706CA" w14:paraId="6E94468F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2E5CE328" w14:textId="77777777" w:rsidR="007706CA" w:rsidRPr="007706CA" w:rsidRDefault="007706CA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3C833299" w14:textId="16E3F511" w:rsidR="007706CA" w:rsidRPr="007706CA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Ensino Superior</w:t>
            </w:r>
          </w:p>
        </w:tc>
        <w:tc>
          <w:tcPr>
            <w:tcW w:w="1272" w:type="dxa"/>
          </w:tcPr>
          <w:p w14:paraId="1038F2D9" w14:textId="45EBEDBB" w:rsidR="007706CA" w:rsidRDefault="007706CA" w:rsidP="00585209">
            <w:pPr>
              <w:widowControl/>
              <w:spacing w:after="160" w:line="360" w:lineRule="auto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73C92B72" w14:textId="0163754C" w:rsidR="007706CA" w:rsidRPr="00D348CD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2,63%</w:t>
            </w:r>
          </w:p>
        </w:tc>
        <w:tc>
          <w:tcPr>
            <w:tcW w:w="1560" w:type="dxa"/>
          </w:tcPr>
          <w:p w14:paraId="0794B299" w14:textId="77777777" w:rsid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</w:tr>
      <w:tr w:rsidR="007706CA" w14:paraId="62E8948D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71B0A3AD" w14:textId="77777777" w:rsidR="007706CA" w:rsidRPr="007706CA" w:rsidRDefault="007706CA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20840DB9" w14:textId="30C52C51" w:rsidR="007706CA" w:rsidRPr="007706CA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Ignorado</w:t>
            </w:r>
          </w:p>
        </w:tc>
        <w:tc>
          <w:tcPr>
            <w:tcW w:w="1272" w:type="dxa"/>
          </w:tcPr>
          <w:p w14:paraId="050F3F03" w14:textId="73647DCE" w:rsidR="007706CA" w:rsidRDefault="007706CA" w:rsidP="00585209">
            <w:pPr>
              <w:widowControl/>
              <w:spacing w:after="160" w:line="360" w:lineRule="auto"/>
              <w:jc w:val="center"/>
            </w:pPr>
            <w:r>
              <w:t>24</w:t>
            </w:r>
          </w:p>
        </w:tc>
        <w:tc>
          <w:tcPr>
            <w:tcW w:w="1417" w:type="dxa"/>
          </w:tcPr>
          <w:p w14:paraId="34F11089" w14:textId="2398B323" w:rsidR="007706CA" w:rsidRPr="00D348CD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21,05%</w:t>
            </w:r>
          </w:p>
        </w:tc>
        <w:tc>
          <w:tcPr>
            <w:tcW w:w="1560" w:type="dxa"/>
          </w:tcPr>
          <w:p w14:paraId="1F142553" w14:textId="77777777" w:rsid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</w:tr>
      <w:tr w:rsidR="007706CA" w14:paraId="3C3FD585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3A0243DE" w14:textId="77777777" w:rsidR="007706CA" w:rsidRPr="007706CA" w:rsidRDefault="007706CA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03F26BE7" w14:textId="23A19D44" w:rsidR="007706CA" w:rsidRPr="007706CA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Não se Aplica</w:t>
            </w:r>
          </w:p>
        </w:tc>
        <w:tc>
          <w:tcPr>
            <w:tcW w:w="1272" w:type="dxa"/>
          </w:tcPr>
          <w:p w14:paraId="06221EA4" w14:textId="713B2A37" w:rsidR="007706CA" w:rsidRDefault="007706CA" w:rsidP="00585209">
            <w:pPr>
              <w:widowControl/>
              <w:spacing w:after="160" w:line="36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5FE2303" w14:textId="48365531" w:rsidR="007706CA" w:rsidRPr="00D348CD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0,88%</w:t>
            </w:r>
          </w:p>
        </w:tc>
        <w:tc>
          <w:tcPr>
            <w:tcW w:w="1560" w:type="dxa"/>
          </w:tcPr>
          <w:p w14:paraId="61921516" w14:textId="77777777" w:rsid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</w:tr>
      <w:tr w:rsidR="007706CA" w14:paraId="4A268E39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06A88EA6" w14:textId="6D7521C0" w:rsidR="007706CA" w:rsidRPr="007706CA" w:rsidRDefault="007706CA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Ocupação</w:t>
            </w:r>
          </w:p>
        </w:tc>
        <w:tc>
          <w:tcPr>
            <w:tcW w:w="2663" w:type="dxa"/>
            <w:shd w:val="clear" w:color="auto" w:fill="FFFFFF"/>
          </w:tcPr>
          <w:p w14:paraId="0B7534CC" w14:textId="6B15F8DC" w:rsidR="007706CA" w:rsidRPr="007706CA" w:rsidRDefault="007706CA" w:rsidP="00585209">
            <w:pPr>
              <w:widowControl/>
              <w:spacing w:after="160" w:line="360" w:lineRule="auto"/>
              <w:jc w:val="center"/>
            </w:pPr>
            <w:r w:rsidRPr="007706CA">
              <w:t>Garimpeiro</w:t>
            </w:r>
          </w:p>
        </w:tc>
        <w:tc>
          <w:tcPr>
            <w:tcW w:w="1272" w:type="dxa"/>
          </w:tcPr>
          <w:p w14:paraId="2A773C52" w14:textId="629F4D70" w:rsidR="007706CA" w:rsidRDefault="00D75F6C" w:rsidP="00585209">
            <w:pPr>
              <w:widowControl/>
              <w:spacing w:after="160" w:line="360" w:lineRule="auto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3B51D0D5" w14:textId="77777777" w:rsidR="007706CA" w:rsidRP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560" w:type="dxa"/>
          </w:tcPr>
          <w:p w14:paraId="4CC55A50" w14:textId="23CD1B73" w:rsidR="007706CA" w:rsidRDefault="00D75F6C" w:rsidP="00585209">
            <w:pPr>
              <w:widowControl/>
              <w:spacing w:after="160" w:line="360" w:lineRule="auto"/>
              <w:jc w:val="center"/>
            </w:pPr>
            <w:r>
              <w:t>&lt; 0,0001</w:t>
            </w:r>
          </w:p>
        </w:tc>
      </w:tr>
      <w:tr w:rsidR="007706CA" w14:paraId="2BF4EE6A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6DCFD5C0" w14:textId="77777777" w:rsidR="007706CA" w:rsidRDefault="007706CA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5948253A" w14:textId="4F5297D4" w:rsidR="007706CA" w:rsidRPr="007706CA" w:rsidRDefault="007706CA" w:rsidP="00585209">
            <w:pPr>
              <w:widowControl/>
              <w:spacing w:after="160" w:line="360" w:lineRule="auto"/>
              <w:jc w:val="center"/>
            </w:pPr>
            <w:r>
              <w:t>Ignorado</w:t>
            </w:r>
          </w:p>
        </w:tc>
        <w:tc>
          <w:tcPr>
            <w:tcW w:w="1272" w:type="dxa"/>
          </w:tcPr>
          <w:p w14:paraId="3FC9134A" w14:textId="146AB3A8" w:rsidR="007706CA" w:rsidRDefault="00D75F6C" w:rsidP="00585209">
            <w:pPr>
              <w:widowControl/>
              <w:spacing w:after="160" w:line="360" w:lineRule="auto"/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1FF5C2F8" w14:textId="77777777" w:rsidR="007706CA" w:rsidRP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560" w:type="dxa"/>
          </w:tcPr>
          <w:p w14:paraId="324569B4" w14:textId="77777777" w:rsid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</w:tr>
      <w:tr w:rsidR="007706CA" w14:paraId="7CEBEB6E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2743DFD5" w14:textId="77777777" w:rsidR="007706CA" w:rsidRDefault="007706CA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71EEC6A4" w14:textId="2FF0FD7A" w:rsidR="007706CA" w:rsidRDefault="007706CA" w:rsidP="00585209">
            <w:pPr>
              <w:widowControl/>
              <w:spacing w:after="160" w:line="360" w:lineRule="auto"/>
              <w:jc w:val="center"/>
            </w:pPr>
            <w:r>
              <w:t>Trabalhador rural</w:t>
            </w:r>
          </w:p>
        </w:tc>
        <w:tc>
          <w:tcPr>
            <w:tcW w:w="1272" w:type="dxa"/>
          </w:tcPr>
          <w:p w14:paraId="704780BB" w14:textId="73A585A9" w:rsidR="007706CA" w:rsidRDefault="00D75F6C" w:rsidP="00585209">
            <w:pPr>
              <w:widowControl/>
              <w:spacing w:after="160" w:line="360" w:lineRule="auto"/>
              <w:jc w:val="center"/>
            </w:pPr>
            <w:r>
              <w:t>22</w:t>
            </w:r>
          </w:p>
        </w:tc>
        <w:tc>
          <w:tcPr>
            <w:tcW w:w="1417" w:type="dxa"/>
          </w:tcPr>
          <w:p w14:paraId="02226938" w14:textId="77777777" w:rsidR="007706CA" w:rsidRP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560" w:type="dxa"/>
          </w:tcPr>
          <w:p w14:paraId="7D2B3061" w14:textId="77777777" w:rsid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</w:tr>
      <w:tr w:rsidR="007706CA" w14:paraId="0C049A26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04304E7B" w14:textId="77777777" w:rsidR="007706CA" w:rsidRDefault="007706CA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4C3F7B9B" w14:textId="33632F0A" w:rsidR="007706CA" w:rsidRDefault="007706CA" w:rsidP="00585209">
            <w:pPr>
              <w:widowControl/>
              <w:spacing w:after="160" w:line="360" w:lineRule="auto"/>
              <w:jc w:val="center"/>
            </w:pPr>
            <w:r>
              <w:t>Prestador de serviços</w:t>
            </w:r>
          </w:p>
        </w:tc>
        <w:tc>
          <w:tcPr>
            <w:tcW w:w="1272" w:type="dxa"/>
          </w:tcPr>
          <w:p w14:paraId="3A75C89E" w14:textId="629F7DE1" w:rsidR="007706CA" w:rsidRDefault="00D75F6C" w:rsidP="00585209">
            <w:pPr>
              <w:widowControl/>
              <w:spacing w:after="160" w:line="360" w:lineRule="auto"/>
              <w:jc w:val="center"/>
            </w:pPr>
            <w:r>
              <w:t>22</w:t>
            </w:r>
          </w:p>
        </w:tc>
        <w:tc>
          <w:tcPr>
            <w:tcW w:w="1417" w:type="dxa"/>
          </w:tcPr>
          <w:p w14:paraId="539E3109" w14:textId="77777777" w:rsidR="007706CA" w:rsidRP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560" w:type="dxa"/>
          </w:tcPr>
          <w:p w14:paraId="76CC05BA" w14:textId="77777777" w:rsid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</w:tr>
      <w:tr w:rsidR="007706CA" w14:paraId="4619C3CA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3F016D6E" w14:textId="77777777" w:rsidR="007706CA" w:rsidRDefault="007706CA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34CFFB8A" w14:textId="7CFE6DFB" w:rsidR="007706CA" w:rsidRDefault="0085208E" w:rsidP="00585209">
            <w:pPr>
              <w:widowControl/>
              <w:spacing w:after="160" w:line="360" w:lineRule="auto"/>
              <w:jc w:val="center"/>
            </w:pPr>
            <w:r>
              <w:t>Pescador</w:t>
            </w:r>
          </w:p>
        </w:tc>
        <w:tc>
          <w:tcPr>
            <w:tcW w:w="1272" w:type="dxa"/>
          </w:tcPr>
          <w:p w14:paraId="29F1AA29" w14:textId="555A35F7" w:rsidR="007706CA" w:rsidRDefault="00D75F6C" w:rsidP="00585209">
            <w:pPr>
              <w:widowControl/>
              <w:spacing w:after="160" w:line="360" w:lineRule="auto"/>
              <w:jc w:val="center"/>
            </w:pPr>
            <w:r>
              <w:t>22</w:t>
            </w:r>
          </w:p>
        </w:tc>
        <w:tc>
          <w:tcPr>
            <w:tcW w:w="1417" w:type="dxa"/>
          </w:tcPr>
          <w:p w14:paraId="3719B63F" w14:textId="77777777" w:rsidR="007706CA" w:rsidRP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560" w:type="dxa"/>
          </w:tcPr>
          <w:p w14:paraId="70715012" w14:textId="77777777" w:rsidR="007706CA" w:rsidRDefault="007706CA" w:rsidP="00585209">
            <w:pPr>
              <w:widowControl/>
              <w:spacing w:after="160" w:line="360" w:lineRule="auto"/>
              <w:jc w:val="center"/>
            </w:pPr>
          </w:p>
        </w:tc>
      </w:tr>
      <w:tr w:rsidR="0085208E" w14:paraId="2844C05F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6B7339B4" w14:textId="27F03E08" w:rsidR="0085208E" w:rsidRDefault="0085208E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Área</w:t>
            </w:r>
            <w:r w:rsidRPr="0085208E">
              <w:rPr>
                <w:b/>
                <w:bCs/>
              </w:rPr>
              <w:t> de Residência</w:t>
            </w:r>
          </w:p>
        </w:tc>
        <w:tc>
          <w:tcPr>
            <w:tcW w:w="2663" w:type="dxa"/>
            <w:shd w:val="clear" w:color="auto" w:fill="FFFFFF"/>
          </w:tcPr>
          <w:p w14:paraId="3E79950B" w14:textId="1C43787E" w:rsidR="0085208E" w:rsidRDefault="0085208E" w:rsidP="00585209">
            <w:pPr>
              <w:widowControl/>
              <w:spacing w:after="160" w:line="360" w:lineRule="auto"/>
              <w:jc w:val="center"/>
            </w:pPr>
            <w:r>
              <w:t>Não se aplica</w:t>
            </w:r>
          </w:p>
        </w:tc>
        <w:tc>
          <w:tcPr>
            <w:tcW w:w="1272" w:type="dxa"/>
          </w:tcPr>
          <w:p w14:paraId="59579B24" w14:textId="00D5247E" w:rsidR="0085208E" w:rsidRDefault="00D75F6C" w:rsidP="00585209">
            <w:pPr>
              <w:widowControl/>
              <w:spacing w:after="160" w:line="360" w:lineRule="auto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0E78D3F" w14:textId="77777777" w:rsidR="0085208E" w:rsidRPr="007706CA" w:rsidRDefault="0085208E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560" w:type="dxa"/>
          </w:tcPr>
          <w:p w14:paraId="1E226336" w14:textId="1E058CB7" w:rsidR="0085208E" w:rsidRDefault="00D75F6C" w:rsidP="00585209">
            <w:pPr>
              <w:widowControl/>
              <w:spacing w:after="160" w:line="360" w:lineRule="auto"/>
              <w:jc w:val="center"/>
            </w:pPr>
            <w:r>
              <w:t>&lt; 0,0001</w:t>
            </w:r>
          </w:p>
        </w:tc>
      </w:tr>
      <w:tr w:rsidR="0085208E" w14:paraId="51449870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56075686" w14:textId="77777777" w:rsidR="0085208E" w:rsidRDefault="0085208E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728F2925" w14:textId="036E854E" w:rsidR="0085208E" w:rsidRDefault="0085208E" w:rsidP="00585209">
            <w:pPr>
              <w:widowControl/>
              <w:spacing w:after="160" w:line="360" w:lineRule="auto"/>
              <w:jc w:val="center"/>
            </w:pPr>
            <w:r>
              <w:t>Rural</w:t>
            </w:r>
          </w:p>
        </w:tc>
        <w:tc>
          <w:tcPr>
            <w:tcW w:w="1272" w:type="dxa"/>
          </w:tcPr>
          <w:p w14:paraId="792A61CE" w14:textId="056404E0" w:rsidR="0085208E" w:rsidRDefault="00D75F6C" w:rsidP="00585209">
            <w:pPr>
              <w:widowControl/>
              <w:spacing w:after="160" w:line="360" w:lineRule="auto"/>
              <w:jc w:val="center"/>
            </w:pPr>
            <w:r>
              <w:t>32</w:t>
            </w:r>
          </w:p>
        </w:tc>
        <w:tc>
          <w:tcPr>
            <w:tcW w:w="1417" w:type="dxa"/>
          </w:tcPr>
          <w:p w14:paraId="69F7154B" w14:textId="77777777" w:rsidR="0085208E" w:rsidRPr="007706CA" w:rsidRDefault="0085208E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560" w:type="dxa"/>
          </w:tcPr>
          <w:p w14:paraId="46F8C905" w14:textId="77777777" w:rsidR="0085208E" w:rsidRDefault="0085208E" w:rsidP="00585209">
            <w:pPr>
              <w:widowControl/>
              <w:spacing w:after="160" w:line="360" w:lineRule="auto"/>
              <w:jc w:val="center"/>
            </w:pPr>
          </w:p>
        </w:tc>
      </w:tr>
      <w:tr w:rsidR="0085208E" w14:paraId="1ADB2F90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313B9C4D" w14:textId="77777777" w:rsidR="0085208E" w:rsidRDefault="0085208E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56E7FAE8" w14:textId="235E4D6E" w:rsidR="0085208E" w:rsidRDefault="0085208E" w:rsidP="00585209">
            <w:pPr>
              <w:widowControl/>
              <w:spacing w:after="160" w:line="360" w:lineRule="auto"/>
              <w:jc w:val="center"/>
            </w:pPr>
            <w:r>
              <w:t>Urbana</w:t>
            </w:r>
          </w:p>
        </w:tc>
        <w:tc>
          <w:tcPr>
            <w:tcW w:w="1272" w:type="dxa"/>
          </w:tcPr>
          <w:p w14:paraId="1C917452" w14:textId="663AB431" w:rsidR="0085208E" w:rsidRDefault="00D75F6C" w:rsidP="00585209">
            <w:pPr>
              <w:widowControl/>
              <w:spacing w:after="160" w:line="360" w:lineRule="auto"/>
              <w:jc w:val="center"/>
            </w:pPr>
            <w:r>
              <w:t>80</w:t>
            </w:r>
          </w:p>
        </w:tc>
        <w:tc>
          <w:tcPr>
            <w:tcW w:w="1417" w:type="dxa"/>
          </w:tcPr>
          <w:p w14:paraId="13281FB2" w14:textId="77777777" w:rsidR="0085208E" w:rsidRPr="007706CA" w:rsidRDefault="0085208E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560" w:type="dxa"/>
          </w:tcPr>
          <w:p w14:paraId="0554A218" w14:textId="77777777" w:rsidR="0085208E" w:rsidRDefault="0085208E" w:rsidP="00585209">
            <w:pPr>
              <w:widowControl/>
              <w:spacing w:after="160" w:line="360" w:lineRule="auto"/>
              <w:jc w:val="center"/>
            </w:pPr>
          </w:p>
        </w:tc>
      </w:tr>
      <w:tr w:rsidR="0085208E" w14:paraId="361D1FBB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2486245D" w14:textId="677AC369" w:rsidR="0085208E" w:rsidRDefault="0085208E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  <w:r w:rsidRPr="0085208E">
              <w:rPr>
                <w:b/>
                <w:bCs/>
              </w:rPr>
              <w:t>Quadro evolutivo</w:t>
            </w:r>
          </w:p>
        </w:tc>
        <w:tc>
          <w:tcPr>
            <w:tcW w:w="2663" w:type="dxa"/>
            <w:shd w:val="clear" w:color="auto" w:fill="FFFFFF"/>
          </w:tcPr>
          <w:p w14:paraId="492DCA71" w14:textId="4264F70E" w:rsidR="0085208E" w:rsidRDefault="0085208E" w:rsidP="00585209">
            <w:pPr>
              <w:widowControl/>
              <w:spacing w:after="160" w:line="360" w:lineRule="auto"/>
              <w:jc w:val="center"/>
            </w:pPr>
            <w:r>
              <w:t xml:space="preserve">Tratamento </w:t>
            </w:r>
            <w:r w:rsidR="002E1E9D">
              <w:t>de cura</w:t>
            </w:r>
          </w:p>
        </w:tc>
        <w:tc>
          <w:tcPr>
            <w:tcW w:w="1272" w:type="dxa"/>
          </w:tcPr>
          <w:p w14:paraId="7CBC35E7" w14:textId="734472FA" w:rsidR="0085208E" w:rsidRDefault="0085208E" w:rsidP="00585209">
            <w:pPr>
              <w:widowControl/>
              <w:spacing w:after="160" w:line="360" w:lineRule="auto"/>
              <w:jc w:val="center"/>
            </w:pPr>
            <w:r>
              <w:t>92</w:t>
            </w:r>
          </w:p>
        </w:tc>
        <w:tc>
          <w:tcPr>
            <w:tcW w:w="1417" w:type="dxa"/>
          </w:tcPr>
          <w:p w14:paraId="5B6CCB7D" w14:textId="77777777" w:rsidR="0085208E" w:rsidRPr="007706CA" w:rsidRDefault="0085208E" w:rsidP="00585209">
            <w:pPr>
              <w:widowControl/>
              <w:spacing w:after="160" w:line="360" w:lineRule="auto"/>
              <w:jc w:val="center"/>
            </w:pPr>
          </w:p>
        </w:tc>
        <w:tc>
          <w:tcPr>
            <w:tcW w:w="1560" w:type="dxa"/>
          </w:tcPr>
          <w:p w14:paraId="77C75BE4" w14:textId="19426676" w:rsidR="0085208E" w:rsidRDefault="00D75F6C" w:rsidP="00585209">
            <w:pPr>
              <w:widowControl/>
              <w:spacing w:after="160" w:line="360" w:lineRule="auto"/>
              <w:jc w:val="center"/>
            </w:pPr>
            <w:r>
              <w:t>&lt; 0,0001</w:t>
            </w:r>
          </w:p>
        </w:tc>
      </w:tr>
      <w:tr w:rsidR="0085208E" w14:paraId="0BAD03CB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7AB2F70D" w14:textId="77777777" w:rsidR="0085208E" w:rsidRPr="0085208E" w:rsidRDefault="0085208E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3EBCB33F" w14:textId="35AF5FE4" w:rsidR="0085208E" w:rsidRDefault="0085208E" w:rsidP="00585209">
            <w:pPr>
              <w:widowControl/>
              <w:spacing w:after="160" w:line="360" w:lineRule="auto"/>
              <w:jc w:val="center"/>
            </w:pPr>
            <w:r>
              <w:t>Abandono do tratamento</w:t>
            </w:r>
          </w:p>
        </w:tc>
        <w:tc>
          <w:tcPr>
            <w:tcW w:w="1272" w:type="dxa"/>
          </w:tcPr>
          <w:p w14:paraId="683545BC" w14:textId="23FBD70F" w:rsidR="0085208E" w:rsidRDefault="0085208E" w:rsidP="00585209">
            <w:pPr>
              <w:widowControl/>
              <w:spacing w:after="160" w:line="36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5EC132EF" w14:textId="16AE396B" w:rsidR="0085208E" w:rsidRPr="007706CA" w:rsidRDefault="0085208E" w:rsidP="00585209">
            <w:pPr>
              <w:widowControl/>
              <w:spacing w:after="160" w:line="360" w:lineRule="auto"/>
              <w:jc w:val="center"/>
            </w:pPr>
            <w:r w:rsidRPr="0085208E">
              <w:t>0,88%</w:t>
            </w:r>
          </w:p>
        </w:tc>
        <w:tc>
          <w:tcPr>
            <w:tcW w:w="1560" w:type="dxa"/>
          </w:tcPr>
          <w:p w14:paraId="34CBDB68" w14:textId="77777777" w:rsidR="0085208E" w:rsidRDefault="0085208E" w:rsidP="00585209">
            <w:pPr>
              <w:widowControl/>
              <w:spacing w:after="160" w:line="360" w:lineRule="auto"/>
              <w:jc w:val="center"/>
            </w:pPr>
          </w:p>
        </w:tc>
      </w:tr>
      <w:tr w:rsidR="0085208E" w14:paraId="74A58B67" w14:textId="77777777" w:rsidTr="0085208E">
        <w:trPr>
          <w:trHeight w:val="291"/>
        </w:trPr>
        <w:tc>
          <w:tcPr>
            <w:tcW w:w="2127" w:type="dxa"/>
            <w:shd w:val="clear" w:color="auto" w:fill="FFFFFF"/>
          </w:tcPr>
          <w:p w14:paraId="7C0457FC" w14:textId="77777777" w:rsidR="0085208E" w:rsidRPr="0085208E" w:rsidRDefault="0085208E" w:rsidP="00585209">
            <w:pPr>
              <w:widowControl/>
              <w:spacing w:after="160" w:line="360" w:lineRule="auto"/>
              <w:jc w:val="both"/>
              <w:rPr>
                <w:b/>
                <w:bCs/>
              </w:rPr>
            </w:pPr>
          </w:p>
        </w:tc>
        <w:tc>
          <w:tcPr>
            <w:tcW w:w="2663" w:type="dxa"/>
            <w:shd w:val="clear" w:color="auto" w:fill="FFFFFF"/>
          </w:tcPr>
          <w:p w14:paraId="4DB0680A" w14:textId="0650CEED" w:rsidR="0085208E" w:rsidRDefault="0085208E" w:rsidP="00585209">
            <w:pPr>
              <w:widowControl/>
              <w:spacing w:after="160" w:line="360" w:lineRule="auto"/>
              <w:jc w:val="center"/>
            </w:pPr>
            <w:r>
              <w:t>Tratamento ignorado</w:t>
            </w:r>
          </w:p>
        </w:tc>
        <w:tc>
          <w:tcPr>
            <w:tcW w:w="1272" w:type="dxa"/>
          </w:tcPr>
          <w:p w14:paraId="03942D77" w14:textId="42A464DE" w:rsidR="0085208E" w:rsidRDefault="0085208E" w:rsidP="00585209">
            <w:pPr>
              <w:widowControl/>
              <w:spacing w:after="160" w:line="360" w:lineRule="auto"/>
              <w:jc w:val="center"/>
            </w:pPr>
            <w:r>
              <w:t>21</w:t>
            </w:r>
          </w:p>
        </w:tc>
        <w:tc>
          <w:tcPr>
            <w:tcW w:w="1417" w:type="dxa"/>
          </w:tcPr>
          <w:p w14:paraId="66A0DBEF" w14:textId="230154F9" w:rsidR="0085208E" w:rsidRPr="007706CA" w:rsidRDefault="0085208E" w:rsidP="00585209">
            <w:pPr>
              <w:widowControl/>
              <w:spacing w:after="160" w:line="360" w:lineRule="auto"/>
              <w:jc w:val="center"/>
            </w:pPr>
            <w:r w:rsidRPr="0085208E">
              <w:t>18,42%</w:t>
            </w:r>
          </w:p>
        </w:tc>
        <w:tc>
          <w:tcPr>
            <w:tcW w:w="1560" w:type="dxa"/>
          </w:tcPr>
          <w:p w14:paraId="44225862" w14:textId="77777777" w:rsidR="0085208E" w:rsidRDefault="0085208E" w:rsidP="00585209">
            <w:pPr>
              <w:widowControl/>
              <w:spacing w:after="160" w:line="360" w:lineRule="auto"/>
              <w:jc w:val="center"/>
            </w:pPr>
          </w:p>
        </w:tc>
      </w:tr>
    </w:tbl>
    <w:p w14:paraId="05AAB899" w14:textId="1860B96E" w:rsidR="003949CE" w:rsidRDefault="003949CE" w:rsidP="003949CE">
      <w:pPr>
        <w:widowControl/>
        <w:spacing w:before="120" w:line="259" w:lineRule="auto"/>
        <w:jc w:val="both"/>
        <w:rPr>
          <w:color w:val="FF0000"/>
        </w:rPr>
      </w:pPr>
      <w:r>
        <w:t>Fonte:</w:t>
      </w:r>
      <w:r>
        <w:rPr>
          <w:b/>
        </w:rPr>
        <w:t xml:space="preserve"> </w:t>
      </w:r>
      <w:r w:rsidR="00D75F6C">
        <w:rPr>
          <w:bCs/>
        </w:rPr>
        <w:t>Elaborado pelos autores, 2024.</w:t>
      </w:r>
    </w:p>
    <w:p w14:paraId="087E438F" w14:textId="77777777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</w:p>
    <w:p w14:paraId="1620F976" w14:textId="3BEC3261" w:rsidR="004F33DF" w:rsidRPr="004F33DF" w:rsidRDefault="004F33DF" w:rsidP="00596FED">
      <w:pPr>
        <w:widowControl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Após a</w:t>
      </w:r>
      <w:r w:rsidRPr="004F33DF">
        <w:rPr>
          <w:bCs/>
          <w:sz w:val="24"/>
          <w:szCs w:val="24"/>
        </w:rPr>
        <w:t xml:space="preserve"> análise </w:t>
      </w:r>
      <w:r>
        <w:rPr>
          <w:bCs/>
          <w:sz w:val="24"/>
          <w:szCs w:val="24"/>
        </w:rPr>
        <w:t xml:space="preserve">dos </w:t>
      </w:r>
      <w:r w:rsidRPr="004F33DF">
        <w:rPr>
          <w:bCs/>
          <w:sz w:val="24"/>
          <w:szCs w:val="24"/>
        </w:rPr>
        <w:t>casos de Leishmaniose Tegumentar Americana (LTA) no município de Castanhal entre 2011 e 2022 revelou uma oscilação na incidência da doença, com variações no número de casos ao longo do período, mas com uma tendência linear de queda (y = -</w:t>
      </w:r>
      <w:r w:rsidR="00E73D91">
        <w:rPr>
          <w:bCs/>
          <w:sz w:val="24"/>
          <w:szCs w:val="24"/>
        </w:rPr>
        <w:t>1</w:t>
      </w:r>
      <w:r w:rsidRPr="004F33DF">
        <w:rPr>
          <w:bCs/>
          <w:sz w:val="24"/>
          <w:szCs w:val="24"/>
        </w:rPr>
        <w:t>,0</w:t>
      </w:r>
      <w:r w:rsidR="00E73D91">
        <w:rPr>
          <w:bCs/>
          <w:sz w:val="24"/>
          <w:szCs w:val="24"/>
        </w:rPr>
        <w:t>035</w:t>
      </w:r>
      <w:r w:rsidRPr="004F33DF">
        <w:rPr>
          <w:bCs/>
          <w:sz w:val="24"/>
          <w:szCs w:val="24"/>
        </w:rPr>
        <w:t xml:space="preserve">x + </w:t>
      </w:r>
      <w:r w:rsidR="00E73D91">
        <w:rPr>
          <w:bCs/>
          <w:sz w:val="24"/>
          <w:szCs w:val="24"/>
        </w:rPr>
        <w:t>2</w:t>
      </w:r>
      <w:r w:rsidRPr="004F33DF">
        <w:rPr>
          <w:bCs/>
          <w:sz w:val="24"/>
          <w:szCs w:val="24"/>
        </w:rPr>
        <w:t>03</w:t>
      </w:r>
      <w:r w:rsidR="00E73D91">
        <w:rPr>
          <w:bCs/>
          <w:sz w:val="24"/>
          <w:szCs w:val="24"/>
        </w:rPr>
        <w:t>4,3</w:t>
      </w:r>
      <w:r w:rsidRPr="004F33DF">
        <w:rPr>
          <w:bCs/>
          <w:sz w:val="24"/>
          <w:szCs w:val="24"/>
        </w:rPr>
        <w:t>; R² = 0,</w:t>
      </w:r>
      <w:r w:rsidR="00E73D91">
        <w:rPr>
          <w:bCs/>
          <w:sz w:val="24"/>
          <w:szCs w:val="24"/>
        </w:rPr>
        <w:t>62</w:t>
      </w:r>
      <w:r w:rsidRPr="004F33DF">
        <w:rPr>
          <w:bCs/>
          <w:sz w:val="24"/>
          <w:szCs w:val="24"/>
        </w:rPr>
        <w:t>). Essa tendência pode indicar que as medidas de controle e prevenção têm sido parcialmente eficazes, mas ainda é necessário aprimorar as estratégias para um maior impacto</w:t>
      </w:r>
    </w:p>
    <w:p w14:paraId="79257D15" w14:textId="4DB75DD6" w:rsidR="004F33DF" w:rsidRPr="004F33DF" w:rsidRDefault="00E73D91" w:rsidP="00E73D91">
      <w:pPr>
        <w:widowControl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F33DF" w:rsidRPr="004F33DF">
        <w:rPr>
          <w:bCs/>
          <w:sz w:val="24"/>
          <w:szCs w:val="24"/>
        </w:rPr>
        <w:t>A distribuição por sexo mostrou que a maioria dos casos foi registrada entre os homens (80,70%), sugerindo uma maior exposição ocupacional ou comportamental entre eles. Isso pode estar relacionado ao fato de que muitas atividades laborais masculinas, como o trabalho rural e extrativista, aumentam o risco de contato com o vetor da doença. Em termos de faixa etária, a maioria dos casos ocorreu em adultos (73,68%), seguidos por idosos (20,18%), com menor incidência entre crianças e adolescentes. Este padrão etário indica que a exposição ao vetor é mais frequente em adultos, possivelmente devido às atividades laborais e de lazer realizadas em áreas de risco.</w:t>
      </w:r>
    </w:p>
    <w:p w14:paraId="62F8A1DE" w14:textId="52C13EBD" w:rsidR="004F33DF" w:rsidRPr="004F33DF" w:rsidRDefault="00E73D91" w:rsidP="00E73D91">
      <w:pPr>
        <w:widowControl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F33DF" w:rsidRPr="004F33DF">
        <w:rPr>
          <w:bCs/>
          <w:sz w:val="24"/>
          <w:szCs w:val="24"/>
        </w:rPr>
        <w:t>A distribuição por etnia e escolaridade revelou que a maioria dos casos foi registrada entre indivíduos de etnia parda (74,56%) e com ensino fundamental (60,53%). Esses dados sugerem possíveis relações com condições socioeconômicas e de acesso à educação, onde populações mais vulneráveis podem ter menos acesso a informações e medidas preventivas contra a LTA. Quanto à ocupação, trabalhadores rurais e extrativistas representaram a maior parte dos casos (50,00%), confirmando a relação direta entre essas atividades e a exposição ao vetor.</w:t>
      </w:r>
    </w:p>
    <w:p w14:paraId="38CC2089" w14:textId="277E5DC5" w:rsidR="004F33DF" w:rsidRPr="004F33DF" w:rsidRDefault="00E73D91" w:rsidP="00E73D91">
      <w:pPr>
        <w:widowControl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F33DF" w:rsidRPr="004F33DF">
        <w:rPr>
          <w:bCs/>
          <w:sz w:val="24"/>
          <w:szCs w:val="24"/>
        </w:rPr>
        <w:t>A análise por zona de residência mostrou que a maioria dos casos foi registrada na zona urbana (70,18%). Isso pode indicar uma migração do vetor para áreas urbanas ou uma maior notificação de casos urbanos devido ao acesso mais fácil aos serviços de saúde nessas áreas. Por fim, a evolução da doença mostrou que a maioria dos casos resultou em</w:t>
      </w:r>
      <w:r w:rsidR="002E1E9D">
        <w:rPr>
          <w:bCs/>
          <w:sz w:val="24"/>
          <w:szCs w:val="24"/>
        </w:rPr>
        <w:t xml:space="preserve"> tratamento de</w:t>
      </w:r>
      <w:r w:rsidR="004F33DF" w:rsidRPr="004F33DF">
        <w:rPr>
          <w:bCs/>
          <w:sz w:val="24"/>
          <w:szCs w:val="24"/>
        </w:rPr>
        <w:t xml:space="preserve"> cura (80,70%), enquanto uma pequena </w:t>
      </w:r>
      <w:r w:rsidRPr="004F33DF">
        <w:rPr>
          <w:bCs/>
          <w:sz w:val="24"/>
          <w:szCs w:val="24"/>
        </w:rPr>
        <w:t>percentagem</w:t>
      </w:r>
      <w:r w:rsidR="004F33DF" w:rsidRPr="004F33DF">
        <w:rPr>
          <w:bCs/>
          <w:sz w:val="24"/>
          <w:szCs w:val="24"/>
        </w:rPr>
        <w:t xml:space="preserve"> abandonou o tratamento (0,88%) ou teve seu quadro evolutivo ignorado (18,42%).</w:t>
      </w:r>
    </w:p>
    <w:p w14:paraId="3B2A9CA1" w14:textId="0C7C489C" w:rsidR="004F33DF" w:rsidRDefault="00E73D91" w:rsidP="00E73D91">
      <w:pPr>
        <w:widowControl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O</w:t>
      </w:r>
      <w:r w:rsidR="004F33DF" w:rsidRPr="004F33DF">
        <w:rPr>
          <w:bCs/>
          <w:sz w:val="24"/>
          <w:szCs w:val="24"/>
        </w:rPr>
        <w:t xml:space="preserve"> perfil epidemiológico dos casos de LTA em Castanhal revela uma prevalência maior entre homens adultos de etnia parda, com ensino fundamental, e trabalhadores rurais. A análise sugere uma tendência de queda na incidência ao longo dos anos e destaca a importância de estratégias focadas em grupos de risco específicos para o controle e prevenção da doença.</w:t>
      </w:r>
    </w:p>
    <w:p w14:paraId="0113C357" w14:textId="77777777" w:rsidR="00E73D91" w:rsidRPr="004F33DF" w:rsidRDefault="00E73D91" w:rsidP="00E73D91">
      <w:pPr>
        <w:widowControl/>
        <w:spacing w:line="360" w:lineRule="auto"/>
        <w:jc w:val="both"/>
        <w:rPr>
          <w:bCs/>
          <w:sz w:val="24"/>
          <w:szCs w:val="24"/>
        </w:rPr>
      </w:pPr>
    </w:p>
    <w:p w14:paraId="6EF26A43" w14:textId="64249710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>4. CONSIDERAÇÕES FINAIS</w:t>
      </w:r>
    </w:p>
    <w:p w14:paraId="0C70AF0D" w14:textId="72F702A4" w:rsidR="000D548F" w:rsidRPr="000D548F" w:rsidRDefault="003949CE" w:rsidP="000D548F">
      <w:pPr>
        <w:widowControl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548F" w:rsidRPr="000D548F">
        <w:rPr>
          <w:sz w:val="24"/>
          <w:szCs w:val="24"/>
        </w:rPr>
        <w:t>A Leishmaniose Tegumentar Americana (LTA) continua a representar um grave problema de saúde pública em diversas regiões, inclusive no Brasil. Este estudo foi conduzido com o objetivo de analisar o impacto dos fatores ambientais na disseminação da LTA em Castanhal, Pará, oferecendo uma abordagem epidemiológica detalhada para melhor compreensão da doença.</w:t>
      </w:r>
    </w:p>
    <w:p w14:paraId="20CBA151" w14:textId="092D3462" w:rsidR="000D548F" w:rsidRPr="000D548F" w:rsidRDefault="000D548F" w:rsidP="000D548F">
      <w:pPr>
        <w:widowControl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548F">
        <w:rPr>
          <w:sz w:val="24"/>
          <w:szCs w:val="24"/>
        </w:rPr>
        <w:t>Inicialmente, a hipótese estabelecida foi de que variáveis ambientais, como desmatamento, urbanização desordenada, mudanças climáticas e práticas agrícolas inadequadas, influenciam significativamente a propagação da LTA em Castanhal. Ao longo do estudo, foram coletados dados de 114 casos de LTA entre 2011 e 2022, e observou-se uma tendência de queda na incidência da doença, apesar das oscilações anuais.</w:t>
      </w:r>
    </w:p>
    <w:p w14:paraId="59C59EEC" w14:textId="263F4F2C" w:rsidR="000D548F" w:rsidRPr="000D548F" w:rsidRDefault="000D548F" w:rsidP="000D548F">
      <w:pPr>
        <w:widowControl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548F">
        <w:rPr>
          <w:sz w:val="24"/>
          <w:szCs w:val="24"/>
        </w:rPr>
        <w:t>Os objetivos do estudo foram em grande parte alcançados, permitindo identificar os principais fatores ambientais relacionados à transmissão da LTA e entender como esses fatores interagem para aumentar o risco de infecção. Os resultados indicaram que homens adultos de etnia parda, com ensino fundamental e trabalhadores rurais, são os grupos mais afetados, reforçando a necessidade de intervenções focadas nesses grupos.</w:t>
      </w:r>
    </w:p>
    <w:p w14:paraId="6985AC37" w14:textId="65CD0DF8" w:rsidR="000D548F" w:rsidRPr="000D548F" w:rsidRDefault="000D548F" w:rsidP="000D548F">
      <w:pPr>
        <w:widowControl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548F">
        <w:rPr>
          <w:sz w:val="24"/>
          <w:szCs w:val="24"/>
        </w:rPr>
        <w:t>Os próximos passos da pesquisa incluem a implementação de estratégias de controle mais eficazes e direcionadas, além da realização de estudos adicionais para monitorar a evolução da doença e avaliar a eficácia das intervenções propostas. Durante a pesquisa, algumas dificuldades foram encontradas, como a falta de dados consistentes e atualizados sobre a doença e a resistência de certas populações em participar de estudos epidemiológicos. Essas limitações destacam a importância de melhorar a coleta de dados e a comunicação com a comunidade.</w:t>
      </w:r>
    </w:p>
    <w:p w14:paraId="75FB19BC" w14:textId="6E9F14E3" w:rsidR="000D548F" w:rsidRPr="000D548F" w:rsidRDefault="000D548F" w:rsidP="000D548F">
      <w:pPr>
        <w:widowControl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548F">
        <w:rPr>
          <w:sz w:val="24"/>
          <w:szCs w:val="24"/>
        </w:rPr>
        <w:t>Para pesquisas futuras, recomenda-se uma abordagem mais integrada que combine a análise de fatores ambientais com estudos de comportamento humano e condições socioeconômicas. Além disso, o desenvolvimento de tecnologias de monitoramento e prevenção mais avançadas pode contribuir significativamente para o controle da LTA.</w:t>
      </w:r>
    </w:p>
    <w:p w14:paraId="05746633" w14:textId="67F13DE0" w:rsidR="003949CE" w:rsidRDefault="000D548F" w:rsidP="000D548F">
      <w:pPr>
        <w:widowControl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548F">
        <w:rPr>
          <w:sz w:val="24"/>
          <w:szCs w:val="24"/>
        </w:rPr>
        <w:t>Em suma, este estudo forneceu uma base sólida para compreender a relação entre fatores ambientais e a disseminação da Leishmaniose Tegumentar em Castanhal. As descobertas destacam a importância de estratégias focadas em grupos de risco específicos e a necessidade contínua de pesquisa e inovação para combater essa doença negligenciada de maneira eficaz.</w:t>
      </w:r>
    </w:p>
    <w:p w14:paraId="066A17D4" w14:textId="77777777" w:rsidR="00465EF7" w:rsidRDefault="00465EF7" w:rsidP="000D548F">
      <w:pPr>
        <w:widowControl/>
        <w:tabs>
          <w:tab w:val="left" w:pos="699"/>
        </w:tabs>
        <w:spacing w:line="360" w:lineRule="auto"/>
        <w:jc w:val="both"/>
        <w:rPr>
          <w:sz w:val="24"/>
          <w:szCs w:val="24"/>
        </w:rPr>
      </w:pPr>
    </w:p>
    <w:p w14:paraId="193BDC00" w14:textId="77777777" w:rsidR="00465EF7" w:rsidRDefault="00465EF7" w:rsidP="000D548F">
      <w:pPr>
        <w:widowControl/>
        <w:tabs>
          <w:tab w:val="left" w:pos="699"/>
        </w:tabs>
        <w:spacing w:line="360" w:lineRule="auto"/>
        <w:jc w:val="both"/>
        <w:rPr>
          <w:b/>
          <w:sz w:val="24"/>
          <w:szCs w:val="24"/>
        </w:rPr>
      </w:pPr>
    </w:p>
    <w:p w14:paraId="6604F70C" w14:textId="5A9F50AB" w:rsidR="00465EF7" w:rsidRPr="00465EF7" w:rsidRDefault="003949CE" w:rsidP="00465EF7">
      <w:pPr>
        <w:widowControl/>
        <w:tabs>
          <w:tab w:val="left" w:pos="1290"/>
        </w:tabs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678678A6" w14:textId="77777777" w:rsidR="00465EF7" w:rsidRDefault="00465EF7" w:rsidP="009F008B">
      <w:pPr>
        <w:jc w:val="both"/>
        <w:rPr>
          <w:sz w:val="24"/>
          <w:szCs w:val="24"/>
        </w:rPr>
      </w:pPr>
      <w:r w:rsidRPr="00465EF7">
        <w:rPr>
          <w:sz w:val="24"/>
          <w:szCs w:val="24"/>
        </w:rPr>
        <w:t xml:space="preserve">ABRANTES, T. R. et al. Fatores ambientais associados à ocorrência de leishmaniose visceral canina em uma área de recente introdução da doença no Estado do Rio de Janeiro, Brasil. </w:t>
      </w:r>
      <w:r w:rsidRPr="00465EF7">
        <w:rPr>
          <w:b/>
          <w:bCs/>
          <w:sz w:val="24"/>
          <w:szCs w:val="24"/>
        </w:rPr>
        <w:t>Cadernos de Saúde Pública,</w:t>
      </w:r>
      <w:r w:rsidRPr="00465EF7">
        <w:rPr>
          <w:sz w:val="24"/>
          <w:szCs w:val="24"/>
        </w:rPr>
        <w:t xml:space="preserve"> v. 34, n. 1, p. e00021117, 2018.</w:t>
      </w:r>
    </w:p>
    <w:p w14:paraId="272CE72A" w14:textId="77777777" w:rsidR="00465EF7" w:rsidRPr="00465EF7" w:rsidRDefault="00465EF7" w:rsidP="009F008B">
      <w:pPr>
        <w:jc w:val="both"/>
        <w:rPr>
          <w:sz w:val="24"/>
          <w:szCs w:val="24"/>
        </w:rPr>
      </w:pPr>
    </w:p>
    <w:p w14:paraId="2CCF6AB9" w14:textId="77777777" w:rsidR="00465EF7" w:rsidRDefault="00465EF7" w:rsidP="009F008B">
      <w:pPr>
        <w:jc w:val="both"/>
        <w:rPr>
          <w:sz w:val="24"/>
          <w:szCs w:val="24"/>
        </w:rPr>
      </w:pPr>
      <w:r w:rsidRPr="00465EF7">
        <w:rPr>
          <w:sz w:val="24"/>
          <w:szCs w:val="24"/>
        </w:rPr>
        <w:t xml:space="preserve">ALMEIDA, Lorena Sampaio, Cota, Ana Lídia Soares e Rodrigues, Diego Freitas. Saneamento, Arboviroses e Determinantes Ambientais: impactos na saúde urbana. </w:t>
      </w:r>
      <w:r w:rsidRPr="00465EF7">
        <w:rPr>
          <w:b/>
          <w:bCs/>
          <w:sz w:val="24"/>
          <w:szCs w:val="24"/>
        </w:rPr>
        <w:t>Ciência &amp; Saúde Coletiva</w:t>
      </w:r>
      <w:r w:rsidRPr="00465EF7">
        <w:rPr>
          <w:sz w:val="24"/>
          <w:szCs w:val="24"/>
        </w:rPr>
        <w:t xml:space="preserve"> [online]. v. 25, n. 10 [Acessado 24 outubro 2024], pp. 3857-3868. https://doi.org/10.1590/1413-812320202510.30712018.</w:t>
      </w:r>
    </w:p>
    <w:p w14:paraId="08A8D3C5" w14:textId="77777777" w:rsidR="00465EF7" w:rsidRPr="00465EF7" w:rsidRDefault="00465EF7" w:rsidP="009F008B">
      <w:pPr>
        <w:jc w:val="both"/>
        <w:rPr>
          <w:sz w:val="24"/>
          <w:szCs w:val="24"/>
        </w:rPr>
      </w:pPr>
    </w:p>
    <w:p w14:paraId="2C3DFCB2" w14:textId="77777777" w:rsidR="00465EF7" w:rsidRDefault="00465EF7" w:rsidP="009F008B">
      <w:pPr>
        <w:jc w:val="both"/>
        <w:rPr>
          <w:sz w:val="24"/>
          <w:szCs w:val="24"/>
        </w:rPr>
      </w:pPr>
      <w:r w:rsidRPr="00465EF7">
        <w:rPr>
          <w:sz w:val="24"/>
          <w:szCs w:val="24"/>
        </w:rPr>
        <w:t xml:space="preserve">BENCHIMOL, J. L. Leishmaniases of the New World from a historical and global perspective, from the 1930s to the 1960s. </w:t>
      </w:r>
      <w:r w:rsidRPr="00465EF7">
        <w:rPr>
          <w:b/>
          <w:bCs/>
          <w:sz w:val="24"/>
          <w:szCs w:val="24"/>
        </w:rPr>
        <w:t>História, Ciências, Saúde-Manguinhos</w:t>
      </w:r>
      <w:r w:rsidRPr="00465EF7">
        <w:rPr>
          <w:sz w:val="24"/>
          <w:szCs w:val="24"/>
        </w:rPr>
        <w:t>, v. 27, p. 95–122, set. 2020.</w:t>
      </w:r>
    </w:p>
    <w:p w14:paraId="74878D7B" w14:textId="77777777" w:rsidR="00465EF7" w:rsidRPr="00465EF7" w:rsidRDefault="00465EF7" w:rsidP="009F008B">
      <w:pPr>
        <w:jc w:val="both"/>
        <w:rPr>
          <w:sz w:val="24"/>
          <w:szCs w:val="24"/>
        </w:rPr>
      </w:pPr>
    </w:p>
    <w:p w14:paraId="6114090F" w14:textId="77777777" w:rsidR="00465EF7" w:rsidRDefault="00465EF7" w:rsidP="002E1E9D">
      <w:pPr>
        <w:jc w:val="both"/>
        <w:rPr>
          <w:sz w:val="24"/>
          <w:szCs w:val="24"/>
        </w:rPr>
      </w:pPr>
      <w:r w:rsidRPr="00465EF7">
        <w:rPr>
          <w:sz w:val="24"/>
          <w:szCs w:val="24"/>
        </w:rPr>
        <w:t xml:space="preserve">BRASIL. Ministério da Saúde. Secretaria de Vigilância em Saúde. Departamento de Vigilância Epidemiológica. </w:t>
      </w:r>
      <w:r w:rsidRPr="00465EF7">
        <w:rPr>
          <w:b/>
          <w:bCs/>
          <w:sz w:val="24"/>
          <w:szCs w:val="24"/>
        </w:rPr>
        <w:t>Manual de Vigilância da Leishmaniose Tegumentar Americana / Ministério da Saúde</w:t>
      </w:r>
      <w:r w:rsidRPr="00465EF7">
        <w:rPr>
          <w:sz w:val="24"/>
          <w:szCs w:val="24"/>
        </w:rPr>
        <w:t>, Secretaria de Vigilância em Saúde, Departamento de Vigilância Epidemiológica. – 2. ed. – Brasília: Editora do Ministério da Saúde, 2007. 182 p. – (Série A. Normas e Manuais Técnicos).</w:t>
      </w:r>
    </w:p>
    <w:p w14:paraId="617503AA" w14:textId="77777777" w:rsidR="00465EF7" w:rsidRPr="00465EF7" w:rsidRDefault="00465EF7" w:rsidP="002E1E9D">
      <w:pPr>
        <w:jc w:val="both"/>
        <w:rPr>
          <w:sz w:val="24"/>
          <w:szCs w:val="24"/>
        </w:rPr>
      </w:pPr>
    </w:p>
    <w:p w14:paraId="58AC80D4" w14:textId="52534E23" w:rsidR="00465EF7" w:rsidRDefault="00465EF7" w:rsidP="009F008B">
      <w:pPr>
        <w:jc w:val="both"/>
        <w:rPr>
          <w:sz w:val="24"/>
          <w:szCs w:val="24"/>
        </w:rPr>
      </w:pPr>
      <w:r w:rsidRPr="00465EF7">
        <w:rPr>
          <w:sz w:val="24"/>
          <w:szCs w:val="24"/>
        </w:rPr>
        <w:t>CARVALHO AS, Silva JCM, Carrera RVO, Ribeiro WO. Segregação Socioespacial e Direito à Cidade: Uma Análise do Setor Sudeste de Castanhal-Pa. Rev Inst Hist Geo Pará. 2019;06(02):41-60.</w:t>
      </w:r>
    </w:p>
    <w:p w14:paraId="515234E5" w14:textId="77777777" w:rsidR="00465EF7" w:rsidRPr="00465EF7" w:rsidRDefault="00465EF7" w:rsidP="009F008B">
      <w:pPr>
        <w:jc w:val="both"/>
        <w:rPr>
          <w:sz w:val="24"/>
          <w:szCs w:val="24"/>
        </w:rPr>
      </w:pPr>
    </w:p>
    <w:p w14:paraId="6CD732EF" w14:textId="77777777" w:rsidR="00465EF7" w:rsidRPr="00465EF7" w:rsidRDefault="00465EF7" w:rsidP="009F008B">
      <w:pPr>
        <w:jc w:val="both"/>
        <w:rPr>
          <w:sz w:val="24"/>
          <w:szCs w:val="24"/>
        </w:rPr>
      </w:pPr>
      <w:r w:rsidRPr="00465EF7">
        <w:rPr>
          <w:sz w:val="24"/>
          <w:szCs w:val="24"/>
        </w:rPr>
        <w:t xml:space="preserve">FREITAS. Guilherme B. L. DE. </w:t>
      </w:r>
      <w:r w:rsidRPr="00465EF7">
        <w:rPr>
          <w:b/>
          <w:bCs/>
          <w:sz w:val="24"/>
          <w:szCs w:val="24"/>
        </w:rPr>
        <w:t>Imunologia e Doenças Infecciosas e Parasitárias</w:t>
      </w:r>
      <w:r w:rsidRPr="00465EF7">
        <w:rPr>
          <w:sz w:val="24"/>
          <w:szCs w:val="24"/>
        </w:rPr>
        <w:t>. FREITAS, G.B.L. de; ALMEIDA, C.C. de. - Irati: Pasteur, 2024. 1 livro digital; 164 p.; ed. I; il.</w:t>
      </w:r>
    </w:p>
    <w:p w14:paraId="16C9E693" w14:textId="77777777" w:rsidR="00465EF7" w:rsidRDefault="00465EF7" w:rsidP="009F008B">
      <w:pPr>
        <w:jc w:val="both"/>
        <w:rPr>
          <w:sz w:val="24"/>
          <w:szCs w:val="24"/>
        </w:rPr>
      </w:pPr>
      <w:r w:rsidRPr="00465EF7">
        <w:rPr>
          <w:sz w:val="24"/>
          <w:szCs w:val="24"/>
        </w:rPr>
        <w:t>Organização Pan-Americana da Saúde (OPAS). Leishmanioses: Informe Epidemiológico das Américas, No. 11 (dezembro 2022). Washington (DC); 2022.</w:t>
      </w:r>
    </w:p>
    <w:p w14:paraId="771AA58E" w14:textId="77777777" w:rsidR="00465EF7" w:rsidRDefault="00465EF7" w:rsidP="009F008B">
      <w:pPr>
        <w:jc w:val="both"/>
        <w:rPr>
          <w:sz w:val="24"/>
          <w:szCs w:val="24"/>
        </w:rPr>
      </w:pPr>
    </w:p>
    <w:p w14:paraId="5780D394" w14:textId="77777777" w:rsidR="00465EF7" w:rsidRPr="00465EF7" w:rsidRDefault="00465EF7" w:rsidP="009F008B">
      <w:pPr>
        <w:jc w:val="both"/>
        <w:rPr>
          <w:sz w:val="24"/>
          <w:szCs w:val="24"/>
        </w:rPr>
      </w:pPr>
    </w:p>
    <w:p w14:paraId="7C9F04AD" w14:textId="77777777" w:rsidR="00596FED" w:rsidRDefault="00596FED" w:rsidP="009F008B">
      <w:pPr>
        <w:jc w:val="both"/>
      </w:pPr>
    </w:p>
    <w:p w14:paraId="4A17ADEE" w14:textId="77777777" w:rsidR="00C563DD" w:rsidRDefault="00C563DD" w:rsidP="002E1E9D">
      <w:pPr>
        <w:jc w:val="both"/>
      </w:pPr>
    </w:p>
    <w:p w14:paraId="6A32BE0C" w14:textId="77777777" w:rsidR="00C563DD" w:rsidRPr="003949CE" w:rsidRDefault="00C563DD" w:rsidP="002E1E9D">
      <w:pPr>
        <w:jc w:val="both"/>
      </w:pPr>
    </w:p>
    <w:sectPr w:rsidR="00C563DD" w:rsidRPr="003949CE" w:rsidSect="005A1575">
      <w:headerReference w:type="default" r:id="rId8"/>
      <w:footerReference w:type="default" r:id="rId9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EA82C" w14:textId="77777777" w:rsidR="00AA1A6D" w:rsidRDefault="00AA1A6D" w:rsidP="005A1575">
      <w:r>
        <w:separator/>
      </w:r>
    </w:p>
  </w:endnote>
  <w:endnote w:type="continuationSeparator" w:id="0">
    <w:p w14:paraId="634EA7B5" w14:textId="77777777" w:rsidR="00AA1A6D" w:rsidRDefault="00AA1A6D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E4EA" w14:textId="32DC6FA7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717CF" w14:textId="77777777" w:rsidR="00AA1A6D" w:rsidRDefault="00AA1A6D" w:rsidP="005A1575">
      <w:r>
        <w:separator/>
      </w:r>
    </w:p>
  </w:footnote>
  <w:footnote w:type="continuationSeparator" w:id="0">
    <w:p w14:paraId="55DD2846" w14:textId="77777777" w:rsidR="00AA1A6D" w:rsidRDefault="00AA1A6D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45640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21940"/>
    <w:rsid w:val="00051265"/>
    <w:rsid w:val="000D548F"/>
    <w:rsid w:val="0012705C"/>
    <w:rsid w:val="001846E6"/>
    <w:rsid w:val="002727D2"/>
    <w:rsid w:val="002E1E9D"/>
    <w:rsid w:val="002E7315"/>
    <w:rsid w:val="0031571D"/>
    <w:rsid w:val="003169C6"/>
    <w:rsid w:val="00323872"/>
    <w:rsid w:val="00352C2D"/>
    <w:rsid w:val="003949CE"/>
    <w:rsid w:val="003D2D00"/>
    <w:rsid w:val="00440B68"/>
    <w:rsid w:val="00462010"/>
    <w:rsid w:val="00465EF7"/>
    <w:rsid w:val="004B3806"/>
    <w:rsid w:val="004E409D"/>
    <w:rsid w:val="004F33DF"/>
    <w:rsid w:val="00585209"/>
    <w:rsid w:val="00596FED"/>
    <w:rsid w:val="005A1575"/>
    <w:rsid w:val="005D54AB"/>
    <w:rsid w:val="006458BF"/>
    <w:rsid w:val="00694E4B"/>
    <w:rsid w:val="00701E5F"/>
    <w:rsid w:val="007113F4"/>
    <w:rsid w:val="007706CA"/>
    <w:rsid w:val="007B00E2"/>
    <w:rsid w:val="007B20B5"/>
    <w:rsid w:val="00836259"/>
    <w:rsid w:val="0085208E"/>
    <w:rsid w:val="008B7562"/>
    <w:rsid w:val="008C6FB3"/>
    <w:rsid w:val="008D2719"/>
    <w:rsid w:val="00920754"/>
    <w:rsid w:val="009F008B"/>
    <w:rsid w:val="00A32D14"/>
    <w:rsid w:val="00A52233"/>
    <w:rsid w:val="00AA1A6D"/>
    <w:rsid w:val="00AC76EC"/>
    <w:rsid w:val="00B005D0"/>
    <w:rsid w:val="00B13EDB"/>
    <w:rsid w:val="00B2699B"/>
    <w:rsid w:val="00B50874"/>
    <w:rsid w:val="00B75D4C"/>
    <w:rsid w:val="00BD261C"/>
    <w:rsid w:val="00BE789C"/>
    <w:rsid w:val="00C563DD"/>
    <w:rsid w:val="00C65621"/>
    <w:rsid w:val="00CA2471"/>
    <w:rsid w:val="00CB0FA5"/>
    <w:rsid w:val="00D3031D"/>
    <w:rsid w:val="00D348CD"/>
    <w:rsid w:val="00D75F6C"/>
    <w:rsid w:val="00DA7F37"/>
    <w:rsid w:val="00DB5854"/>
    <w:rsid w:val="00E0106F"/>
    <w:rsid w:val="00E440EC"/>
    <w:rsid w:val="00E73D91"/>
    <w:rsid w:val="00E8484F"/>
    <w:rsid w:val="00EB6253"/>
    <w:rsid w:val="00F33792"/>
    <w:rsid w:val="00F46632"/>
    <w:rsid w:val="00F56A34"/>
    <w:rsid w:val="00F948A7"/>
    <w:rsid w:val="00FC643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6BC7DD"/>
  <w15:docId w15:val="{35A5F573-C1FB-4784-991B-596DCB82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5F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D27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271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5F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2272</Words>
  <Characters>12274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Marcos Vinicius Afonso Cabral</cp:lastModifiedBy>
  <cp:revision>4</cp:revision>
  <dcterms:created xsi:type="dcterms:W3CDTF">2024-10-14T23:16:00Z</dcterms:created>
  <dcterms:modified xsi:type="dcterms:W3CDTF">2024-10-30T23:05:00Z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