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0E71" w14:textId="77777777" w:rsidR="002704C5" w:rsidRDefault="002704C5">
      <w:pPr>
        <w:pBdr>
          <w:top w:val="nil"/>
          <w:left w:val="nil"/>
          <w:bottom w:val="nil"/>
          <w:right w:val="nil"/>
          <w:between w:val="nil"/>
        </w:pBdr>
        <w:spacing w:before="220"/>
        <w:rPr>
          <w:color w:val="000000"/>
          <w:sz w:val="20"/>
          <w:szCs w:val="20"/>
        </w:rPr>
      </w:pPr>
    </w:p>
    <w:p w14:paraId="52D7EF4C" w14:textId="77777777" w:rsidR="002704C5" w:rsidRDefault="00000000">
      <w:pPr>
        <w:pBdr>
          <w:top w:val="nil"/>
          <w:left w:val="nil"/>
          <w:bottom w:val="nil"/>
          <w:right w:val="nil"/>
          <w:between w:val="nil"/>
        </w:pBdr>
        <w:ind w:left="8988"/>
        <w:rPr>
          <w:color w:val="000000"/>
          <w:sz w:val="20"/>
          <w:szCs w:val="20"/>
        </w:rPr>
      </w:pPr>
      <w:r>
        <w:rPr>
          <w:noProof/>
          <w:color w:val="000000"/>
          <w:sz w:val="20"/>
          <w:szCs w:val="20"/>
        </w:rPr>
        <w:drawing>
          <wp:inline distT="0" distB="0" distL="0" distR="0" wp14:anchorId="4B53A794" wp14:editId="6350B453">
            <wp:extent cx="1453366" cy="1447514"/>
            <wp:effectExtent l="0" t="0" r="0" b="0"/>
            <wp:docPr id="10490038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53366" cy="1447514"/>
                    </a:xfrm>
                    <a:prstGeom prst="rect">
                      <a:avLst/>
                    </a:prstGeom>
                    <a:ln/>
                  </pic:spPr>
                </pic:pic>
              </a:graphicData>
            </a:graphic>
          </wp:inline>
        </w:drawing>
      </w:r>
    </w:p>
    <w:p w14:paraId="4104262E" w14:textId="77777777" w:rsidR="002704C5" w:rsidRDefault="002704C5">
      <w:pPr>
        <w:pBdr>
          <w:top w:val="nil"/>
          <w:left w:val="nil"/>
          <w:bottom w:val="nil"/>
          <w:right w:val="nil"/>
          <w:between w:val="nil"/>
        </w:pBdr>
        <w:rPr>
          <w:color w:val="000000"/>
          <w:sz w:val="28"/>
          <w:szCs w:val="28"/>
        </w:rPr>
      </w:pPr>
    </w:p>
    <w:p w14:paraId="573977F2" w14:textId="77777777" w:rsidR="002704C5" w:rsidRDefault="00000000">
      <w:pPr>
        <w:pBdr>
          <w:top w:val="nil"/>
          <w:left w:val="nil"/>
          <w:bottom w:val="nil"/>
          <w:right w:val="nil"/>
          <w:between w:val="nil"/>
        </w:pBdr>
        <w:ind w:left="14" w:firstLine="14"/>
        <w:rPr>
          <w:b/>
          <w:sz w:val="28"/>
          <w:szCs w:val="28"/>
        </w:rPr>
      </w:pPr>
      <w:r>
        <w:rPr>
          <w:noProof/>
        </w:rPr>
        <mc:AlternateContent>
          <mc:Choice Requires="wpg">
            <w:drawing>
              <wp:anchor distT="0" distB="0" distL="0" distR="0" simplePos="0" relativeHeight="251658240" behindDoc="0" locked="0" layoutInCell="1" hidden="0" allowOverlap="1" wp14:anchorId="2A22D302" wp14:editId="1505BB10">
                <wp:simplePos x="0" y="0"/>
                <wp:positionH relativeFrom="column">
                  <wp:posOffset>0</wp:posOffset>
                </wp:positionH>
                <wp:positionV relativeFrom="paragraph">
                  <wp:posOffset>76200</wp:posOffset>
                </wp:positionV>
                <wp:extent cx="7226935" cy="260350"/>
                <wp:effectExtent l="0" t="0" r="0" b="0"/>
                <wp:wrapNone/>
                <wp:docPr id="1049003828" name="Forma Livre: Forma 1049003828"/>
                <wp:cNvGraphicFramePr/>
                <a:graphic xmlns:a="http://schemas.openxmlformats.org/drawingml/2006/main">
                  <a:graphicData uri="http://schemas.microsoft.com/office/word/2010/wordprocessingShape">
                    <wps:wsp>
                      <wps:cNvSpPr/>
                      <wps:spPr>
                        <a:xfrm>
                          <a:off x="1751583" y="3668875"/>
                          <a:ext cx="7188834" cy="222250"/>
                        </a:xfrm>
                        <a:custGeom>
                          <a:avLst/>
                          <a:gdLst/>
                          <a:ahLst/>
                          <a:cxnLst/>
                          <a:rect l="l" t="t" r="r" b="b"/>
                          <a:pathLst>
                            <a:path w="7188834" h="222250" extrusionOk="0">
                              <a:moveTo>
                                <a:pt x="7188291" y="222032"/>
                              </a:moveTo>
                              <a:lnTo>
                                <a:pt x="0" y="222032"/>
                              </a:lnTo>
                              <a:lnTo>
                                <a:pt x="0" y="0"/>
                              </a:lnTo>
                              <a:lnTo>
                                <a:pt x="7188291" y="0"/>
                              </a:lnTo>
                              <a:lnTo>
                                <a:pt x="7188291" y="222032"/>
                              </a:lnTo>
                              <a:close/>
                            </a:path>
                          </a:pathLst>
                        </a:custGeom>
                        <a:solidFill>
                          <a:srgbClr val="4F2B1B"/>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76200</wp:posOffset>
                </wp:positionV>
                <wp:extent cx="7226935" cy="260350"/>
                <wp:effectExtent b="0" l="0" r="0" t="0"/>
                <wp:wrapNone/>
                <wp:docPr id="104900382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226935" cy="260350"/>
                        </a:xfrm>
                        <a:prstGeom prst="rect"/>
                        <a:ln/>
                      </pic:spPr>
                    </pic:pic>
                  </a:graphicData>
                </a:graphic>
              </wp:anchor>
            </w:drawing>
          </mc:Fallback>
        </mc:AlternateContent>
      </w:r>
    </w:p>
    <w:p w14:paraId="52BB5275" w14:textId="77777777" w:rsidR="002704C5" w:rsidRDefault="002704C5">
      <w:pPr>
        <w:pBdr>
          <w:top w:val="nil"/>
          <w:left w:val="nil"/>
          <w:bottom w:val="nil"/>
          <w:right w:val="nil"/>
          <w:between w:val="nil"/>
        </w:pBdr>
        <w:ind w:left="14" w:firstLine="14"/>
        <w:rPr>
          <w:b/>
          <w:sz w:val="28"/>
          <w:szCs w:val="28"/>
        </w:rPr>
      </w:pPr>
    </w:p>
    <w:p w14:paraId="775740A5" w14:textId="77777777" w:rsidR="002704C5" w:rsidRDefault="00000000">
      <w:pPr>
        <w:pBdr>
          <w:top w:val="nil"/>
          <w:left w:val="nil"/>
          <w:bottom w:val="nil"/>
          <w:right w:val="nil"/>
          <w:between w:val="nil"/>
        </w:pBdr>
        <w:ind w:left="14"/>
        <w:rPr>
          <w:b/>
          <w:i/>
          <w:sz w:val="28"/>
          <w:szCs w:val="28"/>
        </w:rPr>
      </w:pPr>
      <w:bookmarkStart w:id="0" w:name="_heading=h.rqszqov40e4y" w:colFirst="0" w:colLast="0"/>
      <w:bookmarkEnd w:id="0"/>
      <w:r>
        <w:rPr>
          <w:b/>
          <w:sz w:val="28"/>
          <w:szCs w:val="28"/>
        </w:rPr>
        <w:t xml:space="preserve">Constituintes Químicos e Atividade Antifúngica de Extratos do Fungo </w:t>
      </w:r>
      <w:r>
        <w:rPr>
          <w:b/>
          <w:i/>
          <w:sz w:val="28"/>
          <w:szCs w:val="28"/>
        </w:rPr>
        <w:t>Calonectria sp</w:t>
      </w:r>
      <w:r>
        <w:rPr>
          <w:b/>
          <w:sz w:val="28"/>
          <w:szCs w:val="28"/>
        </w:rPr>
        <w:t xml:space="preserve">. contra  o fungo </w:t>
      </w:r>
      <w:r>
        <w:rPr>
          <w:b/>
          <w:i/>
          <w:sz w:val="28"/>
          <w:szCs w:val="28"/>
        </w:rPr>
        <w:t>Hemileia vastatrix</w:t>
      </w:r>
      <w:r>
        <w:rPr>
          <w:b/>
          <w:sz w:val="28"/>
          <w:szCs w:val="28"/>
        </w:rPr>
        <w:t>, causador da ferrugem-do-café</w:t>
      </w:r>
    </w:p>
    <w:p w14:paraId="6957FA97" w14:textId="77777777" w:rsidR="002704C5" w:rsidRDefault="00000000">
      <w:pPr>
        <w:pBdr>
          <w:top w:val="nil"/>
          <w:left w:val="nil"/>
          <w:bottom w:val="nil"/>
          <w:right w:val="nil"/>
          <w:between w:val="nil"/>
        </w:pBdr>
        <w:ind w:left="14" w:firstLine="14"/>
        <w:jc w:val="both"/>
        <w:rPr>
          <w:b/>
          <w:sz w:val="20"/>
          <w:szCs w:val="20"/>
        </w:rPr>
      </w:pPr>
      <w:r>
        <w:rPr>
          <w:b/>
          <w:sz w:val="20"/>
          <w:szCs w:val="20"/>
        </w:rPr>
        <w:t>Gustavo S. F. De Souza¹ (PG), Bruno W. Ferreira</w:t>
      </w:r>
      <w:r>
        <w:rPr>
          <w:b/>
          <w:sz w:val="20"/>
          <w:szCs w:val="20"/>
          <w:vertAlign w:val="superscript"/>
        </w:rPr>
        <w:t>2</w:t>
      </w:r>
      <w:r>
        <w:rPr>
          <w:b/>
          <w:sz w:val="20"/>
          <w:szCs w:val="20"/>
        </w:rPr>
        <w:t xml:space="preserve"> (PG), Cristiane A. Franco</w:t>
      </w:r>
      <w:r>
        <w:rPr>
          <w:b/>
          <w:sz w:val="20"/>
          <w:szCs w:val="20"/>
          <w:vertAlign w:val="superscript"/>
        </w:rPr>
        <w:t>1</w:t>
      </w:r>
      <w:r>
        <w:rPr>
          <w:b/>
          <w:sz w:val="20"/>
          <w:szCs w:val="20"/>
        </w:rPr>
        <w:t xml:space="preserve"> (PG), Matheus S. Mendonça</w:t>
      </w:r>
      <w:r>
        <w:rPr>
          <w:b/>
          <w:sz w:val="20"/>
          <w:szCs w:val="20"/>
          <w:vertAlign w:val="superscript"/>
        </w:rPr>
        <w:t>1</w:t>
      </w:r>
      <w:r>
        <w:rPr>
          <w:b/>
          <w:sz w:val="20"/>
          <w:szCs w:val="20"/>
        </w:rPr>
        <w:t xml:space="preserve"> (G), Laura Saavedra-Tobar</w:t>
      </w:r>
      <w:r>
        <w:rPr>
          <w:b/>
          <w:sz w:val="20"/>
          <w:szCs w:val="20"/>
          <w:vertAlign w:val="superscript"/>
        </w:rPr>
        <w:t>2</w:t>
      </w:r>
      <w:r>
        <w:rPr>
          <w:b/>
          <w:sz w:val="20"/>
          <w:szCs w:val="20"/>
        </w:rPr>
        <w:t xml:space="preserve"> (PQ), Jodieh O. S. Varejão</w:t>
      </w:r>
      <w:r>
        <w:rPr>
          <w:b/>
          <w:sz w:val="20"/>
          <w:szCs w:val="20"/>
          <w:vertAlign w:val="superscript"/>
        </w:rPr>
        <w:t>1</w:t>
      </w:r>
      <w:r>
        <w:rPr>
          <w:b/>
          <w:sz w:val="20"/>
          <w:szCs w:val="20"/>
        </w:rPr>
        <w:t xml:space="preserve"> (PQ), Robert W. Barreto</w:t>
      </w:r>
      <w:r>
        <w:rPr>
          <w:b/>
          <w:sz w:val="20"/>
          <w:szCs w:val="20"/>
          <w:vertAlign w:val="superscript"/>
        </w:rPr>
        <w:t>2</w:t>
      </w:r>
      <w:r>
        <w:rPr>
          <w:b/>
          <w:sz w:val="20"/>
          <w:szCs w:val="20"/>
        </w:rPr>
        <w:t xml:space="preserve"> (PQ), Eduardo V. V. Varejão</w:t>
      </w:r>
      <w:r>
        <w:rPr>
          <w:b/>
          <w:sz w:val="20"/>
          <w:szCs w:val="20"/>
          <w:vertAlign w:val="superscript"/>
        </w:rPr>
        <w:t>1*</w:t>
      </w:r>
      <w:r>
        <w:rPr>
          <w:b/>
          <w:sz w:val="20"/>
          <w:szCs w:val="20"/>
        </w:rPr>
        <w:t xml:space="preserve"> (PQ),</w:t>
      </w:r>
    </w:p>
    <w:p w14:paraId="6F356E69" w14:textId="77777777" w:rsidR="002704C5" w:rsidRDefault="002704C5">
      <w:pPr>
        <w:pBdr>
          <w:top w:val="nil"/>
          <w:left w:val="nil"/>
          <w:bottom w:val="nil"/>
          <w:right w:val="nil"/>
          <w:between w:val="nil"/>
        </w:pBdr>
        <w:ind w:left="14" w:firstLine="14"/>
        <w:jc w:val="both"/>
        <w:rPr>
          <w:b/>
          <w:sz w:val="20"/>
          <w:szCs w:val="20"/>
        </w:rPr>
      </w:pPr>
    </w:p>
    <w:p w14:paraId="6FD9A023" w14:textId="77777777" w:rsidR="002704C5" w:rsidRDefault="00000000">
      <w:pPr>
        <w:pBdr>
          <w:top w:val="nil"/>
          <w:left w:val="nil"/>
          <w:bottom w:val="nil"/>
          <w:right w:val="nil"/>
          <w:between w:val="nil"/>
        </w:pBdr>
        <w:spacing w:before="1" w:line="280" w:lineRule="auto"/>
        <w:ind w:left="7"/>
        <w:jc w:val="center"/>
        <w:rPr>
          <w:color w:val="000000"/>
          <w:sz w:val="20"/>
          <w:szCs w:val="20"/>
        </w:rPr>
      </w:pPr>
      <w:r>
        <w:rPr>
          <w:color w:val="000000"/>
          <w:sz w:val="20"/>
          <w:szCs w:val="20"/>
        </w:rPr>
        <w:t>¹ Departamento de Química, Universidade Federal de Viçosa. Av PH Rolfs s/n, 36570-900, Viçosa-MG</w:t>
      </w:r>
    </w:p>
    <w:p w14:paraId="0AE1516F" w14:textId="77777777" w:rsidR="002704C5" w:rsidRDefault="00000000">
      <w:pPr>
        <w:pBdr>
          <w:top w:val="nil"/>
          <w:left w:val="nil"/>
          <w:bottom w:val="nil"/>
          <w:right w:val="nil"/>
          <w:between w:val="nil"/>
        </w:pBdr>
        <w:spacing w:before="1" w:line="280" w:lineRule="auto"/>
        <w:ind w:left="7"/>
        <w:jc w:val="center"/>
        <w:rPr>
          <w:color w:val="000000"/>
          <w:sz w:val="20"/>
          <w:szCs w:val="20"/>
        </w:rPr>
      </w:pPr>
      <w:r>
        <w:rPr>
          <w:color w:val="000000"/>
          <w:sz w:val="20"/>
          <w:szCs w:val="20"/>
          <w:vertAlign w:val="superscript"/>
        </w:rPr>
        <w:t xml:space="preserve">2 </w:t>
      </w:r>
      <w:r>
        <w:rPr>
          <w:color w:val="000000"/>
          <w:sz w:val="20"/>
          <w:szCs w:val="20"/>
        </w:rPr>
        <w:t>Departamento de Fitopatologia, Universidade Federal de Viçosa. Av PH Rolfs s/n, 36570-900, Viçosa-MG</w:t>
      </w:r>
    </w:p>
    <w:p w14:paraId="00FDC667" w14:textId="77777777" w:rsidR="002704C5" w:rsidRDefault="00000000">
      <w:pPr>
        <w:pBdr>
          <w:top w:val="nil"/>
          <w:left w:val="nil"/>
          <w:bottom w:val="nil"/>
          <w:right w:val="nil"/>
          <w:between w:val="nil"/>
        </w:pBdr>
        <w:spacing w:before="1" w:line="280" w:lineRule="auto"/>
        <w:ind w:left="7"/>
        <w:jc w:val="center"/>
        <w:rPr>
          <w:color w:val="000000"/>
          <w:sz w:val="20"/>
          <w:szCs w:val="20"/>
        </w:rPr>
      </w:pPr>
      <w:r>
        <w:rPr>
          <w:color w:val="000000"/>
          <w:sz w:val="20"/>
          <w:szCs w:val="20"/>
        </w:rPr>
        <w:t>*eduardo.varejao@ufv.br</w:t>
      </w:r>
    </w:p>
    <w:p w14:paraId="22B0FDF0" w14:textId="77777777" w:rsidR="002704C5" w:rsidRDefault="00000000">
      <w:pPr>
        <w:pBdr>
          <w:top w:val="nil"/>
          <w:left w:val="nil"/>
          <w:bottom w:val="nil"/>
          <w:right w:val="nil"/>
          <w:between w:val="nil"/>
        </w:pBdr>
        <w:spacing w:before="6"/>
        <w:rPr>
          <w:color w:val="000000"/>
          <w:sz w:val="12"/>
          <w:szCs w:val="12"/>
        </w:rPr>
      </w:pPr>
      <w:r>
        <w:rPr>
          <w:noProof/>
        </w:rPr>
        <mc:AlternateContent>
          <mc:Choice Requires="wpg">
            <w:drawing>
              <wp:anchor distT="0" distB="0" distL="0" distR="0" simplePos="0" relativeHeight="251659264" behindDoc="0" locked="0" layoutInCell="1" hidden="0" allowOverlap="1" wp14:anchorId="17E6054B" wp14:editId="6E65D5BA">
                <wp:simplePos x="0" y="0"/>
                <wp:positionH relativeFrom="column">
                  <wp:posOffset>0</wp:posOffset>
                </wp:positionH>
                <wp:positionV relativeFrom="paragraph">
                  <wp:posOffset>63500</wp:posOffset>
                </wp:positionV>
                <wp:extent cx="7226935" cy="260350"/>
                <wp:effectExtent l="0" t="0" r="0" b="0"/>
                <wp:wrapTopAndBottom distT="0" distB="0"/>
                <wp:docPr id="1049003826" name="Retângulo 1049003826"/>
                <wp:cNvGraphicFramePr/>
                <a:graphic xmlns:a="http://schemas.openxmlformats.org/drawingml/2006/main">
                  <a:graphicData uri="http://schemas.microsoft.com/office/word/2010/wordprocessingShape">
                    <wps:wsp>
                      <wps:cNvSpPr/>
                      <wps:spPr>
                        <a:xfrm>
                          <a:off x="1751583" y="3668875"/>
                          <a:ext cx="7188834" cy="222250"/>
                        </a:xfrm>
                        <a:prstGeom prst="rect">
                          <a:avLst/>
                        </a:prstGeom>
                        <a:solidFill>
                          <a:srgbClr val="4F2B1B"/>
                        </a:solidFill>
                        <a:ln>
                          <a:noFill/>
                        </a:ln>
                      </wps:spPr>
                      <wps:txbx>
                        <w:txbxContent>
                          <w:p w14:paraId="2A7AAEBB" w14:textId="77777777" w:rsidR="002704C5" w:rsidRDefault="00000000">
                            <w:pPr>
                              <w:spacing w:line="270" w:lineRule="auto"/>
                              <w:ind w:right="55"/>
                              <w:jc w:val="center"/>
                              <w:textDirection w:val="btLr"/>
                            </w:pPr>
                            <w:r>
                              <w:rPr>
                                <w:b/>
                                <w:color w:val="FFFFFF"/>
                                <w:sz w:val="24"/>
                              </w:rPr>
                              <w:t xml:space="preserve">RESUMO </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63500</wp:posOffset>
                </wp:positionV>
                <wp:extent cx="7226935" cy="260350"/>
                <wp:effectExtent b="0" l="0" r="0" t="0"/>
                <wp:wrapTopAndBottom distB="0" distT="0"/>
                <wp:docPr id="10490038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226935" cy="260350"/>
                        </a:xfrm>
                        <a:prstGeom prst="rect"/>
                        <a:ln/>
                      </pic:spPr>
                    </pic:pic>
                  </a:graphicData>
                </a:graphic>
              </wp:anchor>
            </w:drawing>
          </mc:Fallback>
        </mc:AlternateContent>
      </w:r>
    </w:p>
    <w:p w14:paraId="7B0AB395" w14:textId="77777777" w:rsidR="002704C5" w:rsidRDefault="00000000">
      <w:pPr>
        <w:jc w:val="both"/>
        <w:rPr>
          <w:sz w:val="20"/>
          <w:szCs w:val="20"/>
        </w:rPr>
      </w:pPr>
      <w:bookmarkStart w:id="1" w:name="_heading=h.qbyev7gdeghp" w:colFirst="0" w:colLast="0"/>
      <w:bookmarkEnd w:id="1"/>
      <w:r>
        <w:rPr>
          <w:sz w:val="20"/>
          <w:szCs w:val="20"/>
        </w:rPr>
        <w:t xml:space="preserve">RESUMO - No presente trabalho, foi demonstrado que o fungo </w:t>
      </w:r>
      <w:r>
        <w:rPr>
          <w:i/>
          <w:sz w:val="20"/>
          <w:szCs w:val="20"/>
        </w:rPr>
        <w:t>Calonectria hemileiae</w:t>
      </w:r>
      <w:r>
        <w:rPr>
          <w:sz w:val="20"/>
          <w:szCs w:val="20"/>
        </w:rPr>
        <w:t xml:space="preserve">, identificado como micoparasita do fungo </w:t>
      </w:r>
      <w:r>
        <w:rPr>
          <w:i/>
          <w:sz w:val="20"/>
          <w:szCs w:val="20"/>
        </w:rPr>
        <w:t>Hemileia vastatrix</w:t>
      </w:r>
      <w:r>
        <w:rPr>
          <w:sz w:val="20"/>
          <w:szCs w:val="20"/>
        </w:rPr>
        <w:t xml:space="preserve">, produz e secreta metabólitos capazes de interferir na germinação de urediniósporos do fungo hospedeiro. O filtrado de meio de cultura de Calonectria hemileiae e o seu extrato em acetato de etila inibiram em 100% a germinação de </w:t>
      </w:r>
      <w:r>
        <w:rPr>
          <w:i/>
          <w:sz w:val="20"/>
          <w:szCs w:val="20"/>
        </w:rPr>
        <w:t>H. vastatrix</w:t>
      </w:r>
      <w:r>
        <w:rPr>
          <w:sz w:val="20"/>
          <w:szCs w:val="20"/>
        </w:rPr>
        <w:t>. O extrato apresentou valor de IC</w:t>
      </w:r>
      <w:r>
        <w:rPr>
          <w:sz w:val="20"/>
          <w:szCs w:val="20"/>
          <w:vertAlign w:val="subscript"/>
        </w:rPr>
        <w:t>50</w:t>
      </w:r>
      <w:r>
        <w:rPr>
          <w:sz w:val="20"/>
          <w:szCs w:val="20"/>
        </w:rPr>
        <w:t xml:space="preserve"> de 186,6 ± 6,0 µg mL</w:t>
      </w:r>
      <w:r>
        <w:rPr>
          <w:sz w:val="20"/>
          <w:szCs w:val="20"/>
          <w:vertAlign w:val="superscript"/>
        </w:rPr>
        <w:t>-1</w:t>
      </w:r>
      <w:r>
        <w:rPr>
          <w:sz w:val="20"/>
          <w:szCs w:val="20"/>
        </w:rPr>
        <w:t xml:space="preserve">. Compostos identificados por CG-EM foram testados sobre a germinação de urediniósporos de </w:t>
      </w:r>
      <w:r>
        <w:rPr>
          <w:i/>
          <w:sz w:val="20"/>
          <w:szCs w:val="20"/>
        </w:rPr>
        <w:t>H. vastatrix</w:t>
      </w:r>
      <w:r>
        <w:rPr>
          <w:sz w:val="20"/>
          <w:szCs w:val="20"/>
        </w:rPr>
        <w:t>. Ácido benzóico e ácido fumárico, a 500 µmol L</w:t>
      </w:r>
      <w:r>
        <w:rPr>
          <w:sz w:val="20"/>
          <w:szCs w:val="20"/>
          <w:vertAlign w:val="superscript"/>
        </w:rPr>
        <w:t>-1</w:t>
      </w:r>
      <w:r>
        <w:rPr>
          <w:sz w:val="20"/>
          <w:szCs w:val="20"/>
        </w:rPr>
        <w:t xml:space="preserve">,  inibiram em 100% e 62% a germinação. Os resultados permitem concluir que o filtrado de cultura, extratos orgânicos e metabólitos produzidos por </w:t>
      </w:r>
      <w:r>
        <w:rPr>
          <w:i/>
          <w:sz w:val="20"/>
          <w:szCs w:val="20"/>
        </w:rPr>
        <w:t>C. hemileiae</w:t>
      </w:r>
      <w:r>
        <w:rPr>
          <w:sz w:val="20"/>
          <w:szCs w:val="20"/>
        </w:rPr>
        <w:t>, apresentam potencial para o desenvolvimento de agentes antifúngicos naturais que poderão contribuir para o controle biológico da ferrugem do café.</w:t>
      </w:r>
    </w:p>
    <w:p w14:paraId="649846D6" w14:textId="77777777" w:rsidR="002704C5" w:rsidRDefault="00000000">
      <w:pPr>
        <w:pBdr>
          <w:top w:val="nil"/>
          <w:left w:val="nil"/>
          <w:bottom w:val="nil"/>
          <w:right w:val="nil"/>
          <w:between w:val="nil"/>
        </w:pBdr>
        <w:spacing w:before="80"/>
        <w:rPr>
          <w:color w:val="000000"/>
          <w:sz w:val="20"/>
          <w:szCs w:val="20"/>
        </w:rPr>
      </w:pPr>
      <w:r>
        <w:rPr>
          <w:sz w:val="20"/>
          <w:szCs w:val="20"/>
        </w:rPr>
        <w:t>_________________________________________________________________________________________________________________</w:t>
      </w:r>
    </w:p>
    <w:p w14:paraId="40E270F6" w14:textId="77777777" w:rsidR="002704C5" w:rsidRDefault="00000000">
      <w:pPr>
        <w:ind w:left="14"/>
        <w:rPr>
          <w:i/>
          <w:sz w:val="20"/>
          <w:szCs w:val="20"/>
        </w:rPr>
      </w:pPr>
      <w:r>
        <w:rPr>
          <w:noProof/>
        </w:rPr>
        <mc:AlternateContent>
          <mc:Choice Requires="wpg">
            <w:drawing>
              <wp:anchor distT="0" distB="0" distL="0" distR="0" simplePos="0" relativeHeight="251660288" behindDoc="0" locked="0" layoutInCell="1" hidden="0" allowOverlap="1" wp14:anchorId="53C52559" wp14:editId="4D36AD02">
                <wp:simplePos x="0" y="0"/>
                <wp:positionH relativeFrom="column">
                  <wp:posOffset>0</wp:posOffset>
                </wp:positionH>
                <wp:positionV relativeFrom="paragraph">
                  <wp:posOffset>-101599</wp:posOffset>
                </wp:positionV>
                <wp:extent cx="22225" cy="22225"/>
                <wp:effectExtent l="0" t="0" r="0" b="0"/>
                <wp:wrapNone/>
                <wp:docPr id="1049003831" name="Forma Livre: Forma 1049003831"/>
                <wp:cNvGraphicFramePr/>
                <a:graphic xmlns:a="http://schemas.openxmlformats.org/drawingml/2006/main">
                  <a:graphicData uri="http://schemas.microsoft.com/office/word/2010/wordprocessingShape">
                    <wps:wsp>
                      <wps:cNvSpPr/>
                      <wps:spPr>
                        <a:xfrm>
                          <a:off x="1753171" y="3779365"/>
                          <a:ext cx="7185659" cy="1270"/>
                        </a:xfrm>
                        <a:custGeom>
                          <a:avLst/>
                          <a:gdLst/>
                          <a:ahLst/>
                          <a:cxnLst/>
                          <a:rect l="l" t="t" r="r" b="b"/>
                          <a:pathLst>
                            <a:path w="7185659" h="120000" extrusionOk="0">
                              <a:moveTo>
                                <a:pt x="0" y="0"/>
                              </a:moveTo>
                              <a:lnTo>
                                <a:pt x="71851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-101599</wp:posOffset>
                </wp:positionV>
                <wp:extent cx="22225" cy="22225"/>
                <wp:effectExtent b="0" l="0" r="0" t="0"/>
                <wp:wrapNone/>
                <wp:docPr id="104900383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2225" cy="22225"/>
                        </a:xfrm>
                        <a:prstGeom prst="rect"/>
                        <a:ln/>
                      </pic:spPr>
                    </pic:pic>
                  </a:graphicData>
                </a:graphic>
              </wp:anchor>
            </w:drawing>
          </mc:Fallback>
        </mc:AlternateContent>
      </w:r>
    </w:p>
    <w:p w14:paraId="4A145273" w14:textId="77777777" w:rsidR="002704C5" w:rsidRDefault="00000000">
      <w:pPr>
        <w:tabs>
          <w:tab w:val="left" w:pos="851"/>
        </w:tabs>
        <w:spacing w:line="360" w:lineRule="auto"/>
        <w:jc w:val="both"/>
        <w:rPr>
          <w:i/>
          <w:sz w:val="20"/>
          <w:szCs w:val="20"/>
        </w:rPr>
      </w:pPr>
      <w:bookmarkStart w:id="2" w:name="_heading=h.mjmh3nyg5kl3" w:colFirst="0" w:colLast="0"/>
      <w:bookmarkEnd w:id="2"/>
      <w:r>
        <w:rPr>
          <w:i/>
          <w:sz w:val="20"/>
          <w:szCs w:val="20"/>
        </w:rPr>
        <w:t>Palavras-chave: biofungicidas, pesticidas, controle natural, café.</w:t>
      </w:r>
    </w:p>
    <w:p w14:paraId="08ABF1C1" w14:textId="77777777" w:rsidR="002704C5" w:rsidRDefault="00000000">
      <w:pPr>
        <w:ind w:left="14"/>
        <w:rPr>
          <w:i/>
          <w:sz w:val="20"/>
          <w:szCs w:val="20"/>
        </w:rPr>
      </w:pPr>
      <w:r>
        <w:rPr>
          <w:i/>
          <w:sz w:val="20"/>
          <w:szCs w:val="20"/>
        </w:rPr>
        <w:t>_________________________________________________________________________________________________________________</w:t>
      </w:r>
    </w:p>
    <w:p w14:paraId="476622C6" w14:textId="77777777" w:rsidR="002704C5" w:rsidRDefault="00000000">
      <w:pPr>
        <w:pBdr>
          <w:top w:val="nil"/>
          <w:left w:val="nil"/>
          <w:bottom w:val="nil"/>
          <w:right w:val="nil"/>
          <w:between w:val="nil"/>
        </w:pBdr>
        <w:spacing w:before="2"/>
        <w:rPr>
          <w:i/>
          <w:color w:val="000000"/>
          <w:sz w:val="19"/>
          <w:szCs w:val="19"/>
        </w:rPr>
        <w:sectPr w:rsidR="002704C5">
          <w:pgSz w:w="11910" w:h="16850"/>
          <w:pgMar w:top="0" w:right="283" w:bottom="0" w:left="283" w:header="720" w:footer="720" w:gutter="0"/>
          <w:pgNumType w:start="1"/>
          <w:cols w:space="720"/>
        </w:sectPr>
      </w:pPr>
      <w:r>
        <w:rPr>
          <w:noProof/>
        </w:rPr>
        <mc:AlternateContent>
          <mc:Choice Requires="wpg">
            <w:drawing>
              <wp:anchor distT="0" distB="0" distL="0" distR="0" simplePos="0" relativeHeight="251661312" behindDoc="0" locked="0" layoutInCell="1" hidden="0" allowOverlap="1" wp14:anchorId="45981239" wp14:editId="75FFEF24">
                <wp:simplePos x="0" y="0"/>
                <wp:positionH relativeFrom="column">
                  <wp:posOffset>0</wp:posOffset>
                </wp:positionH>
                <wp:positionV relativeFrom="paragraph">
                  <wp:posOffset>127000</wp:posOffset>
                </wp:positionV>
                <wp:extent cx="22225" cy="22225"/>
                <wp:effectExtent l="0" t="0" r="0" b="0"/>
                <wp:wrapTopAndBottom distT="0" distB="0"/>
                <wp:docPr id="1049003829" name="Forma Livre: Forma 1049003829"/>
                <wp:cNvGraphicFramePr/>
                <a:graphic xmlns:a="http://schemas.openxmlformats.org/drawingml/2006/main">
                  <a:graphicData uri="http://schemas.microsoft.com/office/word/2010/wordprocessingShape">
                    <wps:wsp>
                      <wps:cNvSpPr/>
                      <wps:spPr>
                        <a:xfrm>
                          <a:off x="1753171" y="3779365"/>
                          <a:ext cx="7185659" cy="1270"/>
                        </a:xfrm>
                        <a:custGeom>
                          <a:avLst/>
                          <a:gdLst/>
                          <a:ahLst/>
                          <a:cxnLst/>
                          <a:rect l="l" t="t" r="r" b="b"/>
                          <a:pathLst>
                            <a:path w="7185659" h="120000" extrusionOk="0">
                              <a:moveTo>
                                <a:pt x="0" y="0"/>
                              </a:moveTo>
                              <a:lnTo>
                                <a:pt x="71851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22225" cy="22225"/>
                <wp:effectExtent b="0" l="0" r="0" t="0"/>
                <wp:wrapTopAndBottom distB="0" distT="0"/>
                <wp:docPr id="104900382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2225" cy="22225"/>
                        </a:xfrm>
                        <a:prstGeom prst="rect"/>
                        <a:ln/>
                      </pic:spPr>
                    </pic:pic>
                  </a:graphicData>
                </a:graphic>
              </wp:anchor>
            </w:drawing>
          </mc:Fallback>
        </mc:AlternateContent>
      </w:r>
    </w:p>
    <w:p w14:paraId="3450DF78" w14:textId="77777777" w:rsidR="002704C5" w:rsidRDefault="00000000">
      <w:pPr>
        <w:pBdr>
          <w:top w:val="nil"/>
          <w:left w:val="nil"/>
          <w:bottom w:val="nil"/>
          <w:right w:val="nil"/>
          <w:between w:val="nil"/>
        </w:pBdr>
        <w:spacing w:before="60"/>
        <w:ind w:left="14" w:firstLine="14"/>
        <w:jc w:val="center"/>
        <w:rPr>
          <w:b/>
          <w:sz w:val="28"/>
          <w:szCs w:val="28"/>
        </w:rPr>
      </w:pPr>
      <w:r>
        <w:rPr>
          <w:b/>
          <w:noProof/>
          <w:color w:val="000000"/>
          <w:sz w:val="28"/>
          <w:szCs w:val="28"/>
        </w:rPr>
        <mc:AlternateContent>
          <mc:Choice Requires="wpg">
            <w:drawing>
              <wp:anchor distT="0" distB="0" distL="0" distR="0" simplePos="0" relativeHeight="251662336" behindDoc="1" locked="0" layoutInCell="1" hidden="0" allowOverlap="1" wp14:anchorId="7686417E" wp14:editId="178B8413">
                <wp:simplePos x="0" y="0"/>
                <wp:positionH relativeFrom="page">
                  <wp:posOffset>0</wp:posOffset>
                </wp:positionH>
                <wp:positionV relativeFrom="page">
                  <wp:posOffset>0</wp:posOffset>
                </wp:positionV>
                <wp:extent cx="2646680" cy="3053134"/>
                <wp:effectExtent l="0" t="0" r="0" b="0"/>
                <wp:wrapNone/>
                <wp:docPr id="1049003832" name="Agrupar 1049003832"/>
                <wp:cNvGraphicFramePr/>
                <a:graphic xmlns:a="http://schemas.openxmlformats.org/drawingml/2006/main">
                  <a:graphicData uri="http://schemas.microsoft.com/office/word/2010/wordprocessingGroup">
                    <wpg:wgp>
                      <wpg:cNvGrpSpPr/>
                      <wpg:grpSpPr>
                        <a:xfrm>
                          <a:off x="0" y="0"/>
                          <a:ext cx="2646680" cy="3053134"/>
                          <a:chOff x="4022650" y="2253425"/>
                          <a:chExt cx="2646700" cy="3053150"/>
                        </a:xfrm>
                      </wpg:grpSpPr>
                      <wpg:grpSp>
                        <wpg:cNvPr id="1233641222" name="Agrupar 1233641222"/>
                        <wpg:cNvGrpSpPr/>
                        <wpg:grpSpPr>
                          <a:xfrm>
                            <a:off x="4022660" y="2253433"/>
                            <a:ext cx="2646680" cy="3053134"/>
                            <a:chOff x="4022650" y="2253425"/>
                            <a:chExt cx="2646700" cy="3053150"/>
                          </a:xfrm>
                        </wpg:grpSpPr>
                        <wps:wsp>
                          <wps:cNvPr id="1357384571" name="Retângulo 1357384571"/>
                          <wps:cNvSpPr/>
                          <wps:spPr>
                            <a:xfrm>
                              <a:off x="4022650" y="2253425"/>
                              <a:ext cx="2646700" cy="3053150"/>
                            </a:xfrm>
                            <a:prstGeom prst="rect">
                              <a:avLst/>
                            </a:prstGeom>
                            <a:noFill/>
                            <a:ln>
                              <a:noFill/>
                            </a:ln>
                          </wps:spPr>
                          <wps:txbx>
                            <w:txbxContent>
                              <w:p w14:paraId="469E98DB" w14:textId="77777777" w:rsidR="002704C5" w:rsidRDefault="002704C5">
                                <w:pPr>
                                  <w:textDirection w:val="btLr"/>
                                </w:pPr>
                              </w:p>
                            </w:txbxContent>
                          </wps:txbx>
                          <wps:bodyPr spcFirstLastPara="1" wrap="square" lIns="91425" tIns="91425" rIns="91425" bIns="91425" anchor="ctr" anchorCtr="0">
                            <a:noAutofit/>
                          </wps:bodyPr>
                        </wps:wsp>
                        <wpg:grpSp>
                          <wpg:cNvPr id="37524870" name="Agrupar 37524870"/>
                          <wpg:cNvGrpSpPr/>
                          <wpg:grpSpPr>
                            <a:xfrm>
                              <a:off x="4022660" y="2253433"/>
                              <a:ext cx="2646680" cy="3053134"/>
                              <a:chOff x="4022650" y="2253425"/>
                              <a:chExt cx="2646700" cy="3053150"/>
                            </a:xfrm>
                          </wpg:grpSpPr>
                          <wps:wsp>
                            <wps:cNvPr id="286931018" name="Retângulo 286931018"/>
                            <wps:cNvSpPr/>
                            <wps:spPr>
                              <a:xfrm>
                                <a:off x="4022650" y="2253425"/>
                                <a:ext cx="2646700" cy="3053150"/>
                              </a:xfrm>
                              <a:prstGeom prst="rect">
                                <a:avLst/>
                              </a:prstGeom>
                              <a:noFill/>
                              <a:ln>
                                <a:noFill/>
                              </a:ln>
                            </wps:spPr>
                            <wps:txbx>
                              <w:txbxContent>
                                <w:p w14:paraId="31A4BF4F" w14:textId="77777777" w:rsidR="002704C5" w:rsidRDefault="002704C5">
                                  <w:pPr>
                                    <w:textDirection w:val="btLr"/>
                                  </w:pPr>
                                </w:p>
                              </w:txbxContent>
                            </wps:txbx>
                            <wps:bodyPr spcFirstLastPara="1" wrap="square" lIns="91425" tIns="91425" rIns="91425" bIns="91425" anchor="ctr" anchorCtr="0">
                              <a:noAutofit/>
                            </wps:bodyPr>
                          </wps:wsp>
                          <wpg:grpSp>
                            <wpg:cNvPr id="290273346" name="Agrupar 290273346"/>
                            <wpg:cNvGrpSpPr/>
                            <wpg:grpSpPr>
                              <a:xfrm>
                                <a:off x="4022660" y="2253433"/>
                                <a:ext cx="2646680" cy="3053142"/>
                                <a:chOff x="5495850" y="1536150"/>
                                <a:chExt cx="2646700" cy="3060083"/>
                              </a:xfrm>
                            </wpg:grpSpPr>
                            <wps:wsp>
                              <wps:cNvPr id="984866909" name="Retângulo 984866909"/>
                              <wps:cNvSpPr/>
                              <wps:spPr>
                                <a:xfrm>
                                  <a:off x="5495850" y="1536150"/>
                                  <a:ext cx="2646700" cy="3060075"/>
                                </a:xfrm>
                                <a:prstGeom prst="rect">
                                  <a:avLst/>
                                </a:prstGeom>
                                <a:noFill/>
                                <a:ln>
                                  <a:noFill/>
                                </a:ln>
                              </wps:spPr>
                              <wps:txbx>
                                <w:txbxContent>
                                  <w:p w14:paraId="3560774E" w14:textId="77777777" w:rsidR="002704C5" w:rsidRDefault="002704C5">
                                    <w:pPr>
                                      <w:textDirection w:val="btLr"/>
                                    </w:pPr>
                                  </w:p>
                                </w:txbxContent>
                              </wps:txbx>
                              <wps:bodyPr spcFirstLastPara="1" wrap="square" lIns="91425" tIns="91425" rIns="91425" bIns="91425" anchor="ctr" anchorCtr="0">
                                <a:noAutofit/>
                              </wps:bodyPr>
                            </wps:wsp>
                            <wpg:grpSp>
                              <wpg:cNvPr id="1509338760" name="Agrupar 1509338760"/>
                              <wpg:cNvGrpSpPr/>
                              <wpg:grpSpPr>
                                <a:xfrm>
                                  <a:off x="5495860" y="1536168"/>
                                  <a:ext cx="2646680" cy="3060065"/>
                                  <a:chOff x="0" y="0"/>
                                  <a:chExt cx="2646680" cy="3060065"/>
                                </a:xfrm>
                              </wpg:grpSpPr>
                              <wps:wsp>
                                <wps:cNvPr id="1236177145" name="Retângulo 1236177145"/>
                                <wps:cNvSpPr/>
                                <wps:spPr>
                                  <a:xfrm>
                                    <a:off x="0" y="0"/>
                                    <a:ext cx="2646675" cy="3060050"/>
                                  </a:xfrm>
                                  <a:prstGeom prst="rect">
                                    <a:avLst/>
                                  </a:prstGeom>
                                  <a:noFill/>
                                  <a:ln>
                                    <a:noFill/>
                                  </a:ln>
                                </wps:spPr>
                                <wps:txbx>
                                  <w:txbxContent>
                                    <w:p w14:paraId="7CE1F141" w14:textId="77777777" w:rsidR="002704C5" w:rsidRDefault="002704C5">
                                      <w:pPr>
                                        <w:textDirection w:val="btLr"/>
                                      </w:pPr>
                                    </w:p>
                                  </w:txbxContent>
                                </wps:txbx>
                                <wps:bodyPr spcFirstLastPara="1" wrap="square" lIns="91425" tIns="91425" rIns="91425" bIns="91425" anchor="ctr" anchorCtr="0">
                                  <a:noAutofit/>
                                </wps:bodyPr>
                              </wps:wsp>
                              <wps:wsp>
                                <wps:cNvPr id="958617918" name="Forma Livre: Forma 958617918"/>
                                <wps:cNvSpPr/>
                                <wps:spPr>
                                  <a:xfrm>
                                    <a:off x="0" y="0"/>
                                    <a:ext cx="2646680" cy="3060065"/>
                                  </a:xfrm>
                                  <a:custGeom>
                                    <a:avLst/>
                                    <a:gdLst/>
                                    <a:ahLst/>
                                    <a:cxnLst/>
                                    <a:rect l="l" t="t" r="r" b="b"/>
                                    <a:pathLst>
                                      <a:path w="2646680" h="3060065" extrusionOk="0">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a:ln>
                                    <a:noFill/>
                                  </a:ln>
                                </wps:spPr>
                                <wps:bodyPr spcFirstLastPara="1" wrap="square" lIns="91425" tIns="91425" rIns="91425" bIns="91425" anchor="ctr" anchorCtr="0">
                                  <a:noAutofit/>
                                </wps:bodyPr>
                              </wps:wsp>
                              <pic:pic xmlns:pic="http://schemas.openxmlformats.org/drawingml/2006/picture">
                                <pic:nvPicPr>
                                  <pic:cNvPr id="25" name="Shape 25"/>
                                  <pic:cNvPicPr preferRelativeResize="0"/>
                                </pic:nvPicPr>
                                <pic:blipFill rotWithShape="1">
                                  <a:blip r:embed="rId9">
                                    <a:alphaModFix/>
                                  </a:blip>
                                  <a:srcRect/>
                                  <a:stretch/>
                                </pic:blipFill>
                                <pic:spPr>
                                  <a:xfrm>
                                    <a:off x="185799" y="203884"/>
                                    <a:ext cx="1628774" cy="1638299"/>
                                  </a:xfrm>
                                  <a:prstGeom prst="rect">
                                    <a:avLst/>
                                  </a:prstGeom>
                                  <a:noFill/>
                                  <a:ln>
                                    <a:noFill/>
                                  </a:ln>
                                </pic:spPr>
                              </pic:pic>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53134"/>
                <wp:effectExtent b="0" l="0" r="0" t="0"/>
                <wp:wrapNone/>
                <wp:docPr id="104900383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646680" cy="3053134"/>
                        </a:xfrm>
                        <a:prstGeom prst="rect"/>
                        <a:ln/>
                      </pic:spPr>
                    </pic:pic>
                  </a:graphicData>
                </a:graphic>
              </wp:anchor>
            </w:drawing>
          </mc:Fallback>
        </mc:AlternateContent>
      </w:r>
      <w:r>
        <w:rPr>
          <w:b/>
          <w:noProof/>
          <w:color w:val="000000"/>
          <w:sz w:val="28"/>
          <w:szCs w:val="28"/>
        </w:rPr>
        <mc:AlternateContent>
          <mc:Choice Requires="wpg">
            <w:drawing>
              <wp:anchor distT="0" distB="0" distL="0" distR="0" simplePos="0" relativeHeight="251663360" behindDoc="1" locked="0" layoutInCell="1" hidden="0" allowOverlap="1" wp14:anchorId="5E5685C5" wp14:editId="3856D199">
                <wp:simplePos x="0" y="0"/>
                <wp:positionH relativeFrom="page">
                  <wp:posOffset>4909821</wp:posOffset>
                </wp:positionH>
                <wp:positionV relativeFrom="page">
                  <wp:posOffset>7630159</wp:posOffset>
                </wp:positionV>
                <wp:extent cx="2672080" cy="3085465"/>
                <wp:effectExtent l="0" t="0" r="0" b="0"/>
                <wp:wrapNone/>
                <wp:docPr id="1049003830" name="Forma Livre: Forma 1049003830"/>
                <wp:cNvGraphicFramePr/>
                <a:graphic xmlns:a="http://schemas.openxmlformats.org/drawingml/2006/main">
                  <a:graphicData uri="http://schemas.microsoft.com/office/word/2010/wordprocessingShape">
                    <wps:wsp>
                      <wps:cNvSpPr/>
                      <wps:spPr>
                        <a:xfrm>
                          <a:off x="4029010" y="2256318"/>
                          <a:ext cx="2633980" cy="3047365"/>
                        </a:xfrm>
                        <a:custGeom>
                          <a:avLst/>
                          <a:gdLst/>
                          <a:ahLst/>
                          <a:cxnLst/>
                          <a:rect l="l" t="t" r="r" b="b"/>
                          <a:pathLst>
                            <a:path w="2633980" h="3047365" extrusionOk="0">
                              <a:moveTo>
                                <a:pt x="2633495" y="0"/>
                              </a:moveTo>
                              <a:lnTo>
                                <a:pt x="2633495" y="3046926"/>
                              </a:lnTo>
                              <a:lnTo>
                                <a:pt x="0" y="3046926"/>
                              </a:lnTo>
                              <a:lnTo>
                                <a:pt x="23390" y="3012043"/>
                              </a:lnTo>
                              <a:lnTo>
                                <a:pt x="48512" y="2977429"/>
                              </a:lnTo>
                              <a:lnTo>
                                <a:pt x="93823" y="2923424"/>
                              </a:lnTo>
                              <a:lnTo>
                                <a:pt x="110847" y="2901792"/>
                              </a:lnTo>
                              <a:lnTo>
                                <a:pt x="144401" y="2858040"/>
                              </a:lnTo>
                              <a:lnTo>
                                <a:pt x="194620" y="2803837"/>
                              </a:lnTo>
                              <a:lnTo>
                                <a:pt x="264358" y="2741537"/>
                              </a:lnTo>
                              <a:lnTo>
                                <a:pt x="294624" y="2716559"/>
                              </a:lnTo>
                              <a:lnTo>
                                <a:pt x="359655" y="2673038"/>
                              </a:lnTo>
                              <a:lnTo>
                                <a:pt x="409618" y="2642079"/>
                              </a:lnTo>
                              <a:lnTo>
                                <a:pt x="470738" y="2608970"/>
                              </a:lnTo>
                              <a:lnTo>
                                <a:pt x="533572" y="2579812"/>
                              </a:lnTo>
                              <a:lnTo>
                                <a:pt x="596662" y="2553073"/>
                              </a:lnTo>
                              <a:lnTo>
                                <a:pt x="660507" y="2527845"/>
                              </a:lnTo>
                              <a:lnTo>
                                <a:pt x="705469" y="2510072"/>
                              </a:lnTo>
                              <a:lnTo>
                                <a:pt x="794406" y="2471898"/>
                              </a:lnTo>
                              <a:lnTo>
                                <a:pt x="839216" y="2453689"/>
                              </a:lnTo>
                              <a:lnTo>
                                <a:pt x="891977" y="2433055"/>
                              </a:lnTo>
                              <a:lnTo>
                                <a:pt x="945202" y="2413843"/>
                              </a:lnTo>
                              <a:lnTo>
                                <a:pt x="972944" y="2403602"/>
                              </a:lnTo>
                              <a:lnTo>
                                <a:pt x="1027206" y="2380653"/>
                              </a:lnTo>
                              <a:lnTo>
                                <a:pt x="1081001" y="2360598"/>
                              </a:lnTo>
                              <a:lnTo>
                                <a:pt x="1132164" y="2338109"/>
                              </a:lnTo>
                              <a:lnTo>
                                <a:pt x="1158065" y="2327838"/>
                              </a:lnTo>
                              <a:lnTo>
                                <a:pt x="1194089" y="2314111"/>
                              </a:lnTo>
                              <a:lnTo>
                                <a:pt x="1229597" y="2299226"/>
                              </a:lnTo>
                              <a:lnTo>
                                <a:pt x="1335170" y="2252726"/>
                              </a:lnTo>
                              <a:lnTo>
                                <a:pt x="1370071" y="2236446"/>
                              </a:lnTo>
                              <a:lnTo>
                                <a:pt x="1404704" y="2219490"/>
                              </a:lnTo>
                              <a:lnTo>
                                <a:pt x="1439043" y="2201871"/>
                              </a:lnTo>
                              <a:lnTo>
                                <a:pt x="1484548" y="2176439"/>
                              </a:lnTo>
                              <a:lnTo>
                                <a:pt x="1529152" y="2149787"/>
                              </a:lnTo>
                              <a:lnTo>
                                <a:pt x="1577034" y="2118489"/>
                              </a:lnTo>
                              <a:lnTo>
                                <a:pt x="1622941" y="2083996"/>
                              </a:lnTo>
                              <a:lnTo>
                                <a:pt x="1656608" y="2056551"/>
                              </a:lnTo>
                              <a:lnTo>
                                <a:pt x="1689530" y="2028293"/>
                              </a:lnTo>
                              <a:lnTo>
                                <a:pt x="1721618" y="1999134"/>
                              </a:lnTo>
                              <a:lnTo>
                                <a:pt x="1752780" y="1968988"/>
                              </a:lnTo>
                              <a:lnTo>
                                <a:pt x="1796993" y="1922122"/>
                              </a:lnTo>
                              <a:lnTo>
                                <a:pt x="1839172" y="1873340"/>
                              </a:lnTo>
                              <a:lnTo>
                                <a:pt x="1866098" y="1839288"/>
                              </a:lnTo>
                              <a:lnTo>
                                <a:pt x="1891125" y="1803929"/>
                              </a:lnTo>
                              <a:lnTo>
                                <a:pt x="1914533" y="1767524"/>
                              </a:lnTo>
                              <a:lnTo>
                                <a:pt x="1936601" y="1730335"/>
                              </a:lnTo>
                              <a:lnTo>
                                <a:pt x="1957000" y="1692769"/>
                              </a:lnTo>
                              <a:lnTo>
                                <a:pt x="1975668" y="1654277"/>
                              </a:lnTo>
                              <a:lnTo>
                                <a:pt x="1992586" y="1614907"/>
                              </a:lnTo>
                              <a:lnTo>
                                <a:pt x="2007736" y="1574705"/>
                              </a:lnTo>
                              <a:lnTo>
                                <a:pt x="2021118" y="1535784"/>
                              </a:lnTo>
                              <a:lnTo>
                                <a:pt x="2034116" y="1496726"/>
                              </a:lnTo>
                              <a:lnTo>
                                <a:pt x="2046867" y="1457594"/>
                              </a:lnTo>
                              <a:lnTo>
                                <a:pt x="2059509" y="1418456"/>
                              </a:lnTo>
                              <a:lnTo>
                                <a:pt x="2073866" y="1370216"/>
                              </a:lnTo>
                              <a:lnTo>
                                <a:pt x="2086306" y="1321221"/>
                              </a:lnTo>
                              <a:lnTo>
                                <a:pt x="2088897" y="1311809"/>
                              </a:lnTo>
                              <a:lnTo>
                                <a:pt x="2091959" y="1302498"/>
                              </a:lnTo>
                              <a:lnTo>
                                <a:pt x="2095051" y="1293188"/>
                              </a:lnTo>
                              <a:lnTo>
                                <a:pt x="2097729" y="1283776"/>
                              </a:lnTo>
                              <a:lnTo>
                                <a:pt x="2107981" y="1238662"/>
                              </a:lnTo>
                              <a:lnTo>
                                <a:pt x="2117560" y="1193395"/>
                              </a:lnTo>
                              <a:lnTo>
                                <a:pt x="2127554" y="1148216"/>
                              </a:lnTo>
                              <a:lnTo>
                                <a:pt x="2139047" y="1103363"/>
                              </a:lnTo>
                              <a:lnTo>
                                <a:pt x="2142630" y="1088408"/>
                              </a:lnTo>
                              <a:lnTo>
                                <a:pt x="2145461" y="1073236"/>
                              </a:lnTo>
                              <a:lnTo>
                                <a:pt x="2148212" y="1058035"/>
                              </a:lnTo>
                              <a:lnTo>
                                <a:pt x="2151555" y="1042993"/>
                              </a:lnTo>
                              <a:lnTo>
                                <a:pt x="2157647" y="1019666"/>
                              </a:lnTo>
                              <a:lnTo>
                                <a:pt x="2163985" y="996389"/>
                              </a:lnTo>
                              <a:lnTo>
                                <a:pt x="2170788" y="973258"/>
                              </a:lnTo>
                              <a:lnTo>
                                <a:pt x="2178274" y="950366"/>
                              </a:lnTo>
                              <a:lnTo>
                                <a:pt x="2186569" y="923704"/>
                              </a:lnTo>
                              <a:lnTo>
                                <a:pt x="2193836" y="896773"/>
                              </a:lnTo>
                              <a:lnTo>
                                <a:pt x="2201183" y="869871"/>
                              </a:lnTo>
                              <a:lnTo>
                                <a:pt x="2209717" y="843296"/>
                              </a:lnTo>
                              <a:lnTo>
                                <a:pt x="2225426" y="796902"/>
                              </a:lnTo>
                              <a:lnTo>
                                <a:pt x="2240038" y="750142"/>
                              </a:lnTo>
                              <a:lnTo>
                                <a:pt x="2254708" y="703374"/>
                              </a:lnTo>
                              <a:lnTo>
                                <a:pt x="2270591" y="656959"/>
                              </a:lnTo>
                              <a:lnTo>
                                <a:pt x="2281511" y="628485"/>
                              </a:lnTo>
                              <a:lnTo>
                                <a:pt x="2292837" y="600175"/>
                              </a:lnTo>
                              <a:lnTo>
                                <a:pt x="2303874" y="571786"/>
                              </a:lnTo>
                              <a:lnTo>
                                <a:pt x="2326704" y="507431"/>
                              </a:lnTo>
                              <a:lnTo>
                                <a:pt x="2356827" y="438209"/>
                              </a:lnTo>
                              <a:lnTo>
                                <a:pt x="2387668" y="371455"/>
                              </a:lnTo>
                              <a:lnTo>
                                <a:pt x="2419806" y="307271"/>
                              </a:lnTo>
                              <a:lnTo>
                                <a:pt x="2462374" y="231789"/>
                              </a:lnTo>
                              <a:lnTo>
                                <a:pt x="2490056" y="189460"/>
                              </a:lnTo>
                              <a:lnTo>
                                <a:pt x="2519133" y="148103"/>
                              </a:lnTo>
                              <a:lnTo>
                                <a:pt x="2548935" y="107240"/>
                              </a:lnTo>
                              <a:lnTo>
                                <a:pt x="2593305" y="51664"/>
                              </a:lnTo>
                              <a:lnTo>
                                <a:pt x="2607717" y="32852"/>
                              </a:lnTo>
                              <a:lnTo>
                                <a:pt x="2633495" y="0"/>
                              </a:lnTo>
                              <a:close/>
                            </a:path>
                          </a:pathLst>
                        </a:custGeom>
                        <a:solidFill>
                          <a:srgbClr val="FFF1D8"/>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4909821</wp:posOffset>
                </wp:positionH>
                <wp:positionV relativeFrom="page">
                  <wp:posOffset>7630159</wp:posOffset>
                </wp:positionV>
                <wp:extent cx="2672080" cy="3085465"/>
                <wp:effectExtent b="0" l="0" r="0" t="0"/>
                <wp:wrapNone/>
                <wp:docPr id="104900383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672080" cy="3085465"/>
                        </a:xfrm>
                        <a:prstGeom prst="rect"/>
                        <a:ln/>
                      </pic:spPr>
                    </pic:pic>
                  </a:graphicData>
                </a:graphic>
              </wp:anchor>
            </w:drawing>
          </mc:Fallback>
        </mc:AlternateContent>
      </w:r>
      <w:r>
        <w:rPr>
          <w:b/>
          <w:color w:val="000000"/>
          <w:sz w:val="28"/>
          <w:szCs w:val="28"/>
        </w:rPr>
        <w:t>Introdução</w:t>
      </w:r>
    </w:p>
    <w:p w14:paraId="1D99DAC2" w14:textId="77777777" w:rsidR="002704C5" w:rsidRDefault="00000000">
      <w:pPr>
        <w:spacing w:before="60"/>
        <w:jc w:val="both"/>
        <w:rPr>
          <w:sz w:val="20"/>
          <w:szCs w:val="20"/>
        </w:rPr>
      </w:pPr>
      <w:bookmarkStart w:id="3" w:name="_heading=h.s30cuk9eku0h" w:colFirst="0" w:colLast="0"/>
      <w:bookmarkEnd w:id="3"/>
      <w:r>
        <w:rPr>
          <w:sz w:val="20"/>
          <w:szCs w:val="20"/>
        </w:rPr>
        <w:t xml:space="preserve">O Brasil é o maior produtor e exportador mundial de café e o estado de Minas Gerais vem se mantendo como maior produtor de café no Brasil (1). O fungo </w:t>
      </w:r>
      <w:r>
        <w:rPr>
          <w:i/>
          <w:sz w:val="20"/>
          <w:szCs w:val="20"/>
        </w:rPr>
        <w:t>Hemileia vastatrix</w:t>
      </w:r>
      <w:r>
        <w:rPr>
          <w:sz w:val="20"/>
          <w:szCs w:val="20"/>
        </w:rPr>
        <w:t xml:space="preserve">, causador da ferrugem do café, é considerado mundialmente como o principal fator biótico limitante à produção da cultura cafeeira, podendo levar a prejuízos de até 90% da produção (2). Os fungicidas utilizados para prevenção ou tratamento da doença apresentam elevada toxicidade para organismos não-alvo (3). O controle biológico, quer através da aplicação de microrganismos antagonistas ou de metabólitos secundários, tem ganhado cada vez mais importância como estratégia ambientalmente segura para o controle das pragas agrícolas. O fungo </w:t>
      </w:r>
      <w:r>
        <w:rPr>
          <w:i/>
          <w:sz w:val="20"/>
          <w:szCs w:val="20"/>
        </w:rPr>
        <w:t>Calonectria hemileiae</w:t>
      </w:r>
      <w:r>
        <w:rPr>
          <w:sz w:val="20"/>
          <w:szCs w:val="20"/>
        </w:rPr>
        <w:t xml:space="preserve"> foi identificado como micoparasita de </w:t>
      </w:r>
      <w:r>
        <w:rPr>
          <w:i/>
          <w:sz w:val="20"/>
          <w:szCs w:val="20"/>
        </w:rPr>
        <w:t>H. vastatrix</w:t>
      </w:r>
      <w:r>
        <w:rPr>
          <w:sz w:val="20"/>
          <w:szCs w:val="20"/>
        </w:rPr>
        <w:t xml:space="preserve">. Foi observado que </w:t>
      </w:r>
      <w:r>
        <w:rPr>
          <w:i/>
          <w:sz w:val="20"/>
          <w:szCs w:val="20"/>
        </w:rPr>
        <w:t>C. hemileiae</w:t>
      </w:r>
      <w:r>
        <w:rPr>
          <w:sz w:val="20"/>
          <w:szCs w:val="20"/>
        </w:rPr>
        <w:t xml:space="preserve"> foi capaz de inibir a germinação de urediniósporos de </w:t>
      </w:r>
      <w:r>
        <w:rPr>
          <w:i/>
          <w:sz w:val="20"/>
          <w:szCs w:val="20"/>
        </w:rPr>
        <w:t>H. vastatrix</w:t>
      </w:r>
      <w:r>
        <w:rPr>
          <w:sz w:val="20"/>
          <w:szCs w:val="20"/>
        </w:rPr>
        <w:t xml:space="preserve"> em mais de 80% e de reduzir a severidade da doença em até 90%. O objetivo do presente trabalho foi produzir extratos de cultura de </w:t>
      </w:r>
      <w:r>
        <w:rPr>
          <w:i/>
          <w:sz w:val="20"/>
          <w:szCs w:val="20"/>
        </w:rPr>
        <w:t>C. hemileiae</w:t>
      </w:r>
      <w:r>
        <w:rPr>
          <w:sz w:val="20"/>
          <w:szCs w:val="20"/>
        </w:rPr>
        <w:t xml:space="preserve">, avaliar a atividade dos extratos quanto à inibição da germinação de urediniósporos de </w:t>
      </w:r>
      <w:r>
        <w:rPr>
          <w:i/>
          <w:sz w:val="20"/>
          <w:szCs w:val="20"/>
        </w:rPr>
        <w:t>H. vastatrix</w:t>
      </w:r>
      <w:r>
        <w:rPr>
          <w:sz w:val="20"/>
          <w:szCs w:val="20"/>
        </w:rPr>
        <w:t>, identificar metabólitos constituintes dos extratos através de análises por cromatografia a gás acoplada a espectrometria de massas e avaliar a atividade antifúngica de metabólitos.</w:t>
      </w:r>
    </w:p>
    <w:p w14:paraId="326A07FD" w14:textId="77777777" w:rsidR="002704C5" w:rsidRDefault="00000000">
      <w:pPr>
        <w:pBdr>
          <w:top w:val="nil"/>
          <w:left w:val="nil"/>
          <w:bottom w:val="nil"/>
          <w:right w:val="nil"/>
          <w:between w:val="nil"/>
        </w:pBdr>
        <w:ind w:left="14" w:firstLine="14"/>
        <w:jc w:val="center"/>
        <w:rPr>
          <w:b/>
          <w:color w:val="000000"/>
          <w:sz w:val="28"/>
          <w:szCs w:val="28"/>
        </w:rPr>
      </w:pPr>
      <w:r>
        <w:rPr>
          <w:b/>
          <w:color w:val="000000"/>
          <w:sz w:val="28"/>
          <w:szCs w:val="28"/>
        </w:rPr>
        <w:t>Experimental</w:t>
      </w:r>
    </w:p>
    <w:p w14:paraId="28C141A3" w14:textId="77777777" w:rsidR="002704C5" w:rsidRDefault="00000000">
      <w:pPr>
        <w:spacing w:before="83"/>
        <w:ind w:left="14"/>
        <w:jc w:val="both"/>
        <w:rPr>
          <w:i/>
          <w:sz w:val="20"/>
          <w:szCs w:val="20"/>
        </w:rPr>
      </w:pPr>
      <w:bookmarkStart w:id="4" w:name="_heading=h.hpy9ljdxw9d" w:colFirst="0" w:colLast="0"/>
      <w:bookmarkEnd w:id="4"/>
      <w:r>
        <w:rPr>
          <w:i/>
          <w:sz w:val="20"/>
          <w:szCs w:val="20"/>
        </w:rPr>
        <w:t>Cultivo do fungo e obtenção de extratos</w:t>
      </w:r>
    </w:p>
    <w:p w14:paraId="18FFE40E" w14:textId="77777777" w:rsidR="002704C5" w:rsidRDefault="00000000">
      <w:pPr>
        <w:spacing w:before="60"/>
        <w:jc w:val="both"/>
        <w:rPr>
          <w:sz w:val="20"/>
          <w:szCs w:val="20"/>
        </w:rPr>
      </w:pPr>
      <w:r>
        <w:rPr>
          <w:i/>
          <w:sz w:val="20"/>
          <w:szCs w:val="20"/>
        </w:rPr>
        <w:t>C. hemileiae</w:t>
      </w:r>
      <w:r>
        <w:rPr>
          <w:sz w:val="20"/>
          <w:szCs w:val="20"/>
        </w:rPr>
        <w:t xml:space="preserve"> foi cultivado em câmara climática, utilizando meio de cultura batata dextrose-ágar, a 22 ± 2 ºC por 7 dias, sob fotoperíodo de 12 h. </w:t>
      </w:r>
    </w:p>
    <w:p w14:paraId="2BDCBEC2" w14:textId="77777777" w:rsidR="002704C5" w:rsidRDefault="002704C5">
      <w:pPr>
        <w:spacing w:before="60"/>
        <w:jc w:val="both"/>
        <w:rPr>
          <w:sz w:val="20"/>
          <w:szCs w:val="20"/>
        </w:rPr>
      </w:pPr>
    </w:p>
    <w:p w14:paraId="4E8EF1DE" w14:textId="77777777" w:rsidR="002704C5" w:rsidRDefault="002704C5">
      <w:pPr>
        <w:spacing w:before="60"/>
        <w:jc w:val="both"/>
        <w:rPr>
          <w:sz w:val="20"/>
          <w:szCs w:val="20"/>
        </w:rPr>
      </w:pPr>
    </w:p>
    <w:p w14:paraId="5CE19FDF" w14:textId="77777777" w:rsidR="002704C5" w:rsidRDefault="00000000">
      <w:pPr>
        <w:spacing w:before="60"/>
        <w:jc w:val="both"/>
        <w:rPr>
          <w:sz w:val="20"/>
          <w:szCs w:val="20"/>
        </w:rPr>
      </w:pPr>
      <w:r>
        <w:rPr>
          <w:sz w:val="20"/>
          <w:szCs w:val="20"/>
        </w:rPr>
        <w:t xml:space="preserve">As culturas foram incubadas em agitador rotativo a 140 rpm, a 23 ºC no escuro por 14 dias. Ao final, o micélio fúngico foi removido por filtração a vácuo e o meio aquoso foi extraído sucessivamente com hexano, diclorometano e acetato de etila [2:1 (v/v) solvente/filtrado, 3x cada solvente]. Os extratos foram secos sob sulfato de sódio anidro e os solventes foram removidos em evaporador rotativo a 40ºC, fornecendo os extratos em hexano (EHx, X g), diclorometano (DCM, xg) e acetato de etila (AcOEt, x g). </w:t>
      </w:r>
    </w:p>
    <w:p w14:paraId="56BF2020" w14:textId="77777777" w:rsidR="002704C5" w:rsidRDefault="00000000">
      <w:pPr>
        <w:spacing w:before="83"/>
        <w:ind w:left="14"/>
        <w:jc w:val="both"/>
        <w:rPr>
          <w:i/>
          <w:sz w:val="20"/>
          <w:szCs w:val="20"/>
        </w:rPr>
      </w:pPr>
      <w:r>
        <w:rPr>
          <w:i/>
          <w:sz w:val="20"/>
          <w:szCs w:val="20"/>
        </w:rPr>
        <w:t>Análises por cromatografia a gás acoplada a espectrometria de massas (CG-EM).</w:t>
      </w:r>
    </w:p>
    <w:p w14:paraId="7D405DF6" w14:textId="77777777" w:rsidR="002704C5" w:rsidRDefault="00000000">
      <w:pPr>
        <w:spacing w:before="60"/>
        <w:jc w:val="both"/>
        <w:rPr>
          <w:sz w:val="20"/>
          <w:szCs w:val="20"/>
        </w:rPr>
      </w:pPr>
      <w:r>
        <w:rPr>
          <w:sz w:val="20"/>
          <w:szCs w:val="20"/>
        </w:rPr>
        <w:t>As análises por CG-EM foram realizadas em equipamento Shimadzu GCMS-QP2010 Ultra, nas seguintes condições operacionais: método por impacto de elétrons (70 eV); modo scan, m/z 45,00 a 700,00; coluna capilar Ultra Alloy 5 (30 m x 0,25 mm, 0,25 µm); volume de injeção da amostra 1,0 μL fluxo do gás de arraste (He) 1,6 mL min-1; razão de split 1:10; temperatura do injetor 290 ºC; temperatura do detector 290 ºC;, temperatura da coluna 40 ºC por 2 min., gradiente de 5 ºC por min até 290 ºC, mantida por 10 min. Antes da análise, o extrato em acetato de etila extrato foi derivatizado por sililação utilizando piridina anidra see N,O-bis(trimetilsilil)trifluoroacetamida (BSTFA).  Os constituintes químicos foram identificados por comparação dos espectros de massas com aqueles existentes no banco de dados do equipamento. Apenas compostos cujos espectros de massas apresentaram pelo menos 90¨de similaridade com os dados das bibliotecas (NIST14 e Wiley7) do equipamento foram considerados como identificados.</w:t>
      </w:r>
    </w:p>
    <w:p w14:paraId="2961AD9D" w14:textId="77777777" w:rsidR="002704C5" w:rsidRDefault="002704C5">
      <w:pPr>
        <w:spacing w:before="60"/>
        <w:jc w:val="both"/>
        <w:rPr>
          <w:sz w:val="20"/>
          <w:szCs w:val="20"/>
        </w:rPr>
      </w:pPr>
    </w:p>
    <w:p w14:paraId="234E34A2" w14:textId="77777777" w:rsidR="002704C5" w:rsidRDefault="002704C5">
      <w:pPr>
        <w:spacing w:before="60"/>
        <w:jc w:val="both"/>
        <w:rPr>
          <w:sz w:val="20"/>
          <w:szCs w:val="20"/>
        </w:rPr>
      </w:pPr>
    </w:p>
    <w:p w14:paraId="0A45E11A" w14:textId="77777777" w:rsidR="002704C5" w:rsidRDefault="002704C5">
      <w:pPr>
        <w:spacing w:before="60"/>
        <w:jc w:val="both"/>
        <w:rPr>
          <w:sz w:val="20"/>
          <w:szCs w:val="20"/>
        </w:rPr>
      </w:pPr>
    </w:p>
    <w:p w14:paraId="35D96967" w14:textId="77777777" w:rsidR="002704C5" w:rsidRDefault="002704C5">
      <w:pPr>
        <w:spacing w:before="60"/>
        <w:jc w:val="both"/>
        <w:rPr>
          <w:sz w:val="20"/>
          <w:szCs w:val="20"/>
        </w:rPr>
      </w:pPr>
    </w:p>
    <w:p w14:paraId="70AD6EC7" w14:textId="77777777" w:rsidR="002704C5" w:rsidRDefault="002704C5">
      <w:pPr>
        <w:spacing w:before="60"/>
        <w:jc w:val="both"/>
        <w:rPr>
          <w:sz w:val="20"/>
          <w:szCs w:val="20"/>
        </w:rPr>
      </w:pPr>
    </w:p>
    <w:p w14:paraId="487FCABE" w14:textId="77777777" w:rsidR="002704C5" w:rsidRDefault="002704C5">
      <w:pPr>
        <w:spacing w:before="60"/>
        <w:jc w:val="both"/>
        <w:rPr>
          <w:sz w:val="20"/>
          <w:szCs w:val="20"/>
        </w:rPr>
      </w:pPr>
    </w:p>
    <w:p w14:paraId="6991BE00" w14:textId="77777777" w:rsidR="002704C5" w:rsidRDefault="002704C5">
      <w:pPr>
        <w:spacing w:before="60"/>
        <w:jc w:val="both"/>
        <w:rPr>
          <w:sz w:val="20"/>
          <w:szCs w:val="20"/>
        </w:rPr>
      </w:pPr>
    </w:p>
    <w:p w14:paraId="1733042F" w14:textId="77777777" w:rsidR="002704C5" w:rsidRDefault="002704C5">
      <w:pPr>
        <w:spacing w:before="60"/>
        <w:jc w:val="both"/>
        <w:rPr>
          <w:sz w:val="20"/>
          <w:szCs w:val="20"/>
        </w:rPr>
      </w:pPr>
    </w:p>
    <w:p w14:paraId="1B342E0F" w14:textId="77777777" w:rsidR="002704C5" w:rsidRDefault="00000000">
      <w:pPr>
        <w:spacing w:before="60"/>
        <w:jc w:val="both"/>
        <w:rPr>
          <w:sz w:val="20"/>
          <w:szCs w:val="20"/>
        </w:rPr>
      </w:pPr>
      <w:r>
        <w:rPr>
          <w:noProof/>
          <w:sz w:val="20"/>
          <w:szCs w:val="20"/>
        </w:rPr>
        <mc:AlternateContent>
          <mc:Choice Requires="wpg">
            <w:drawing>
              <wp:anchor distT="0" distB="0" distL="0" distR="0" simplePos="0" relativeHeight="251664384" behindDoc="1" locked="0" layoutInCell="1" hidden="0" allowOverlap="1" wp14:anchorId="75B3BE29" wp14:editId="0B931419">
                <wp:simplePos x="0" y="0"/>
                <wp:positionH relativeFrom="page">
                  <wp:posOffset>179705</wp:posOffset>
                </wp:positionH>
                <wp:positionV relativeFrom="page">
                  <wp:posOffset>513715</wp:posOffset>
                </wp:positionV>
                <wp:extent cx="2646680" cy="3053134"/>
                <wp:effectExtent l="0" t="0" r="0" b="0"/>
                <wp:wrapNone/>
                <wp:docPr id="1049003827" name="Agrupar 1049003827"/>
                <wp:cNvGraphicFramePr/>
                <a:graphic xmlns:a="http://schemas.openxmlformats.org/drawingml/2006/main">
                  <a:graphicData uri="http://schemas.microsoft.com/office/word/2010/wordprocessingGroup">
                    <wpg:wgp>
                      <wpg:cNvGrpSpPr/>
                      <wpg:grpSpPr>
                        <a:xfrm>
                          <a:off x="0" y="0"/>
                          <a:ext cx="2646680" cy="3053134"/>
                          <a:chOff x="4022650" y="2253425"/>
                          <a:chExt cx="2646700" cy="3053150"/>
                        </a:xfrm>
                      </wpg:grpSpPr>
                      <wpg:grpSp>
                        <wpg:cNvPr id="1598126000" name="Agrupar 1598126000"/>
                        <wpg:cNvGrpSpPr/>
                        <wpg:grpSpPr>
                          <a:xfrm>
                            <a:off x="4022670" y="2253441"/>
                            <a:ext cx="2646660" cy="3053118"/>
                            <a:chOff x="4022660" y="2253433"/>
                            <a:chExt cx="2646680" cy="3053134"/>
                          </a:xfrm>
                        </wpg:grpSpPr>
                        <wps:wsp>
                          <wps:cNvPr id="456341266" name="Retângulo 456341266"/>
                          <wps:cNvSpPr/>
                          <wps:spPr>
                            <a:xfrm>
                              <a:off x="4022660" y="2253433"/>
                              <a:ext cx="2646675" cy="3053125"/>
                            </a:xfrm>
                            <a:prstGeom prst="rect">
                              <a:avLst/>
                            </a:prstGeom>
                            <a:noFill/>
                            <a:ln>
                              <a:noFill/>
                            </a:ln>
                          </wps:spPr>
                          <wps:txbx>
                            <w:txbxContent>
                              <w:p w14:paraId="7E2361D8" w14:textId="77777777" w:rsidR="002704C5" w:rsidRDefault="002704C5">
                                <w:pPr>
                                  <w:textDirection w:val="btLr"/>
                                </w:pPr>
                              </w:p>
                            </w:txbxContent>
                          </wps:txbx>
                          <wps:bodyPr spcFirstLastPara="1" wrap="square" lIns="91425" tIns="91425" rIns="91425" bIns="91425" anchor="ctr" anchorCtr="0">
                            <a:noAutofit/>
                          </wps:bodyPr>
                        </wps:wsp>
                        <wpg:grpSp>
                          <wpg:cNvPr id="1432025710" name="Agrupar 1432025710"/>
                          <wpg:cNvGrpSpPr/>
                          <wpg:grpSpPr>
                            <a:xfrm>
                              <a:off x="4022660" y="2253433"/>
                              <a:ext cx="2646680" cy="3053134"/>
                              <a:chOff x="4022650" y="2253425"/>
                              <a:chExt cx="2646700" cy="3053150"/>
                            </a:xfrm>
                          </wpg:grpSpPr>
                          <wps:wsp>
                            <wps:cNvPr id="420102161" name="Retângulo 420102161"/>
                            <wps:cNvSpPr/>
                            <wps:spPr>
                              <a:xfrm>
                                <a:off x="4022650" y="2253425"/>
                                <a:ext cx="2646700" cy="3053150"/>
                              </a:xfrm>
                              <a:prstGeom prst="rect">
                                <a:avLst/>
                              </a:prstGeom>
                              <a:noFill/>
                              <a:ln>
                                <a:noFill/>
                              </a:ln>
                            </wps:spPr>
                            <wps:txbx>
                              <w:txbxContent>
                                <w:p w14:paraId="3D3F26A4" w14:textId="77777777" w:rsidR="002704C5" w:rsidRDefault="002704C5">
                                  <w:pPr>
                                    <w:textDirection w:val="btLr"/>
                                  </w:pPr>
                                </w:p>
                              </w:txbxContent>
                            </wps:txbx>
                            <wps:bodyPr spcFirstLastPara="1" wrap="square" lIns="91425" tIns="91425" rIns="91425" bIns="91425" anchor="ctr" anchorCtr="0">
                              <a:noAutofit/>
                            </wps:bodyPr>
                          </wps:wsp>
                          <wpg:grpSp>
                            <wpg:cNvPr id="1358891195" name="Agrupar 1358891195"/>
                            <wpg:cNvGrpSpPr/>
                            <wpg:grpSpPr>
                              <a:xfrm>
                                <a:off x="4022660" y="2253433"/>
                                <a:ext cx="2646680" cy="3053142"/>
                                <a:chOff x="5495850" y="1536150"/>
                                <a:chExt cx="2646700" cy="3060083"/>
                              </a:xfrm>
                            </wpg:grpSpPr>
                            <wps:wsp>
                              <wps:cNvPr id="359991996" name="Retângulo 359991996"/>
                              <wps:cNvSpPr/>
                              <wps:spPr>
                                <a:xfrm>
                                  <a:off x="5495850" y="1536150"/>
                                  <a:ext cx="2646700" cy="3060075"/>
                                </a:xfrm>
                                <a:prstGeom prst="rect">
                                  <a:avLst/>
                                </a:prstGeom>
                                <a:noFill/>
                                <a:ln>
                                  <a:noFill/>
                                </a:ln>
                              </wps:spPr>
                              <wps:txbx>
                                <w:txbxContent>
                                  <w:p w14:paraId="150AAF1B" w14:textId="77777777" w:rsidR="002704C5" w:rsidRDefault="002704C5">
                                    <w:pPr>
                                      <w:textDirection w:val="btLr"/>
                                    </w:pPr>
                                  </w:p>
                                </w:txbxContent>
                              </wps:txbx>
                              <wps:bodyPr spcFirstLastPara="1" wrap="square" lIns="91425" tIns="91425" rIns="91425" bIns="91425" anchor="ctr" anchorCtr="0">
                                <a:noAutofit/>
                              </wps:bodyPr>
                            </wps:wsp>
                            <wpg:grpSp>
                              <wpg:cNvPr id="1147358934" name="Agrupar 1147358934"/>
                              <wpg:cNvGrpSpPr/>
                              <wpg:grpSpPr>
                                <a:xfrm>
                                  <a:off x="5495860" y="1536168"/>
                                  <a:ext cx="2646680" cy="3060065"/>
                                  <a:chOff x="0" y="0"/>
                                  <a:chExt cx="2646680" cy="3060065"/>
                                </a:xfrm>
                              </wpg:grpSpPr>
                              <wps:wsp>
                                <wps:cNvPr id="1380726562" name="Retângulo 1380726562"/>
                                <wps:cNvSpPr/>
                                <wps:spPr>
                                  <a:xfrm>
                                    <a:off x="0" y="0"/>
                                    <a:ext cx="2646675" cy="3060050"/>
                                  </a:xfrm>
                                  <a:prstGeom prst="rect">
                                    <a:avLst/>
                                  </a:prstGeom>
                                  <a:noFill/>
                                  <a:ln>
                                    <a:noFill/>
                                  </a:ln>
                                </wps:spPr>
                                <wps:txbx>
                                  <w:txbxContent>
                                    <w:p w14:paraId="699B83F8" w14:textId="77777777" w:rsidR="002704C5" w:rsidRDefault="002704C5">
                                      <w:pPr>
                                        <w:textDirection w:val="btLr"/>
                                      </w:pPr>
                                    </w:p>
                                  </w:txbxContent>
                                </wps:txbx>
                                <wps:bodyPr spcFirstLastPara="1" wrap="square" lIns="91425" tIns="91425" rIns="91425" bIns="91425" anchor="ctr" anchorCtr="0">
                                  <a:noAutofit/>
                                </wps:bodyPr>
                              </wps:wsp>
                              <wps:wsp>
                                <wps:cNvPr id="108318846" name="Forma Livre: Forma 108318846"/>
                                <wps:cNvSpPr/>
                                <wps:spPr>
                                  <a:xfrm>
                                    <a:off x="0" y="0"/>
                                    <a:ext cx="2646680" cy="3060065"/>
                                  </a:xfrm>
                                  <a:custGeom>
                                    <a:avLst/>
                                    <a:gdLst/>
                                    <a:ahLst/>
                                    <a:cxnLst/>
                                    <a:rect l="l" t="t" r="r" b="b"/>
                                    <a:pathLst>
                                      <a:path w="2646680" h="3060065" extrusionOk="0">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a:ln>
                                    <a:noFill/>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9">
                                    <a:alphaModFix/>
                                  </a:blip>
                                  <a:srcRect/>
                                  <a:stretch/>
                                </pic:blipFill>
                                <pic:spPr>
                                  <a:xfrm>
                                    <a:off x="185799" y="203884"/>
                                    <a:ext cx="1628774" cy="1638299"/>
                                  </a:xfrm>
                                  <a:prstGeom prst="rect">
                                    <a:avLst/>
                                  </a:prstGeom>
                                  <a:noFill/>
                                  <a:ln>
                                    <a:noFill/>
                                  </a:ln>
                                </pic:spPr>
                              </pic:pic>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179705</wp:posOffset>
                </wp:positionH>
                <wp:positionV relativeFrom="page">
                  <wp:posOffset>513715</wp:posOffset>
                </wp:positionV>
                <wp:extent cx="2646680" cy="3053134"/>
                <wp:effectExtent b="0" l="0" r="0" t="0"/>
                <wp:wrapNone/>
                <wp:docPr id="10490038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646680" cy="3053134"/>
                        </a:xfrm>
                        <a:prstGeom prst="rect"/>
                        <a:ln/>
                      </pic:spPr>
                    </pic:pic>
                  </a:graphicData>
                </a:graphic>
              </wp:anchor>
            </w:drawing>
          </mc:Fallback>
        </mc:AlternateContent>
      </w:r>
    </w:p>
    <w:p w14:paraId="3BD7A4A8" w14:textId="77777777" w:rsidR="002704C5" w:rsidRDefault="002704C5">
      <w:pPr>
        <w:spacing w:before="60"/>
        <w:jc w:val="both"/>
        <w:rPr>
          <w:sz w:val="20"/>
          <w:szCs w:val="20"/>
        </w:rPr>
      </w:pPr>
    </w:p>
    <w:p w14:paraId="5AD48524" w14:textId="77777777" w:rsidR="002704C5" w:rsidRDefault="002704C5">
      <w:pPr>
        <w:spacing w:before="60"/>
        <w:jc w:val="both"/>
        <w:rPr>
          <w:sz w:val="20"/>
          <w:szCs w:val="20"/>
        </w:rPr>
      </w:pPr>
    </w:p>
    <w:p w14:paraId="26049431" w14:textId="77777777" w:rsidR="002704C5" w:rsidRDefault="002704C5">
      <w:pPr>
        <w:spacing w:before="83"/>
        <w:ind w:left="14"/>
        <w:jc w:val="both"/>
        <w:rPr>
          <w:i/>
          <w:sz w:val="20"/>
          <w:szCs w:val="20"/>
        </w:rPr>
      </w:pPr>
    </w:p>
    <w:p w14:paraId="18B5D4AD" w14:textId="77777777" w:rsidR="002704C5" w:rsidRDefault="002704C5">
      <w:pPr>
        <w:spacing w:before="83"/>
        <w:ind w:left="14"/>
        <w:jc w:val="both"/>
        <w:rPr>
          <w:i/>
          <w:sz w:val="20"/>
          <w:szCs w:val="20"/>
        </w:rPr>
      </w:pPr>
    </w:p>
    <w:p w14:paraId="12AC9F28" w14:textId="77777777" w:rsidR="002704C5" w:rsidRDefault="002704C5">
      <w:pPr>
        <w:spacing w:before="83"/>
        <w:ind w:left="14"/>
        <w:jc w:val="both"/>
        <w:rPr>
          <w:i/>
          <w:sz w:val="20"/>
          <w:szCs w:val="20"/>
        </w:rPr>
      </w:pPr>
    </w:p>
    <w:p w14:paraId="03627EC0" w14:textId="77777777" w:rsidR="002704C5" w:rsidRDefault="002704C5">
      <w:pPr>
        <w:spacing w:before="83"/>
        <w:ind w:left="14"/>
        <w:jc w:val="both"/>
        <w:rPr>
          <w:i/>
          <w:sz w:val="20"/>
          <w:szCs w:val="20"/>
        </w:rPr>
      </w:pPr>
    </w:p>
    <w:p w14:paraId="74A54E95" w14:textId="77777777" w:rsidR="002704C5" w:rsidRDefault="002704C5">
      <w:pPr>
        <w:spacing w:before="83"/>
        <w:ind w:left="14"/>
        <w:jc w:val="both"/>
        <w:rPr>
          <w:i/>
          <w:sz w:val="20"/>
          <w:szCs w:val="20"/>
        </w:rPr>
      </w:pPr>
    </w:p>
    <w:p w14:paraId="04C4AB3C" w14:textId="77777777" w:rsidR="002704C5" w:rsidRDefault="00000000">
      <w:pPr>
        <w:spacing w:before="83"/>
        <w:ind w:left="14"/>
        <w:jc w:val="both"/>
        <w:rPr>
          <w:i/>
          <w:sz w:val="20"/>
          <w:szCs w:val="20"/>
        </w:rPr>
      </w:pPr>
      <w:r>
        <w:rPr>
          <w:i/>
          <w:sz w:val="20"/>
          <w:szCs w:val="20"/>
        </w:rPr>
        <w:t>Avaliação das atividades sobre a germinação de urediniósporos de H. vastatrix.</w:t>
      </w:r>
    </w:p>
    <w:p w14:paraId="07E9CF14" w14:textId="77777777" w:rsidR="002704C5" w:rsidRDefault="00000000">
      <w:pPr>
        <w:spacing w:before="60"/>
        <w:jc w:val="both"/>
        <w:rPr>
          <w:sz w:val="20"/>
          <w:szCs w:val="20"/>
        </w:rPr>
      </w:pPr>
      <w:r>
        <w:rPr>
          <w:sz w:val="20"/>
          <w:szCs w:val="20"/>
        </w:rPr>
        <w:t xml:space="preserve">O filtrado de cultura, os seus extratos e os metabólitos majoritários do extrato ativo foram testados quanto à inibição da germinação de esporos de </w:t>
      </w:r>
      <w:r>
        <w:rPr>
          <w:i/>
          <w:sz w:val="20"/>
          <w:szCs w:val="20"/>
        </w:rPr>
        <w:t>H. Vas</w:t>
      </w:r>
      <w:r>
        <w:rPr>
          <w:sz w:val="20"/>
          <w:szCs w:val="20"/>
        </w:rPr>
        <w:t xml:space="preserve">tatrix. O filtrado foi testado </w:t>
      </w:r>
      <w:r>
        <w:rPr>
          <w:i/>
          <w:sz w:val="20"/>
          <w:szCs w:val="20"/>
        </w:rPr>
        <w:t>in natura</w:t>
      </w:r>
      <w:r>
        <w:rPr>
          <w:sz w:val="20"/>
          <w:szCs w:val="20"/>
        </w:rPr>
        <w:t>. Os extratos e os compostos puros foram dissolvidos em solução aquosa de Tween 20 a a 1% (m/v). 10 µL de soluções de cada extrato e 10 µL de suspensão aquosa contendo 10</w:t>
      </w:r>
      <w:r>
        <w:rPr>
          <w:sz w:val="20"/>
          <w:szCs w:val="20"/>
          <w:vertAlign w:val="superscript"/>
        </w:rPr>
        <w:t>6</w:t>
      </w:r>
      <w:r>
        <w:rPr>
          <w:sz w:val="20"/>
          <w:szCs w:val="20"/>
        </w:rPr>
        <w:t xml:space="preserve"> esporos mL</w:t>
      </w:r>
      <w:r>
        <w:rPr>
          <w:sz w:val="20"/>
          <w:szCs w:val="20"/>
          <w:vertAlign w:val="superscript"/>
        </w:rPr>
        <w:t>-1</w:t>
      </w:r>
      <w:r>
        <w:rPr>
          <w:sz w:val="20"/>
          <w:szCs w:val="20"/>
        </w:rPr>
        <w:t xml:space="preserve"> em Tween 20 a 1% (m/v) foram misturadas e transferidas para lâmina de vidro esterilizada, produzindo concentração final de 250 µg mL</w:t>
      </w:r>
      <w:r>
        <w:rPr>
          <w:sz w:val="20"/>
          <w:szCs w:val="20"/>
          <w:vertAlign w:val="superscript"/>
        </w:rPr>
        <w:t>-1</w:t>
      </w:r>
      <w:r>
        <w:rPr>
          <w:sz w:val="20"/>
          <w:szCs w:val="20"/>
        </w:rPr>
        <w:t xml:space="preserve"> para todos os extratos. As lâminas foram acondicionadas em caixas Gerbox® e incubadas no escuro, a 22 ± 1 °C, por 6 horas. A germinação dos urediniósporos foi interrompida pela adição de 10 µL de lactofenol. Solução aquosa de Tween 20 a 1% (m/v) e oxicloreto de cobre foram usados ​​como controles negativo e positivo, respectivamente. A porcentagem de germinação dos urediniósporos foi determinada utilizando o microscópio óptico e resultados foram expressos como porcentagem de inibição de germinação em relação ao controle negativo.  Os tratamentos foram comparados utilizando o teste de Scott-Knott ( p &lt; 0,05). Os extratos ativos  foram testados em diferentes concentrações  ( 12,5 a, 175 µg mL</w:t>
      </w:r>
      <w:r>
        <w:rPr>
          <w:sz w:val="20"/>
          <w:szCs w:val="20"/>
          <w:vertAlign w:val="superscript"/>
        </w:rPr>
        <w:t>-1</w:t>
      </w:r>
      <w:r>
        <w:rPr>
          <w:sz w:val="20"/>
          <w:szCs w:val="20"/>
        </w:rPr>
        <w:t>) para construção de curvas de dose-resposta e os valores de concentração capazes de inibir em 50% a germinação de esporos (IC</w:t>
      </w:r>
      <w:r>
        <w:rPr>
          <w:sz w:val="20"/>
          <w:szCs w:val="20"/>
          <w:vertAlign w:val="subscript"/>
        </w:rPr>
        <w:t>50</w:t>
      </w:r>
      <w:r>
        <w:rPr>
          <w:sz w:val="20"/>
          <w:szCs w:val="20"/>
        </w:rPr>
        <w:t>) foram calculados a partir de regressão não linear usando GraphPad Prisma 1. Os testes foram realizados em cinco repetições. Os compostos identificados como majoritários no extrato ativo foram testados a 500 µmol L</w:t>
      </w:r>
      <w:r>
        <w:rPr>
          <w:sz w:val="20"/>
          <w:szCs w:val="20"/>
          <w:vertAlign w:val="superscript"/>
        </w:rPr>
        <w:t>-1</w:t>
      </w:r>
      <w:r>
        <w:rPr>
          <w:sz w:val="20"/>
          <w:szCs w:val="20"/>
        </w:rPr>
        <w:t xml:space="preserve"> nas mesmas condições experimentais.</w:t>
      </w:r>
    </w:p>
    <w:p w14:paraId="2FB9E12C" w14:textId="77777777" w:rsidR="002704C5" w:rsidRDefault="00000000">
      <w:pPr>
        <w:spacing w:before="60"/>
        <w:jc w:val="center"/>
        <w:rPr>
          <w:b/>
          <w:sz w:val="28"/>
          <w:szCs w:val="28"/>
        </w:rPr>
      </w:pPr>
      <w:r>
        <w:rPr>
          <w:b/>
          <w:color w:val="000000"/>
          <w:sz w:val="28"/>
          <w:szCs w:val="28"/>
        </w:rPr>
        <w:t>Resultados e Discussão</w:t>
      </w:r>
    </w:p>
    <w:p w14:paraId="09002396" w14:textId="77777777" w:rsidR="002704C5" w:rsidRDefault="00000000">
      <w:pPr>
        <w:keepNext/>
        <w:keepLines/>
        <w:pBdr>
          <w:top w:val="nil"/>
          <w:left w:val="nil"/>
          <w:bottom w:val="nil"/>
          <w:right w:val="nil"/>
          <w:between w:val="nil"/>
        </w:pBdr>
        <w:spacing w:before="70"/>
        <w:jc w:val="both"/>
        <w:rPr>
          <w:color w:val="000000"/>
          <w:sz w:val="20"/>
          <w:szCs w:val="20"/>
        </w:rPr>
      </w:pPr>
      <w:r>
        <w:rPr>
          <w:color w:val="000000"/>
          <w:sz w:val="20"/>
          <w:szCs w:val="20"/>
        </w:rPr>
        <w:t xml:space="preserve">O extrato do filtrado de cultura obtido AcOEt, a </w:t>
      </w:r>
      <w:r>
        <w:rPr>
          <w:sz w:val="20"/>
          <w:szCs w:val="20"/>
        </w:rPr>
        <w:t>250 µg mL</w:t>
      </w:r>
      <w:r>
        <w:rPr>
          <w:sz w:val="20"/>
          <w:szCs w:val="20"/>
          <w:vertAlign w:val="superscript"/>
        </w:rPr>
        <w:t>-1</w:t>
      </w:r>
      <w:r>
        <w:rPr>
          <w:sz w:val="20"/>
          <w:szCs w:val="20"/>
        </w:rPr>
        <w:t xml:space="preserve"> , </w:t>
      </w:r>
      <w:r>
        <w:rPr>
          <w:color w:val="000000"/>
          <w:sz w:val="20"/>
          <w:szCs w:val="20"/>
        </w:rPr>
        <w:t xml:space="preserve">inibiu em 100% a germinação de </w:t>
      </w:r>
      <w:r>
        <w:rPr>
          <w:sz w:val="20"/>
          <w:szCs w:val="20"/>
        </w:rPr>
        <w:t>urediniósporos</w:t>
      </w:r>
      <w:r>
        <w:rPr>
          <w:color w:val="000000"/>
          <w:sz w:val="20"/>
          <w:szCs w:val="20"/>
        </w:rPr>
        <w:t xml:space="preserve"> de </w:t>
      </w:r>
      <w:r>
        <w:rPr>
          <w:i/>
          <w:color w:val="000000"/>
          <w:sz w:val="20"/>
          <w:szCs w:val="20"/>
        </w:rPr>
        <w:t>H. vastatrix</w:t>
      </w:r>
      <w:r>
        <w:rPr>
          <w:color w:val="000000"/>
          <w:sz w:val="20"/>
          <w:szCs w:val="20"/>
        </w:rPr>
        <w:t xml:space="preserve">. O efeito produzido pelo extrato está representado na Figura 1. </w:t>
      </w:r>
    </w:p>
    <w:p w14:paraId="6561F9B9" w14:textId="77777777" w:rsidR="002704C5" w:rsidRDefault="00000000">
      <w:pPr>
        <w:keepNext/>
        <w:keepLines/>
        <w:pBdr>
          <w:top w:val="nil"/>
          <w:left w:val="nil"/>
          <w:bottom w:val="nil"/>
          <w:right w:val="nil"/>
          <w:between w:val="nil"/>
        </w:pBdr>
        <w:spacing w:before="70"/>
        <w:jc w:val="center"/>
        <w:rPr>
          <w:color w:val="000000"/>
          <w:sz w:val="20"/>
          <w:szCs w:val="20"/>
        </w:rPr>
      </w:pPr>
      <w:r>
        <w:rPr>
          <w:noProof/>
          <w:color w:val="000000"/>
          <w:sz w:val="20"/>
          <w:szCs w:val="20"/>
        </w:rPr>
        <w:drawing>
          <wp:inline distT="0" distB="0" distL="0" distR="0" wp14:anchorId="2476B775" wp14:editId="7968DC11">
            <wp:extent cx="2636265" cy="1699280"/>
            <wp:effectExtent l="0" t="0" r="0" b="0"/>
            <wp:docPr id="10490038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636265" cy="1699280"/>
                    </a:xfrm>
                    <a:prstGeom prst="rect">
                      <a:avLst/>
                    </a:prstGeom>
                    <a:ln/>
                  </pic:spPr>
                </pic:pic>
              </a:graphicData>
            </a:graphic>
          </wp:inline>
        </w:drawing>
      </w:r>
    </w:p>
    <w:p w14:paraId="7AB60BF0" w14:textId="77777777" w:rsidR="002704C5" w:rsidRDefault="00000000">
      <w:pPr>
        <w:keepNext/>
        <w:keepLines/>
        <w:pBdr>
          <w:top w:val="nil"/>
          <w:left w:val="nil"/>
          <w:bottom w:val="nil"/>
          <w:right w:val="nil"/>
          <w:between w:val="nil"/>
        </w:pBdr>
        <w:spacing w:before="70"/>
        <w:jc w:val="both"/>
        <w:rPr>
          <w:i/>
          <w:color w:val="000000"/>
          <w:sz w:val="20"/>
          <w:szCs w:val="20"/>
        </w:rPr>
      </w:pPr>
      <w:r>
        <w:rPr>
          <w:b/>
          <w:color w:val="000000"/>
          <w:sz w:val="20"/>
          <w:szCs w:val="20"/>
        </w:rPr>
        <w:t>Figura 1</w:t>
      </w:r>
      <w:r>
        <w:rPr>
          <w:color w:val="000000"/>
          <w:sz w:val="20"/>
          <w:szCs w:val="20"/>
        </w:rPr>
        <w:t xml:space="preserve">. Fotos (obtidas em microscópio </w:t>
      </w:r>
      <w:r>
        <w:rPr>
          <w:sz w:val="20"/>
          <w:szCs w:val="20"/>
        </w:rPr>
        <w:t>óptico</w:t>
      </w:r>
      <w:r>
        <w:rPr>
          <w:color w:val="000000"/>
          <w:sz w:val="20"/>
          <w:szCs w:val="20"/>
        </w:rPr>
        <w:t xml:space="preserve">) das lâminas de teste de atividade inibitória sobre a germinação de </w:t>
      </w:r>
      <w:r>
        <w:rPr>
          <w:sz w:val="20"/>
          <w:szCs w:val="20"/>
        </w:rPr>
        <w:t>urediniósporos</w:t>
      </w:r>
      <w:r>
        <w:rPr>
          <w:color w:val="000000"/>
          <w:sz w:val="20"/>
          <w:szCs w:val="20"/>
        </w:rPr>
        <w:t xml:space="preserve"> de </w:t>
      </w:r>
      <w:r>
        <w:rPr>
          <w:i/>
          <w:color w:val="000000"/>
          <w:sz w:val="20"/>
          <w:szCs w:val="20"/>
        </w:rPr>
        <w:t>H. vastatrix</w:t>
      </w:r>
    </w:p>
    <w:p w14:paraId="34F4FF4F" w14:textId="77777777" w:rsidR="002704C5" w:rsidRDefault="00000000">
      <w:pPr>
        <w:keepNext/>
        <w:keepLines/>
        <w:pBdr>
          <w:top w:val="nil"/>
          <w:left w:val="nil"/>
          <w:bottom w:val="nil"/>
          <w:right w:val="nil"/>
          <w:between w:val="nil"/>
        </w:pBdr>
        <w:spacing w:before="70"/>
        <w:jc w:val="both"/>
        <w:rPr>
          <w:sz w:val="20"/>
          <w:szCs w:val="20"/>
        </w:rPr>
      </w:pPr>
      <w:bookmarkStart w:id="5" w:name="_heading=h.a3ix5ofe37qu" w:colFirst="0" w:colLast="0"/>
      <w:bookmarkEnd w:id="5"/>
      <w:r>
        <w:rPr>
          <w:color w:val="000000"/>
          <w:sz w:val="20"/>
          <w:szCs w:val="20"/>
        </w:rPr>
        <w:t xml:space="preserve">A curva de dose resposta para o extrato em </w:t>
      </w:r>
      <w:r>
        <w:rPr>
          <w:sz w:val="20"/>
          <w:szCs w:val="20"/>
        </w:rPr>
        <w:t>AcOEt</w:t>
      </w:r>
      <w:r>
        <w:rPr>
          <w:color w:val="000000"/>
          <w:sz w:val="20"/>
          <w:szCs w:val="20"/>
        </w:rPr>
        <w:t xml:space="preserve"> é apresentada na Figura 2. O valor de IC</w:t>
      </w:r>
      <w:r>
        <w:rPr>
          <w:color w:val="000000"/>
          <w:sz w:val="20"/>
          <w:szCs w:val="20"/>
          <w:vertAlign w:val="subscript"/>
        </w:rPr>
        <w:t>50</w:t>
      </w:r>
      <w:r>
        <w:rPr>
          <w:color w:val="000000"/>
          <w:sz w:val="20"/>
          <w:szCs w:val="20"/>
        </w:rPr>
        <w:t xml:space="preserve"> do extrato foi determinado como 186,6 ± 6,0 µg mL</w:t>
      </w:r>
      <w:r>
        <w:rPr>
          <w:color w:val="000000"/>
          <w:sz w:val="20"/>
          <w:szCs w:val="20"/>
          <w:vertAlign w:val="superscript"/>
        </w:rPr>
        <w:t>-1</w:t>
      </w:r>
      <w:r>
        <w:rPr>
          <w:color w:val="000000"/>
          <w:sz w:val="20"/>
          <w:szCs w:val="20"/>
        </w:rPr>
        <w:t xml:space="preserve">, enquanto do oxicloreto de cobre, fungicida comercial utilizado como controle positivo, foi de 5,3 ± 0,5 </w:t>
      </w:r>
      <w:r>
        <w:rPr>
          <w:sz w:val="20"/>
          <w:szCs w:val="20"/>
        </w:rPr>
        <w:t>µg mL</w:t>
      </w:r>
      <w:r>
        <w:rPr>
          <w:sz w:val="20"/>
          <w:szCs w:val="20"/>
          <w:vertAlign w:val="superscript"/>
        </w:rPr>
        <w:t>-1</w:t>
      </w:r>
      <w:r>
        <w:rPr>
          <w:sz w:val="20"/>
          <w:szCs w:val="20"/>
        </w:rPr>
        <w:t xml:space="preserve">. </w:t>
      </w:r>
    </w:p>
    <w:p w14:paraId="35F33CC3" w14:textId="77777777" w:rsidR="002704C5" w:rsidRDefault="00000000">
      <w:pPr>
        <w:keepNext/>
        <w:keepLines/>
        <w:pBdr>
          <w:top w:val="nil"/>
          <w:left w:val="nil"/>
          <w:bottom w:val="nil"/>
          <w:right w:val="nil"/>
          <w:between w:val="nil"/>
        </w:pBdr>
        <w:spacing w:before="70"/>
        <w:jc w:val="both"/>
        <w:rPr>
          <w:sz w:val="20"/>
          <w:szCs w:val="20"/>
        </w:rPr>
      </w:pPr>
      <w:r>
        <w:rPr>
          <w:color w:val="000000"/>
          <w:sz w:val="20"/>
          <w:szCs w:val="20"/>
        </w:rPr>
        <w:t xml:space="preserve">As </w:t>
      </w:r>
      <w:r>
        <w:rPr>
          <w:sz w:val="20"/>
          <w:szCs w:val="20"/>
        </w:rPr>
        <w:t>análises</w:t>
      </w:r>
      <w:r>
        <w:rPr>
          <w:color w:val="000000"/>
          <w:sz w:val="20"/>
          <w:szCs w:val="20"/>
        </w:rPr>
        <w:t xml:space="preserve"> por CG-EM revelaram a presença de uma grande quantidade de metabólitos. Ácido benzóico, ácido succínico, apresentaram maiores valores de porcentagens relativas e foram submetidos a testes biológicos.</w:t>
      </w:r>
    </w:p>
    <w:p w14:paraId="4F6ECE1E" w14:textId="77777777" w:rsidR="002704C5" w:rsidRDefault="002704C5">
      <w:pPr>
        <w:spacing w:before="60"/>
        <w:jc w:val="both"/>
        <w:rPr>
          <w:sz w:val="20"/>
          <w:szCs w:val="20"/>
        </w:rPr>
      </w:pPr>
    </w:p>
    <w:p w14:paraId="68E64776" w14:textId="77777777" w:rsidR="002704C5" w:rsidRDefault="002704C5">
      <w:pPr>
        <w:keepNext/>
        <w:keepLines/>
        <w:pBdr>
          <w:top w:val="nil"/>
          <w:left w:val="nil"/>
          <w:bottom w:val="nil"/>
          <w:right w:val="nil"/>
          <w:between w:val="nil"/>
        </w:pBdr>
        <w:spacing w:before="70"/>
        <w:jc w:val="both"/>
        <w:rPr>
          <w:color w:val="000000"/>
          <w:sz w:val="20"/>
          <w:szCs w:val="20"/>
        </w:rPr>
      </w:pPr>
    </w:p>
    <w:p w14:paraId="65506FA7" w14:textId="77777777" w:rsidR="002704C5" w:rsidRDefault="002704C5">
      <w:pPr>
        <w:keepNext/>
        <w:keepLines/>
        <w:pBdr>
          <w:top w:val="nil"/>
          <w:left w:val="nil"/>
          <w:bottom w:val="nil"/>
          <w:right w:val="nil"/>
          <w:between w:val="nil"/>
        </w:pBdr>
        <w:spacing w:before="70"/>
        <w:jc w:val="right"/>
        <w:rPr>
          <w:color w:val="000000"/>
          <w:sz w:val="20"/>
          <w:szCs w:val="20"/>
        </w:rPr>
      </w:pPr>
    </w:p>
    <w:p w14:paraId="59D84830" w14:textId="77777777" w:rsidR="002704C5" w:rsidRDefault="002704C5">
      <w:pPr>
        <w:keepNext/>
        <w:keepLines/>
        <w:pBdr>
          <w:top w:val="nil"/>
          <w:left w:val="nil"/>
          <w:bottom w:val="nil"/>
          <w:right w:val="nil"/>
          <w:between w:val="nil"/>
        </w:pBdr>
        <w:spacing w:before="70"/>
        <w:jc w:val="both"/>
        <w:rPr>
          <w:color w:val="000000"/>
          <w:sz w:val="20"/>
          <w:szCs w:val="20"/>
        </w:rPr>
      </w:pPr>
    </w:p>
    <w:p w14:paraId="59563034" w14:textId="77777777" w:rsidR="002704C5" w:rsidRDefault="00000000">
      <w:pPr>
        <w:keepNext/>
        <w:keepLines/>
        <w:pBdr>
          <w:top w:val="nil"/>
          <w:left w:val="nil"/>
          <w:bottom w:val="nil"/>
          <w:right w:val="nil"/>
          <w:between w:val="nil"/>
        </w:pBdr>
        <w:spacing w:before="70"/>
        <w:ind w:left="2160" w:firstLine="720"/>
        <w:jc w:val="center"/>
        <w:rPr>
          <w:color w:val="000000"/>
          <w:sz w:val="20"/>
          <w:szCs w:val="20"/>
        </w:rPr>
      </w:pPr>
      <w:r>
        <w:rPr>
          <w:noProof/>
          <w:color w:val="000000"/>
          <w:sz w:val="20"/>
          <w:szCs w:val="20"/>
        </w:rPr>
        <w:drawing>
          <wp:inline distT="0" distB="0" distL="0" distR="0" wp14:anchorId="46CF6CD7" wp14:editId="1E8F46E7">
            <wp:extent cx="1453366" cy="1447514"/>
            <wp:effectExtent l="0" t="0" r="0" b="0"/>
            <wp:docPr id="10490038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53366" cy="1447514"/>
                    </a:xfrm>
                    <a:prstGeom prst="rect">
                      <a:avLst/>
                    </a:prstGeom>
                    <a:ln/>
                  </pic:spPr>
                </pic:pic>
              </a:graphicData>
            </a:graphic>
          </wp:inline>
        </w:drawing>
      </w:r>
    </w:p>
    <w:p w14:paraId="5A8421C4" w14:textId="77777777" w:rsidR="002704C5" w:rsidRDefault="00000000">
      <w:pPr>
        <w:keepNext/>
        <w:keepLines/>
        <w:pBdr>
          <w:top w:val="nil"/>
          <w:left w:val="nil"/>
          <w:bottom w:val="nil"/>
          <w:right w:val="nil"/>
          <w:between w:val="nil"/>
        </w:pBdr>
        <w:spacing w:before="70"/>
        <w:jc w:val="center"/>
        <w:rPr>
          <w:color w:val="000000"/>
          <w:sz w:val="20"/>
          <w:szCs w:val="20"/>
        </w:rPr>
      </w:pPr>
      <w:r>
        <w:rPr>
          <w:noProof/>
          <w:color w:val="000000"/>
          <w:sz w:val="20"/>
          <w:szCs w:val="20"/>
        </w:rPr>
        <w:drawing>
          <wp:inline distT="0" distB="0" distL="0" distR="0" wp14:anchorId="799FDABD" wp14:editId="0497882A">
            <wp:extent cx="2646974" cy="1951912"/>
            <wp:effectExtent l="0" t="0" r="0" b="0"/>
            <wp:docPr id="10490038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46974" cy="1951912"/>
                    </a:xfrm>
                    <a:prstGeom prst="rect">
                      <a:avLst/>
                    </a:prstGeom>
                    <a:ln/>
                  </pic:spPr>
                </pic:pic>
              </a:graphicData>
            </a:graphic>
          </wp:inline>
        </w:drawing>
      </w:r>
    </w:p>
    <w:p w14:paraId="1A10451B" w14:textId="77777777" w:rsidR="002704C5" w:rsidRDefault="00000000">
      <w:pPr>
        <w:pBdr>
          <w:top w:val="nil"/>
          <w:left w:val="nil"/>
          <w:bottom w:val="nil"/>
          <w:right w:val="nil"/>
          <w:between w:val="nil"/>
        </w:pBdr>
        <w:spacing w:line="280" w:lineRule="auto"/>
        <w:ind w:left="14"/>
        <w:rPr>
          <w:sz w:val="20"/>
          <w:szCs w:val="20"/>
        </w:rPr>
      </w:pPr>
      <w:r>
        <w:rPr>
          <w:b/>
          <w:color w:val="000000"/>
          <w:sz w:val="20"/>
          <w:szCs w:val="20"/>
        </w:rPr>
        <w:t xml:space="preserve">Figura 2. </w:t>
      </w:r>
      <w:r>
        <w:rPr>
          <w:color w:val="000000"/>
          <w:sz w:val="20"/>
          <w:szCs w:val="20"/>
        </w:rPr>
        <w:t>Curva de dose-resposta para o extrato em acetato de etila.</w:t>
      </w:r>
    </w:p>
    <w:p w14:paraId="7D37DBAC" w14:textId="77777777" w:rsidR="002704C5" w:rsidRDefault="00000000">
      <w:pPr>
        <w:keepNext/>
        <w:keepLines/>
        <w:pBdr>
          <w:top w:val="nil"/>
          <w:left w:val="nil"/>
          <w:bottom w:val="nil"/>
          <w:right w:val="nil"/>
          <w:between w:val="nil"/>
        </w:pBdr>
        <w:spacing w:before="70"/>
        <w:jc w:val="both"/>
        <w:rPr>
          <w:color w:val="000000"/>
          <w:sz w:val="20"/>
          <w:szCs w:val="20"/>
        </w:rPr>
      </w:pPr>
      <w:r>
        <w:rPr>
          <w:color w:val="000000"/>
          <w:sz w:val="20"/>
          <w:szCs w:val="20"/>
        </w:rPr>
        <w:t>Na concentração de 500 µmol L</w:t>
      </w:r>
      <w:r>
        <w:rPr>
          <w:color w:val="000000"/>
          <w:sz w:val="20"/>
          <w:szCs w:val="20"/>
          <w:vertAlign w:val="superscript"/>
        </w:rPr>
        <w:t>-1</w:t>
      </w:r>
      <w:r>
        <w:rPr>
          <w:color w:val="000000"/>
          <w:sz w:val="20"/>
          <w:szCs w:val="20"/>
        </w:rPr>
        <w:t xml:space="preserve">, ácido benzóico e ácido fumárico inibiram em 100% e 62% a germinação de </w:t>
      </w:r>
      <w:r>
        <w:rPr>
          <w:sz w:val="20"/>
          <w:szCs w:val="20"/>
        </w:rPr>
        <w:t>urediniósporos</w:t>
      </w:r>
      <w:r>
        <w:rPr>
          <w:color w:val="000000"/>
          <w:sz w:val="20"/>
          <w:szCs w:val="20"/>
        </w:rPr>
        <w:t xml:space="preserve"> de </w:t>
      </w:r>
      <w:r>
        <w:rPr>
          <w:i/>
          <w:color w:val="000000"/>
          <w:sz w:val="20"/>
          <w:szCs w:val="20"/>
        </w:rPr>
        <w:t xml:space="preserve">H. </w:t>
      </w:r>
      <w:r>
        <w:rPr>
          <w:i/>
          <w:sz w:val="20"/>
          <w:szCs w:val="20"/>
        </w:rPr>
        <w:t>Vastatrix</w:t>
      </w:r>
      <w:r>
        <w:rPr>
          <w:color w:val="000000"/>
          <w:sz w:val="20"/>
          <w:szCs w:val="20"/>
        </w:rPr>
        <w:t xml:space="preserve">, respectivamente. </w:t>
      </w:r>
    </w:p>
    <w:p w14:paraId="62F33E88" w14:textId="77777777" w:rsidR="002704C5" w:rsidRDefault="00000000">
      <w:pPr>
        <w:keepNext/>
        <w:keepLines/>
        <w:pBdr>
          <w:top w:val="nil"/>
          <w:left w:val="nil"/>
          <w:bottom w:val="nil"/>
          <w:right w:val="nil"/>
          <w:between w:val="nil"/>
        </w:pBdr>
        <w:spacing w:before="70"/>
        <w:jc w:val="both"/>
        <w:rPr>
          <w:color w:val="000000"/>
          <w:sz w:val="20"/>
          <w:szCs w:val="20"/>
        </w:rPr>
      </w:pPr>
      <w:r>
        <w:rPr>
          <w:color w:val="000000"/>
          <w:sz w:val="20"/>
          <w:szCs w:val="20"/>
        </w:rPr>
        <w:t xml:space="preserve">Muitos </w:t>
      </w:r>
      <w:r>
        <w:rPr>
          <w:sz w:val="20"/>
          <w:szCs w:val="20"/>
        </w:rPr>
        <w:t>compostos</w:t>
      </w:r>
      <w:r>
        <w:rPr>
          <w:color w:val="000000"/>
          <w:sz w:val="20"/>
          <w:szCs w:val="20"/>
        </w:rPr>
        <w:t xml:space="preserve"> detectados no extrato não puderam ser identificados por comparação do </w:t>
      </w:r>
      <w:r>
        <w:rPr>
          <w:sz w:val="20"/>
          <w:szCs w:val="20"/>
        </w:rPr>
        <w:t>seus</w:t>
      </w:r>
      <w:r>
        <w:rPr>
          <w:color w:val="000000"/>
          <w:sz w:val="20"/>
          <w:szCs w:val="20"/>
        </w:rPr>
        <w:t xml:space="preserve"> espectros de massas com dados da biblioteca do equipamento. Isto indica que trabalhos futuros apresentam potencial para a descoberta de outros compostos envolvidos no antagonismo de </w:t>
      </w:r>
      <w:r>
        <w:rPr>
          <w:i/>
          <w:color w:val="000000"/>
          <w:sz w:val="20"/>
          <w:szCs w:val="20"/>
        </w:rPr>
        <w:t xml:space="preserve">C. </w:t>
      </w:r>
      <w:r>
        <w:rPr>
          <w:i/>
          <w:sz w:val="20"/>
          <w:szCs w:val="20"/>
        </w:rPr>
        <w:t>Hemileiae</w:t>
      </w:r>
      <w:r>
        <w:rPr>
          <w:color w:val="000000"/>
          <w:sz w:val="20"/>
          <w:szCs w:val="20"/>
        </w:rPr>
        <w:t xml:space="preserve"> contra H. Vastatrix, compostos esses que poderão </w:t>
      </w:r>
      <w:r>
        <w:rPr>
          <w:sz w:val="20"/>
          <w:szCs w:val="20"/>
        </w:rPr>
        <w:t>constituir</w:t>
      </w:r>
      <w:r>
        <w:rPr>
          <w:color w:val="000000"/>
          <w:sz w:val="20"/>
          <w:szCs w:val="20"/>
        </w:rPr>
        <w:t xml:space="preserve"> novos fungicidas naturais ou servir de modelo para a síntese de análogos bioativos. </w:t>
      </w:r>
    </w:p>
    <w:p w14:paraId="28B2DAB9" w14:textId="77777777" w:rsidR="002704C5" w:rsidRDefault="00000000">
      <w:pPr>
        <w:pBdr>
          <w:top w:val="nil"/>
          <w:left w:val="nil"/>
          <w:bottom w:val="nil"/>
          <w:right w:val="nil"/>
          <w:between w:val="nil"/>
        </w:pBdr>
        <w:ind w:left="9"/>
        <w:jc w:val="center"/>
        <w:rPr>
          <w:b/>
          <w:color w:val="000000"/>
          <w:sz w:val="28"/>
          <w:szCs w:val="28"/>
        </w:rPr>
      </w:pPr>
      <w:r>
        <w:rPr>
          <w:b/>
          <w:color w:val="000000"/>
          <w:sz w:val="28"/>
          <w:szCs w:val="28"/>
        </w:rPr>
        <w:t>Conclusões</w:t>
      </w:r>
    </w:p>
    <w:p w14:paraId="707DB396" w14:textId="77777777" w:rsidR="002704C5" w:rsidRDefault="00000000">
      <w:pPr>
        <w:keepNext/>
        <w:keepLines/>
        <w:pBdr>
          <w:top w:val="nil"/>
          <w:left w:val="nil"/>
          <w:bottom w:val="nil"/>
          <w:right w:val="nil"/>
          <w:between w:val="nil"/>
        </w:pBdr>
        <w:spacing w:before="70"/>
        <w:jc w:val="both"/>
        <w:rPr>
          <w:color w:val="000000"/>
          <w:sz w:val="20"/>
          <w:szCs w:val="20"/>
        </w:rPr>
      </w:pPr>
      <w:bookmarkStart w:id="6" w:name="_heading=h.eqmhhqzbu40j" w:colFirst="0" w:colLast="0"/>
      <w:bookmarkEnd w:id="6"/>
      <w:r>
        <w:rPr>
          <w:sz w:val="20"/>
          <w:szCs w:val="20"/>
        </w:rPr>
        <w:t xml:space="preserve">O fungo </w:t>
      </w:r>
      <w:r>
        <w:rPr>
          <w:i/>
          <w:sz w:val="20"/>
          <w:szCs w:val="20"/>
        </w:rPr>
        <w:t>Calonectria hemileiae</w:t>
      </w:r>
      <w:r>
        <w:rPr>
          <w:sz w:val="20"/>
          <w:szCs w:val="20"/>
        </w:rPr>
        <w:t xml:space="preserve">, micoparasita de </w:t>
      </w:r>
      <w:r>
        <w:rPr>
          <w:i/>
          <w:sz w:val="20"/>
          <w:szCs w:val="20"/>
        </w:rPr>
        <w:t>Hemileia vastatrix</w:t>
      </w:r>
      <w:r>
        <w:rPr>
          <w:sz w:val="20"/>
          <w:szCs w:val="20"/>
        </w:rPr>
        <w:t xml:space="preserve">, produz metabólitos secundários capazes de inibir a germinação de urediniósporos do fungo hospedeiro. Filtrados de cultura, extratos e metabólitos apresentam potencial para o desenvolvimento de agentes antifúngicos naturais que poderão contribuir para o controle biológico da ferrugem do café. </w:t>
      </w:r>
      <w:r>
        <w:rPr>
          <w:color w:val="000000"/>
          <w:sz w:val="20"/>
          <w:szCs w:val="20"/>
        </w:rPr>
        <w:t xml:space="preserve">Muitos compostos detectados por CG-EM no extrato não puderam ser identificados por comparação do seus espectros de massas com dados da biblioteca do equipamento. Trabalhos futuros poderão levar à identificação de </w:t>
      </w:r>
      <w:r>
        <w:rPr>
          <w:sz w:val="20"/>
          <w:szCs w:val="20"/>
        </w:rPr>
        <w:t>novas</w:t>
      </w:r>
      <w:r>
        <w:rPr>
          <w:color w:val="000000"/>
          <w:sz w:val="20"/>
          <w:szCs w:val="20"/>
        </w:rPr>
        <w:t xml:space="preserve"> estruturas químicas como modelos para o desenvolvimento de novos agentes para o controle da ferrugem do café. </w:t>
      </w:r>
    </w:p>
    <w:p w14:paraId="215F6D2B" w14:textId="77777777" w:rsidR="002704C5" w:rsidRDefault="00000000">
      <w:pPr>
        <w:pBdr>
          <w:top w:val="nil"/>
          <w:left w:val="nil"/>
          <w:bottom w:val="nil"/>
          <w:right w:val="nil"/>
          <w:between w:val="nil"/>
        </w:pBdr>
        <w:ind w:left="9"/>
        <w:jc w:val="center"/>
        <w:rPr>
          <w:b/>
          <w:color w:val="000000"/>
          <w:sz w:val="28"/>
          <w:szCs w:val="28"/>
        </w:rPr>
      </w:pPr>
      <w:r>
        <w:rPr>
          <w:b/>
          <w:color w:val="000000"/>
          <w:sz w:val="28"/>
          <w:szCs w:val="28"/>
        </w:rPr>
        <w:t>Agradecimentos</w:t>
      </w:r>
    </w:p>
    <w:p w14:paraId="64EBBED8" w14:textId="77777777" w:rsidR="002704C5" w:rsidRDefault="00000000">
      <w:pPr>
        <w:spacing w:before="83"/>
        <w:ind w:left="9"/>
        <w:jc w:val="both"/>
        <w:rPr>
          <w:sz w:val="20"/>
          <w:szCs w:val="20"/>
        </w:rPr>
      </w:pPr>
      <w:r>
        <w:rPr>
          <w:sz w:val="20"/>
          <w:szCs w:val="20"/>
        </w:rPr>
        <w:t>Ao conselho Nacional de Desenvolvimento Científico e Tecnológico – CNPq (Processo 401785/2023-8), à Fundação de Amparo à Pesquisa do Estado de Minas Gerais - FAPEMIG (APQ-01414-24) e à coordenação de Aperfeiçoamento de Pessoal de Nível Superior (CAPES) pelo suporte financeiro.</w:t>
      </w:r>
    </w:p>
    <w:p w14:paraId="43055576" w14:textId="77777777" w:rsidR="002704C5" w:rsidRDefault="00000000">
      <w:pPr>
        <w:pBdr>
          <w:top w:val="nil"/>
          <w:left w:val="nil"/>
          <w:bottom w:val="nil"/>
          <w:right w:val="nil"/>
          <w:between w:val="nil"/>
        </w:pBdr>
        <w:spacing w:before="39"/>
        <w:ind w:right="7"/>
        <w:jc w:val="center"/>
        <w:rPr>
          <w:b/>
          <w:color w:val="000000"/>
          <w:sz w:val="28"/>
          <w:szCs w:val="28"/>
        </w:rPr>
      </w:pPr>
      <w:bookmarkStart w:id="7" w:name="_heading=h.ue3pibgtajxr" w:colFirst="0" w:colLast="0"/>
      <w:bookmarkEnd w:id="7"/>
      <w:r>
        <w:rPr>
          <w:b/>
          <w:color w:val="000000"/>
          <w:sz w:val="28"/>
          <w:szCs w:val="28"/>
        </w:rPr>
        <w:t>Referências</w:t>
      </w:r>
    </w:p>
    <w:p w14:paraId="3EAC6669" w14:textId="77777777" w:rsidR="002704C5" w:rsidRDefault="00000000">
      <w:pPr>
        <w:tabs>
          <w:tab w:val="left" w:pos="211"/>
        </w:tabs>
        <w:spacing w:before="40"/>
        <w:ind w:left="9" w:hanging="202"/>
        <w:jc w:val="both"/>
        <w:rPr>
          <w:sz w:val="20"/>
          <w:szCs w:val="20"/>
        </w:rPr>
      </w:pPr>
      <w:bookmarkStart w:id="8" w:name="_heading=h.lk0h1cfbdcqz" w:colFirst="0" w:colLast="0"/>
      <w:bookmarkEnd w:id="8"/>
      <w:r>
        <w:rPr>
          <w:sz w:val="20"/>
          <w:szCs w:val="20"/>
        </w:rPr>
        <w:t xml:space="preserve">1. L.R. Galvão; J.S.S. Bueno Filho; A.K. Alves; C.P. Chain, </w:t>
      </w:r>
      <w:r>
        <w:rPr>
          <w:i/>
          <w:sz w:val="20"/>
          <w:szCs w:val="20"/>
        </w:rPr>
        <w:t>Res. Soc. Dev</w:t>
      </w:r>
      <w:r>
        <w:rPr>
          <w:sz w:val="20"/>
          <w:szCs w:val="20"/>
        </w:rPr>
        <w:t xml:space="preserve">.  </w:t>
      </w:r>
      <w:r>
        <w:rPr>
          <w:b/>
          <w:sz w:val="20"/>
          <w:szCs w:val="20"/>
        </w:rPr>
        <w:t>2022</w:t>
      </w:r>
      <w:r>
        <w:rPr>
          <w:sz w:val="20"/>
          <w:szCs w:val="20"/>
        </w:rPr>
        <w:t>, 11, e39611629264</w:t>
      </w:r>
    </w:p>
    <w:p w14:paraId="76E19C1D" w14:textId="77777777" w:rsidR="002704C5" w:rsidRDefault="00000000">
      <w:pPr>
        <w:tabs>
          <w:tab w:val="left" w:pos="211"/>
        </w:tabs>
        <w:spacing w:before="40"/>
        <w:ind w:left="9" w:hanging="202"/>
        <w:jc w:val="both"/>
        <w:rPr>
          <w:sz w:val="20"/>
          <w:szCs w:val="20"/>
        </w:rPr>
      </w:pPr>
      <w:r>
        <w:rPr>
          <w:sz w:val="20"/>
          <w:szCs w:val="20"/>
        </w:rPr>
        <w:t>2. R. Borjas-Ventura; L. Alvarado-Huaman; V. Castro-Cepero; D. Rebaza-Fernández; L. Gómez-Pando; A. Julca-Otiniano, </w:t>
      </w:r>
      <w:r>
        <w:rPr>
          <w:i/>
          <w:sz w:val="20"/>
          <w:szCs w:val="20"/>
        </w:rPr>
        <w:t>Agronomy</w:t>
      </w:r>
      <w:r>
        <w:rPr>
          <w:sz w:val="20"/>
          <w:szCs w:val="20"/>
        </w:rPr>
        <w:t> </w:t>
      </w:r>
      <w:r>
        <w:rPr>
          <w:b/>
          <w:sz w:val="20"/>
          <w:szCs w:val="20"/>
        </w:rPr>
        <w:t>2020</w:t>
      </w:r>
      <w:r>
        <w:rPr>
          <w:sz w:val="20"/>
          <w:szCs w:val="20"/>
        </w:rPr>
        <w:t xml:space="preserve">, 10, 1867. </w:t>
      </w:r>
    </w:p>
    <w:p w14:paraId="482EF9CC" w14:textId="77777777" w:rsidR="002704C5" w:rsidRDefault="00000000">
      <w:pPr>
        <w:tabs>
          <w:tab w:val="left" w:pos="211"/>
        </w:tabs>
        <w:spacing w:before="40"/>
        <w:ind w:left="9" w:hanging="202"/>
        <w:jc w:val="both"/>
        <w:rPr>
          <w:sz w:val="20"/>
          <w:szCs w:val="20"/>
        </w:rPr>
      </w:pPr>
      <w:r>
        <w:rPr>
          <w:sz w:val="20"/>
          <w:szCs w:val="20"/>
        </w:rPr>
        <w:t xml:space="preserve">3. X. Wang; X. Li; Y. Wang; Y. Qin; B. Yan; C.J. Martyniuk, </w:t>
      </w:r>
      <w:r>
        <w:rPr>
          <w:i/>
          <w:sz w:val="20"/>
          <w:szCs w:val="20"/>
        </w:rPr>
        <w:t>Environ. Pollut</w:t>
      </w:r>
      <w:r>
        <w:rPr>
          <w:sz w:val="20"/>
          <w:szCs w:val="20"/>
        </w:rPr>
        <w:t xml:space="preserve">. </w:t>
      </w:r>
      <w:r>
        <w:rPr>
          <w:b/>
          <w:sz w:val="20"/>
          <w:szCs w:val="20"/>
        </w:rPr>
        <w:t>2021</w:t>
      </w:r>
      <w:r>
        <w:rPr>
          <w:sz w:val="20"/>
          <w:szCs w:val="20"/>
        </w:rPr>
        <w:t>,  15, 116671. </w:t>
      </w:r>
    </w:p>
    <w:p w14:paraId="4D31EB4A" w14:textId="77777777" w:rsidR="002704C5" w:rsidRDefault="00000000">
      <w:pPr>
        <w:tabs>
          <w:tab w:val="left" w:pos="211"/>
        </w:tabs>
        <w:spacing w:before="40"/>
        <w:ind w:left="9" w:hanging="202"/>
        <w:jc w:val="both"/>
        <w:rPr>
          <w:sz w:val="20"/>
          <w:szCs w:val="20"/>
        </w:rPr>
      </w:pPr>
      <w:r>
        <w:rPr>
          <w:sz w:val="20"/>
          <w:szCs w:val="20"/>
        </w:rPr>
        <w:t xml:space="preserve">4. S. Salcedo-Sarmiento; C.E. Aucique-Pérez; P.R. Silveira, A.A. Colmán, A.L. Silva, P.S.C. Mansur, F.A. Rodrigues, H.C. Evans, R.W. Barreto, </w:t>
      </w:r>
      <w:r>
        <w:rPr>
          <w:i/>
          <w:sz w:val="20"/>
          <w:szCs w:val="20"/>
        </w:rPr>
        <w:t>iScience</w:t>
      </w:r>
      <w:r>
        <w:rPr>
          <w:sz w:val="20"/>
          <w:szCs w:val="20"/>
        </w:rPr>
        <w:t xml:space="preserve"> </w:t>
      </w:r>
      <w:r>
        <w:rPr>
          <w:b/>
          <w:sz w:val="20"/>
          <w:szCs w:val="20"/>
        </w:rPr>
        <w:t>2021</w:t>
      </w:r>
      <w:r>
        <w:rPr>
          <w:sz w:val="20"/>
          <w:szCs w:val="20"/>
        </w:rPr>
        <w:t>, 24, 102352.</w:t>
      </w:r>
    </w:p>
    <w:p w14:paraId="0F1C4A1B" w14:textId="77777777" w:rsidR="002704C5" w:rsidRDefault="002704C5">
      <w:pPr>
        <w:pBdr>
          <w:top w:val="nil"/>
          <w:left w:val="nil"/>
          <w:bottom w:val="nil"/>
          <w:right w:val="nil"/>
          <w:between w:val="nil"/>
        </w:pBdr>
        <w:spacing w:before="62" w:line="280" w:lineRule="auto"/>
        <w:jc w:val="both"/>
        <w:rPr>
          <w:color w:val="000000"/>
          <w:sz w:val="20"/>
          <w:szCs w:val="20"/>
        </w:rPr>
      </w:pPr>
    </w:p>
    <w:sectPr w:rsidR="002704C5">
      <w:type w:val="continuous"/>
      <w:pgSz w:w="11910" w:h="16850"/>
      <w:pgMar w:top="0" w:right="283" w:bottom="0" w:left="283" w:header="720" w:footer="720" w:gutter="0"/>
      <w:cols w:num="2" w:space="720" w:equalWidth="0">
        <w:col w:w="5469" w:space="405"/>
        <w:col w:w="546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4C5"/>
    <w:rsid w:val="001C4D06"/>
    <w:rsid w:val="002704C5"/>
    <w:rsid w:val="00C42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067D"/>
  <w15:docId w15:val="{6E7EAFD2-BB9C-4E9F-A56A-F0418FE8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4"/>
      <w:jc w:val="center"/>
      <w:outlineLvl w:val="0"/>
    </w:pPr>
    <w:rPr>
      <w:b/>
      <w:sz w:val="28"/>
      <w:szCs w:val="2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ucuuBZRtiaZX7BPvkTwB4zR0Q==">CgMxLjAyDmgucnFzenFvdjQwZTR5Mg5oLnFieWV2N2dkZWdocDIOaC5tam1oM255ZzVrbDMyDmguczMwY3VrOWVrdTBoMg1oLmhweTlsamR4dzlkMg5oLmEzaXg1b2ZlMzdxdTIOaC5lcW1oaHF6YnU0MGoyDmgudWUzcGliZ3RhanhyMg5oLmxrMGgxY2ZiZGNxejgAciExVE50TGk0dk1yVTBES1JSQmN4RnJEem9oX09XSlhHcmc=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1503</Words>
  <Characters>8119</Characters>
  <Application>Microsoft Office Word</Application>
  <DocSecurity>0</DocSecurity>
  <Lines>67</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Varejão</dc:creator>
  <cp:lastModifiedBy>Matheus Sarmento Mendonça</cp:lastModifiedBy>
  <cp:revision>2</cp:revision>
  <dcterms:created xsi:type="dcterms:W3CDTF">2025-07-30T13:27:00Z</dcterms:created>
  <dcterms:modified xsi:type="dcterms:W3CDTF">2025-07-30T13:27:00Z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2025-02-20T00:00:00Z</vt:lpwstr>
  </property>
  <property fmtid="{D5CDD505-2E9C-101B-9397-08002B2CF9AE}" pid="3" name="Creator">
    <vt:lpwstr>Canva</vt:lpwstr>
  </property>
  <property fmtid="{D5CDD505-2E9C-101B-9397-08002B2CF9AE}" pid="4" name="LastSaved">
    <vt:lpwstr>2025-02-20T00:00:00Z</vt:lpwstr>
  </property>
  <property fmtid="{D5CDD505-2E9C-101B-9397-08002B2CF9AE}" pid="5" name="Producer">
    <vt:lpwstr>Canva</vt:lpwstr>
  </property>
  <property fmtid="{D5CDD505-2E9C-101B-9397-08002B2CF9AE}" pid="6" name="KSOProductBuildVer">
    <vt:lpwstr>1046-12.2.0.19805</vt:lpwstr>
  </property>
  <property fmtid="{D5CDD505-2E9C-101B-9397-08002B2CF9AE}" pid="7" name="ICV">
    <vt:lpwstr>4DA267AB40204A429D2DFE2BFC6DA698_13</vt:lpwstr>
  </property>
</Properties>
</file>