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280" w:before="120" w:line="360" w:lineRule="auto"/>
        <w:ind w:left="7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ACESSO A MEDICAMENTOS ONCOLÓGICOS DE ALTO CUSTO E A ORIENTAÇÃO SOCIAL: A IMPORTÂNCIA DA INTERVENÇÃO DO SERVIÇO SOCIAL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Renata Ferreira do Nascimento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Residente multiprofissional da Escola de Saúde Pública do Estado do Ceará - ESP/CE.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renataseso22@gmail.com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Rosalí Duarte de Oliveira </w:t>
      </w:r>
    </w:p>
    <w:p w:rsidR="00000000" w:rsidDel="00000000" w:rsidP="00000000" w:rsidRDefault="00000000" w:rsidRPr="00000000" w14:paraId="00000008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Residente multiprofissional da Escola de Saúde Pública do Estado do Ceará - ESP/CE.</w:t>
      </w:r>
    </w:p>
    <w:p w:rsidR="00000000" w:rsidDel="00000000" w:rsidP="00000000" w:rsidRDefault="00000000" w:rsidRPr="00000000" w14:paraId="00000009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rosaliduarte_@hotmail.com</w:t>
      </w:r>
    </w:p>
    <w:p w:rsidR="00000000" w:rsidDel="00000000" w:rsidP="00000000" w:rsidRDefault="00000000" w:rsidRPr="00000000" w14:paraId="0000000A">
      <w:pPr>
        <w:spacing w:line="288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Políticas Públicas e Direitos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2"/>
          <w:szCs w:val="22"/>
          <w:rtl w:val="0"/>
        </w:rPr>
        <w:t xml:space="preserve">Ciências Sociais Aplicadas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Encontro Científico: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rtl w:val="0"/>
        </w:rPr>
        <w:t xml:space="preserve">XIII Encontro de Pós-graduação.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artigo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busca relatar de maneira sucinta, como ocorre na prática a orientação para o recebimento de medicamentos de alto custo, via Sistema Único de Saúde (SUS), tendo em vista que deve ser assegurado aos usuários do sistema acesso a medicamentos necessários ao seu tratamento, de maneira gratuita e independente de seu custo. No entanto, tal acesso às vezes exige procedimentos burocráticos, que com a orientação necessária, viabilizam de maneira rápida seu recebimento.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do exposto, esta pesquisa relata como se dá o fluxo existente no cotidiano do universo hospitalar, durante a vivência profissional de uma assistente social e uma  farmacêutica, que atuam na política de saúde, em um centro especializado para pacientes oncológicos.  A experiência com duração de um ano, faz parte da inserção na ênfase de oncologia da Residência Integrada de Saúde da Escola de Saúde Pública do Ceará. 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Saúde; Medicamentos; Orientação; Oncológico.</w:t>
      </w:r>
    </w:p>
    <w:p w:rsidR="00000000" w:rsidDel="00000000" w:rsidP="00000000" w:rsidRDefault="00000000" w:rsidRPr="00000000" w14:paraId="00000013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</w:t>
      </w:r>
    </w:p>
    <w:p w:rsidR="00000000" w:rsidDel="00000000" w:rsidP="00000000" w:rsidRDefault="00000000" w:rsidRPr="00000000" w14:paraId="00000014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Brasil, constitucionalmente a saúde é considerada como um direito de todos, devendo ser provida por políticas públicas de Estado, visando não somente a cura do adoecimento, mas diversos fatores, tais:  prevenção e tratamento.</w:t>
      </w:r>
    </w:p>
    <w:p w:rsidR="00000000" w:rsidDel="00000000" w:rsidP="00000000" w:rsidRDefault="00000000" w:rsidRPr="00000000" w14:paraId="00000015">
      <w:pPr>
        <w:widowControl w:val="1"/>
        <w:ind w:left="21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Art. 196. A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</w:p>
    <w:p w:rsidR="00000000" w:rsidDel="00000000" w:rsidP="00000000" w:rsidRDefault="00000000" w:rsidRPr="00000000" w14:paraId="00000016">
      <w:pPr>
        <w:widowControl w:val="1"/>
        <w:ind w:left="2160" w:firstLine="708.999999999999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Tendo em vista o texto constitucional e demais legislações ligadas ao SUS, fica claro o dever do Estado em fornecer as medicações necessárias para o tratamento de todo e qualquer cidadão dependente do sistema, independentemente de seu custo financeiro. No que tange ao paciente oncológico, quando assistido pelo SUS tem direito a começar o tratamento (cirurgia, quimioterapia ou radioterapia) em até 60 dias, a partir da data de emissão de laudo médico que comprove a doença. Sendo-lhe igualmente assegurado acesso a medicamentos, exames e demais procedimentos necessários durante o seu processo de cura. </w:t>
      </w:r>
    </w:p>
    <w:p w:rsidR="00000000" w:rsidDel="00000000" w:rsidP="00000000" w:rsidRDefault="00000000" w:rsidRPr="00000000" w14:paraId="00000018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Devido a complexidade do tratamento ao paciente com câncer, grande parte dos medicamentos utilizados durante o seu tratamento, possui um alto custo. Sendo assim necessárias medidas um pouco mais burocráticas para o seu recebimento do que as que são normalmente exigidas, quando o recebimento ocorre em algum hospital ou unidade básica de saúde em que ele faça acompanhamento.</w:t>
      </w:r>
    </w:p>
    <w:p w:rsidR="00000000" w:rsidDel="00000000" w:rsidP="00000000" w:rsidRDefault="00000000" w:rsidRPr="00000000" w14:paraId="00000019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centro especializado em que esta pesquisa foi realizada, um dos medicamentos de alto custo  comumente utilizado por nossos pacientes e que necessita de orientação especial é o Granulokine. Semanalmente, as Assistentes Sociais do Centro fazem dezenas de orientações acerca de como solicitar essa medicação através da Secretaria de Saúde do Estado.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31313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entendermos o uso do Granulokine, precisamos compreender que os neutrófilos são a primeira linha de defesa do organismo, sua redução na corrente sanguínea pode levar o indivíduo a quadros de infecções, principalmente bacterianas. O fator estimulador de colônias de granulócitos (G-CSF) é uma citocina hematopoiética que atua na medula óssea e estimula a produção e ativação dos neutrófilos, sendo seu uso recomendado em vários contextos em oncologia. O uso do medicamento reduz o tempo de internação, os custos e a mortalidade de pacientes (LIMA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G-CSF é usado no tratamento de várias patologias, em particular na neutropenia causada pela quimioterapia em pacientes com câncer, acelerando  a taxa de recuperação dos neutrófilos após quimioterapia mielossupressora. Nos cuidados paliativos, o fármaco fornece o cuidado no dia a dia aos pacientes com o câncer avançado,  aliviando os sintomas indesejados, mas que não tem o objetivo de curar o câncer. (LIMA et al., 2017; KUNIECHICK, 2013).</w:t>
      </w:r>
    </w:p>
    <w:p w:rsidR="00000000" w:rsidDel="00000000" w:rsidP="00000000" w:rsidRDefault="00000000" w:rsidRPr="00000000" w14:paraId="0000001C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prática, uma vez que a referida medicação é indicada aos paciente,  ele é orientado pelo setor de enfermagem a dirigir-se ao núcleo de Serviço Social do centro, onde recebe a devida orientação para a viabilização do recebimento da medicação. Em síntese, este usuário é orientado a procurar a Secretaria de Saúde do estado,  localizada em Fortaleza, Ceará. Uma vez indo a secretaria com a documentação e os exames necessários, este deve procurar o setor responsável pela dispensação dos medicamentos. </w:t>
      </w:r>
    </w:p>
    <w:p w:rsidR="00000000" w:rsidDel="00000000" w:rsidP="00000000" w:rsidRDefault="00000000" w:rsidRPr="00000000" w14:paraId="0000001D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Devido ao elevado número de solicitações feitas diariamente para concessão de medicamentos, geralmente o paciente demora cerca de três a sete dias para receber o deferimento de sua solicitação e ter em mãos sua medicação. </w:t>
      </w:r>
    </w:p>
    <w:p w:rsidR="00000000" w:rsidDel="00000000" w:rsidP="00000000" w:rsidRDefault="00000000" w:rsidRPr="00000000" w14:paraId="0000001E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F">
      <w:pPr>
        <w:widowControl w:val="1"/>
        <w:spacing w:before="40" w:line="36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Nesta pesquisa optamos por trazer como proposta metodológica, um relato de experiência. Uma vez que tal abordagem possui a finalidade de captar as perspectivas e percepções dos pesquisadores. Segundo Bondía (2002),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experiência, é a possibilidade de que algo nos aconteça ou nos toque. Entretanto, isso requer um gesto de interrupção, o que nos tempos atuais se torna  difícil, pois vivemos sempre em um ritmo acelerado. </w:t>
      </w:r>
    </w:p>
    <w:p w:rsidR="00000000" w:rsidDel="00000000" w:rsidP="00000000" w:rsidRDefault="00000000" w:rsidRPr="00000000" w14:paraId="00000020">
      <w:pPr>
        <w:widowControl w:val="1"/>
        <w:spacing w:before="40" w:line="360" w:lineRule="auto"/>
        <w:ind w:firstLine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 tratar de um trabalho realizado utilizando-se apenas do relato das residentes em sua vivência, não houve a participação de seres humanos, não sendo assim necessário que esta pesquisa seja submetida a avaliação do Conselho de ética. </w:t>
      </w:r>
    </w:p>
    <w:p w:rsidR="00000000" w:rsidDel="00000000" w:rsidP="00000000" w:rsidRDefault="00000000" w:rsidRPr="00000000" w14:paraId="00000021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Para que fosse possível obter-se uma compreensão ampliada da realidade, a construção desta pesquisa foi permeada pelo intrínseco processo de pesquisa de revisão bibliográfica. Buscou-se desvendar o espaço institucional e mais especificamente o serviço em que foi desenvolvida a observação de campo. Conjuntamente realizada pesquisa bibliográfica, objetivando assimilar as discussões teóricas acerca do objeto de estudo. </w:t>
      </w:r>
    </w:p>
    <w:p w:rsidR="00000000" w:rsidDel="00000000" w:rsidP="00000000" w:rsidRDefault="00000000" w:rsidRPr="00000000" w14:paraId="00000022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Os resultados deste estudo confirmam que o acesso a medicamentos de alto custo pelo SUS é um direito garantido por lei, mas que pode ser dificultado por procedimentos burocráticos. A orientação social é um importante instrumento para garantir que os pacientes tenham conhecimento de seus direitos e de como proceder para receber o tratamento necessário.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A orientação social pode contribuir para a autonomia e empoderamento dos pacientes oncológicos, permitindo que eles assumam um papel ativo no seu tratamento. Isso é importante, pois é comum que o paciente se encontre em situação de vulnerabilidade social e emocional, o que pode dificultar o acesso adequado ao tratamento. Com base nos resultados obtidos, são feitas as seguintes recomendações para um atendimento social eficaz, resolutivo e capaz de trazer o empoderamento dos sujeitos: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spacing w:after="0" w:afterAutospacing="0" w:before="12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 processo de orientação social para o acesso a medicamentos de alto custo deve ser simplificado e adaptado às necessidades dos pacientes oncológicos;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Os profissionais de saúde devem ser capacitados para orientar os pacientes sobre seus direitos e sobre como acessar o tratamento necessário;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spacing w:after="28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 governo deve investir em políticas públicas que promovam a inclusão social e a autonomia dos pacientes oncológicos.</w:t>
      </w:r>
    </w:p>
    <w:p w:rsidR="00000000" w:rsidDel="00000000" w:rsidP="00000000" w:rsidRDefault="00000000" w:rsidRPr="00000000" w14:paraId="00000028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Os pontos observados acima, são ratificados através do pensamento de Nunes (2015), quando este se refere ao acolhimento por parte do Serviço Social ao paciente com neoplasias.</w:t>
      </w:r>
    </w:p>
    <w:p w:rsidR="00000000" w:rsidDel="00000000" w:rsidP="00000000" w:rsidRDefault="00000000" w:rsidRPr="00000000" w14:paraId="00000029">
      <w:pPr>
        <w:widowControl w:val="1"/>
        <w:ind w:left="21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Um dos primeiros passos no atendimento do paciente oncológico feito pelos assistentes sociais é justamente tirá-lo da situação de passividade em que, muitas vezes, os familiares o colocam, quando não o deixam decidir sobre o tratamento ou até escondem a doença, tomando assim as rédeas da vida do cidadão. É necessário que este sujeito continue ativo e ciente dos seus direitos como cidadão portador de neoplasia. (NUNES, 2015).</w:t>
      </w:r>
    </w:p>
    <w:p w:rsidR="00000000" w:rsidDel="00000000" w:rsidP="00000000" w:rsidRDefault="00000000" w:rsidRPr="00000000" w14:paraId="0000002A">
      <w:pPr>
        <w:widowControl w:val="1"/>
        <w:ind w:left="216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Uma vez orientado acerca de como funcionará  processo para acesso a sua medicação, dificilmente o usuário volta a procurar o Setor de Serviço Social, caso necessite fazer esta solicitação outras vezes. Mostrando assim a importância do processo de orientação para a emancipação dos sujeitos sociais.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 presente artigo buscou relatar de maneira sucinta, como ocorre na prática a orientação para o recebimento de medicamentos de alto custo via Sistema Único de Saúde (SUS). A referida pesquisa foi produzida a partir do relato de experiência de duas residentes da Escola de Saúde Pública do Estado do Ceará - ESP/CE, que atualmente estão lotadas em um centro especializado em pacientes oncológicos. Sendo uma das residentes assistente social e a outra farmacêutica. Assim, foi possível compreender que o processo de orientação é fundamental para que os pacientes possam acessar as medicações necessárias ao seu tratamento de forma rápida e eficaz.</w:t>
      </w:r>
    </w:p>
    <w:p w:rsidR="00000000" w:rsidDel="00000000" w:rsidP="00000000" w:rsidRDefault="00000000" w:rsidRPr="00000000" w14:paraId="0000002E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Os resultados da pesquisa apontam que a orientação social é um importante instrumento de empoderamento dos pacientes oncológicos, uma vez que lhes proporciona o conhecimento e as habilidades necessárias para viabilizar suas demandas de forma independente. Além disso, a orientação contribui para a redução do tempo de espera para o recebimento dos medicamentos, o que é essencial para a continuidade do tratamento.</w:t>
      </w:r>
    </w:p>
    <w:p w:rsidR="00000000" w:rsidDel="00000000" w:rsidP="00000000" w:rsidRDefault="00000000" w:rsidRPr="00000000" w14:paraId="0000002F">
      <w:pPr>
        <w:widowControl w:val="1"/>
        <w:spacing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Com base nos resultados apresentados, é possível concluir que a orientação social é uma prática essencial para garantir o acesso a medicamentos de alto custo aos pacientes oncológicos. A atuação do Serviço Social neste contexto é fundamental para a promoção da equidade e da justiça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800000" w:space="0" w:sz="8" w:val="single"/>
          <w:left w:color="800000" w:space="1" w:sz="8" w:val="single"/>
          <w:bottom w:color="800000" w:space="1" w:sz="8" w:val="single"/>
          <w:right w:color="800000" w:space="1" w:sz="8" w:val="single"/>
        </w:pBdr>
        <w:spacing w:after="120" w:before="200" w:line="288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31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rtl w:val="0"/>
        </w:rPr>
        <w:t xml:space="preserve">BONDIA, Jorge Larrosa. Notas sobre a experiência e o saber de experiência. Revista Brasileira de Educação, Rio de Janeiro, ANPEd, n. 19, p. 20-28, Abr.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[Constituição (1988)]. Constituição da República Federativa do Brasil. Brasília, DF: Senado Federal, 2016. 496 p. Disponível em: https://www2.senado.leg.br/bdsf/bitstream/handle/id/518231/CF88_Livro_EC91_2016.pdf. Acesso em: 18 agosto 2023.</w:t>
      </w:r>
    </w:p>
    <w:p w:rsidR="00000000" w:rsidDel="00000000" w:rsidP="00000000" w:rsidRDefault="00000000" w:rsidRPr="00000000" w14:paraId="00000034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Kuniechick N. Produção do fator estimulador de colônias de granulócitos humano recombinante (rhG-CSF) em biorreator. Porto Alegre: Pontifícia Universidade Católica do Rio Grande do Sul; 2013.</w:t>
      </w:r>
    </w:p>
    <w:p w:rsidR="00000000" w:rsidDel="00000000" w:rsidP="00000000" w:rsidRDefault="00000000" w:rsidRPr="00000000" w14:paraId="00000036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Lima LHP, Naoum PC, Naoum FA. Utilização Clínica do Fator Estimulador de Colônias de Granulócitos (G-CSF). Academia de Ciências e Tecnologia. São José do Rio Preto, São Paulo; 2017.</w:t>
      </w:r>
    </w:p>
    <w:p w:rsidR="00000000" w:rsidDel="00000000" w:rsidP="00000000" w:rsidRDefault="00000000" w:rsidRPr="00000000" w14:paraId="00000038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NUNES, Fernanda Letícia Santos. Desafios e perspectivas postos ao Serviço Social no acolhimento a famílias de pacientes oncológicos. 2015. Monografia (Bacharelado em Serviço Social). Centro de Artes, Humanidades e Letras. Universidade Federal do Recôncavo da Bahia, Cachoeira, 2015.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5760085" cy="20193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20193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1920557</wp:posOffset>
          </wp:positionH>
          <wp:positionV relativeFrom="paragraph">
            <wp:posOffset>0</wp:posOffset>
          </wp:positionV>
          <wp:extent cx="1918970" cy="704850"/>
          <wp:effectExtent b="0" l="0" r="0" t="0"/>
          <wp:wrapSquare wrapText="bothSides" distB="0" distT="0" distL="114300" distR="114300"/>
          <wp:docPr descr="Unifametro | Formar para transformar" id="20" name="image5.png"/>
          <a:graphic>
            <a:graphicData uri="http://schemas.openxmlformats.org/drawingml/2006/picture">
              <pic:pic>
                <pic:nvPicPr>
                  <pic:cNvPr descr="Unifametro | Formar para transformar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897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b="0" l="0" r="0" t="0"/>
          <wp:wrapNone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-26549" r="0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2019: DIVERSIDADES TECNOLÓGICAS E SEUS IMPACTOS SUSTENTÁVEIS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XV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969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CONEXÃO UNIFAMETRO 2023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481965</wp:posOffset>
          </wp:positionH>
          <wp:positionV relativeFrom="paragraph">
            <wp:posOffset>-131444</wp:posOffset>
          </wp:positionV>
          <wp:extent cx="1976400" cy="718922"/>
          <wp:effectExtent b="0" l="0" r="0" t="0"/>
          <wp:wrapSquare wrapText="bothSides" distB="0" distT="0" distL="114300" distR="114300"/>
          <wp:docPr id="1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400" cy="7189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XIX SEMANA ACADÊMICA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214"/>
      </w:tabs>
      <w:spacing w:after="120" w:before="0" w:line="240" w:lineRule="auto"/>
      <w:ind w:left="3402" w:right="-143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ISSN: 2357-8645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28FC"/>
    <w:pPr>
      <w:widowControl w:val="0"/>
      <w:suppressAutoHyphens w:val="1"/>
      <w:spacing w:after="0" w:line="240" w:lineRule="auto"/>
    </w:pPr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styleId="CorpodetextoChar" w:customStyle="1">
    <w:name w:val="Corpo de texto Char"/>
    <w:basedOn w:val="Fontepargpadro"/>
    <w:link w:val="Corpodetexto"/>
    <w:rsid w:val="005F28FC"/>
    <w:rPr>
      <w:rFonts w:ascii="Liberation Serif" w:cs="Mangal" w:eastAsia="Lucida Sans Unicode" w:hAnsi="Liberation Serif"/>
      <w:kern w:val="1"/>
      <w:sz w:val="24"/>
      <w:szCs w:val="24"/>
      <w:lang w:bidi="hi-IN" w:eastAsia="zh-CN"/>
    </w:rPr>
  </w:style>
  <w:style w:type="character" w:styleId="Hyperlink">
    <w:name w:val="Hyperlink"/>
    <w:uiPriority w:val="99"/>
    <w:unhideWhenUsed w:val="1"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5F28FC"/>
    <w:pPr>
      <w:tabs>
        <w:tab w:val="center" w:pos="4252"/>
        <w:tab w:val="right" w:pos="8504"/>
      </w:tabs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5F28FC"/>
    <w:rPr>
      <w:rFonts w:ascii="Liberation Serif" w:cs="Mangal" w:eastAsia="Lucida Sans Unicode" w:hAnsi="Liberation Serif"/>
      <w:kern w:val="1"/>
      <w:sz w:val="24"/>
      <w:szCs w:val="21"/>
      <w:lang w:bidi="hi-IN" w:eastAsia="zh-CN"/>
    </w:rPr>
  </w:style>
  <w:style w:type="paragraph" w:styleId="NormalWeb">
    <w:name w:val="Normal (Web)"/>
    <w:basedOn w:val="Normal"/>
    <w:uiPriority w:val="99"/>
    <w:unhideWhenUsed w:val="1"/>
    <w:rsid w:val="005F28FC"/>
    <w:pPr>
      <w:widowControl w:val="1"/>
      <w:suppressAutoHyphens w:val="0"/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bidi="ar-SA" w:eastAsia="pt-BR"/>
    </w:rPr>
  </w:style>
  <w:style w:type="character" w:styleId="TextodoEspaoReservado">
    <w:name w:val="Placeholder Text"/>
    <w:basedOn w:val="Fontepargpadro"/>
    <w:uiPriority w:val="99"/>
    <w:semiHidden w:val="1"/>
    <w:rsid w:val="002C73D2"/>
    <w:rPr>
      <w:color w:val="808080"/>
    </w:rPr>
  </w:style>
  <w:style w:type="paragraph" w:styleId="Default" w:customStyle="1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AB73D5"/>
      </a:accent1>
      <a:accent2>
        <a:srgbClr val="AB73D5"/>
      </a:accent2>
      <a:accent3>
        <a:srgbClr val="AB73D5"/>
      </a:accent3>
      <a:accent4>
        <a:srgbClr val="AB73D5"/>
      </a:accent4>
      <a:accent5>
        <a:srgbClr val="AB73D5"/>
      </a:accent5>
      <a:accent6>
        <a:srgbClr val="AB73D5"/>
      </a:accent6>
      <a:hlink>
        <a:srgbClr val="AB73D5"/>
      </a:hlink>
      <a:folHlink>
        <a:srgbClr val="AB7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NzMPjIwLYY5u0ceaA8pivdrpQ==">CgMxLjA4AHIhMTRiNnlCSkdPSldsTHJRYmluUElNcVdCVUNybEVpdkJf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2022-09-06T20:45:00Z</dcterms:created>
  <dc:creator>Ana Ciléia Henriques</dc:creator>
</cp:coreProperties>
</file>