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B" w14:textId="0868B159" w:rsidR="00880E69" w:rsidRDefault="00880E69" w:rsidP="007C34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CF4D16D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3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sz w:val="28"/>
          <w:szCs w:val="28"/>
          <w:lang w:val="pt-BR" w:eastAsia="pt-BR"/>
        </w:rPr>
        <w:t>ASSISTÊNCIA DE ENFERMAGEM NA SÍNDROME DA ANGÚSTIA RESPIRATÓRIA </w:t>
      </w:r>
    </w:p>
    <w:p w14:paraId="171316BF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525C5030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color w:val="000000"/>
          <w:position w:val="0"/>
          <w:lang w:val="pt-BR" w:eastAsia="pt-BR"/>
        </w:rPr>
        <w:t>     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Marianna Alves de Oliveira </w:t>
      </w:r>
    </w:p>
    <w:p w14:paraId="3A7D211F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color w:val="000000" w:themeColor="text1"/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Centro Universitário de Patos – UNIFIP – </w:t>
      </w:r>
      <w:hyperlink r:id="rId8">
        <w:r w:rsidRPr="007C3437">
          <w:rPr>
            <w:rFonts w:ascii="Arial" w:eastAsia="Arial" w:hAnsi="Arial" w:cs="Arial"/>
            <w:color w:val="000000" w:themeColor="text1"/>
            <w:position w:val="0"/>
            <w:sz w:val="20"/>
            <w:szCs w:val="20"/>
            <w:u w:val="single"/>
            <w:lang w:val="pt-BR" w:eastAsia="pt-BR"/>
          </w:rPr>
          <w:t>alvesmarianna47@gmail.com</w:t>
        </w:r>
      </w:hyperlink>
      <w:r w:rsidRPr="007C3437">
        <w:rPr>
          <w:rFonts w:ascii="Arial" w:eastAsia="Arial" w:hAnsi="Arial" w:cs="Arial"/>
          <w:color w:val="000000" w:themeColor="text1"/>
          <w:position w:val="0"/>
          <w:sz w:val="20"/>
          <w:szCs w:val="20"/>
          <w:lang w:val="pt-BR" w:eastAsia="pt-BR"/>
        </w:rPr>
        <w:t> </w:t>
      </w:r>
    </w:p>
    <w:p w14:paraId="6D6C7A60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759FA617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Jacqueline Freires Rufino</w:t>
      </w:r>
    </w:p>
    <w:p w14:paraId="08B3ABE2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Centro Universitário de Patos – UNIFIP- jaaack2018@gmail.com</w:t>
      </w:r>
    </w:p>
    <w:p w14:paraId="6FD5A363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71EA0632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Vanessa Maria Monteiro Silva </w:t>
      </w:r>
    </w:p>
    <w:p w14:paraId="39FCA879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Centro Universitário de Patos – UNIFIP – </w:t>
      </w:r>
      <w:hyperlink r:id="rId9">
        <w:r w:rsidRPr="007C3437">
          <w:rPr>
            <w:rFonts w:ascii="Arial" w:eastAsia="Arial" w:hAnsi="Arial" w:cs="Arial"/>
            <w:position w:val="0"/>
            <w:sz w:val="20"/>
            <w:szCs w:val="20"/>
            <w:u w:val="single"/>
            <w:lang w:val="pt-BR" w:eastAsia="pt-BR"/>
          </w:rPr>
          <w:t>vanessasilva@enf.fiponline.edu.br</w:t>
        </w:r>
      </w:hyperlink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 </w:t>
      </w:r>
    </w:p>
    <w:p w14:paraId="2CD7EA9F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7250A63B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Thallita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Albuquerque Silva</w:t>
      </w:r>
    </w:p>
    <w:p w14:paraId="1B0628C9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color w:val="000000" w:themeColor="text1"/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Centro Universitário de Patos – UNIFIP – </w:t>
      </w:r>
      <w:hyperlink r:id="rId10">
        <w:r w:rsidRPr="007C3437">
          <w:rPr>
            <w:rFonts w:ascii="Arial" w:eastAsia="Arial" w:hAnsi="Arial" w:cs="Arial"/>
            <w:color w:val="000000" w:themeColor="text1"/>
            <w:position w:val="0"/>
            <w:sz w:val="20"/>
            <w:szCs w:val="20"/>
            <w:u w:val="single"/>
            <w:lang w:val="pt-BR" w:eastAsia="pt-BR"/>
          </w:rPr>
          <w:t>thallitaalbuquerque16@gmail.com</w:t>
        </w:r>
      </w:hyperlink>
      <w:r w:rsidRPr="007C3437">
        <w:rPr>
          <w:rFonts w:ascii="Arial" w:eastAsia="Arial" w:hAnsi="Arial" w:cs="Arial"/>
          <w:color w:val="000000" w:themeColor="text1"/>
          <w:position w:val="0"/>
          <w:sz w:val="20"/>
          <w:szCs w:val="20"/>
          <w:lang w:val="pt-BR" w:eastAsia="pt-BR"/>
        </w:rPr>
        <w:t> </w:t>
      </w:r>
    </w:p>
    <w:p w14:paraId="56576A87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729EB021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Águida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Maria Fernandes dos Santos</w:t>
      </w:r>
    </w:p>
    <w:p w14:paraId="4CD7E231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color w:val="000000" w:themeColor="text1"/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Centro Universitário de Patos – UNIFIP – </w:t>
      </w:r>
      <w:hyperlink r:id="rId11">
        <w:r w:rsidRPr="007C3437">
          <w:rPr>
            <w:rFonts w:ascii="Arial" w:eastAsia="Arial" w:hAnsi="Arial" w:cs="Arial"/>
            <w:color w:val="000000" w:themeColor="text1"/>
            <w:position w:val="0"/>
            <w:sz w:val="20"/>
            <w:szCs w:val="20"/>
            <w:u w:val="single"/>
            <w:lang w:val="pt-BR" w:eastAsia="pt-BR"/>
          </w:rPr>
          <w:t>aguidasantos@enf.fiponline.edu.br</w:t>
        </w:r>
      </w:hyperlink>
    </w:p>
    <w:p w14:paraId="110D438D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44E53238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Denisy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Dantas Melquiades Azevedo</w:t>
      </w:r>
    </w:p>
    <w:p w14:paraId="27C45873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Centro Universitário de Patos- UNIFIP – </w:t>
      </w:r>
      <w:hyperlink r:id="rId12">
        <w:r w:rsidRPr="007C3437">
          <w:rPr>
            <w:rFonts w:ascii="Arial" w:eastAsia="Arial" w:hAnsi="Arial" w:cs="Arial"/>
            <w:color w:val="000000" w:themeColor="text1"/>
            <w:position w:val="0"/>
            <w:sz w:val="20"/>
            <w:szCs w:val="20"/>
            <w:u w:val="single"/>
            <w:lang w:val="pt-BR" w:eastAsia="pt-BR"/>
          </w:rPr>
          <w:t>denisymelquiades@fiponline.edu.br</w:t>
        </w:r>
      </w:hyperlink>
    </w:p>
    <w:p w14:paraId="3281FFE8" w14:textId="77777777" w:rsidR="007C3437" w:rsidRPr="007C3437" w:rsidRDefault="007C3437" w:rsidP="007C343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40432FBD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Resumo</w:t>
      </w:r>
    </w:p>
    <w:p w14:paraId="6C8B31EF" w14:textId="77777777" w:rsidR="007C3437" w:rsidRPr="007C3437" w:rsidRDefault="007C3437" w:rsidP="007C3437">
      <w:pPr>
        <w:suppressAutoHyphens w:val="0"/>
        <w:spacing w:before="280" w:after="2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position w:val="0"/>
          <w:lang w:val="pt-BR" w:eastAsia="pt-BR"/>
        </w:rPr>
        <w:t xml:space="preserve">Introdução: </w:t>
      </w:r>
      <w:r w:rsidRPr="007C3437">
        <w:rPr>
          <w:rFonts w:ascii="Arial" w:eastAsia="Arial" w:hAnsi="Arial" w:cs="Arial"/>
          <w:position w:val="0"/>
          <w:lang w:val="pt-BR" w:eastAsia="pt-BR"/>
        </w:rPr>
        <w:t xml:space="preserve">A Síndrome da Angústia Respiratória (SARN), também conhecida como doença da Membrana Hialina, é um distúrbio pulmonar que ocorrer em neonatos pré-termo, com menos de 35 semana, onde os pulmões não conseguem permanecer abertos, pela falta ou insuficiência de surfactante pulmonar. </w:t>
      </w:r>
      <w:r w:rsidRPr="007C3437">
        <w:rPr>
          <w:rFonts w:ascii="Arial" w:eastAsia="Arial" w:hAnsi="Arial" w:cs="Arial"/>
          <w:b/>
          <w:position w:val="0"/>
          <w:lang w:val="pt-BR" w:eastAsia="pt-BR"/>
        </w:rPr>
        <w:t>Método:</w:t>
      </w:r>
      <w:r w:rsidRPr="007C3437">
        <w:rPr>
          <w:rFonts w:ascii="Arial" w:eastAsia="Arial" w:hAnsi="Arial" w:cs="Arial"/>
          <w:position w:val="0"/>
          <w:lang w:val="pt-BR" w:eastAsia="pt-BR"/>
        </w:rPr>
        <w:t xml:space="preserve"> É um estudo de revisão integrativa da literatura, utilizando um enfoque qualitativo que teve como pergunta norteadora “Qual o papel assistencial da enfermagem na síndrome da angústia respiratória?”</w:t>
      </w:r>
      <w:r w:rsidRPr="007C3437">
        <w:rPr>
          <w:rFonts w:ascii="Arial" w:eastAsia="Arial" w:hAnsi="Arial" w:cs="Arial"/>
          <w:b/>
          <w:position w:val="0"/>
          <w:lang w:val="pt-BR" w:eastAsia="pt-BR"/>
        </w:rPr>
        <w:t xml:space="preserve"> Resultados e Discussões:</w:t>
      </w:r>
      <w:r w:rsidRPr="007C3437">
        <w:rPr>
          <w:rFonts w:ascii="Arial" w:eastAsia="Arial" w:hAnsi="Arial" w:cs="Arial"/>
          <w:position w:val="0"/>
          <w:lang w:val="pt-BR" w:eastAsia="pt-BR"/>
        </w:rPr>
        <w:t xml:space="preserve"> Diante do exposto, o impacto da SARN na sobrevida neonatal é explícito, fazendo com que haja a adoção de protocolos baseados em evidências que o torne extremamente essencial. Além de estudos futuros que devem explorar novas abordagens terapêuticas, inovações medicamentosas e a personalização do tratamento para reduzir complicações a longo prazo. </w:t>
      </w:r>
      <w:r w:rsidRPr="007C3437">
        <w:rPr>
          <w:rFonts w:ascii="Arial" w:eastAsia="Arial" w:hAnsi="Arial" w:cs="Arial"/>
          <w:b/>
          <w:position w:val="0"/>
          <w:lang w:val="pt-BR" w:eastAsia="pt-BR"/>
        </w:rPr>
        <w:t>Conclusão:</w:t>
      </w:r>
      <w:r w:rsidRPr="007C3437">
        <w:rPr>
          <w:rFonts w:ascii="Arial" w:eastAsia="Arial" w:hAnsi="Arial" w:cs="Arial"/>
          <w:position w:val="0"/>
          <w:lang w:val="pt-BR" w:eastAsia="pt-BR"/>
        </w:rPr>
        <w:t xml:space="preserve"> Observa-se que a assistência qualificada da equipe de enfermagem, aliada ao diagnóstico precoce e à utilização adequada do surfactante exógeno, constitui-se como um diferencial importante na sobrevida e na qualidade de vida dos neonatos acometidos. Ressalta-se, ainda, a necessidade de investimentos em educação permanente dos profissionais da saúde, a fim de promover uma assistência segura e eficaz.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color w:val="000000"/>
          <w:position w:val="0"/>
          <w:lang w:val="pt-BR" w:eastAsia="pt-BR"/>
        </w:rPr>
        <w:t xml:space="preserve">     </w:t>
      </w:r>
    </w:p>
    <w:p w14:paraId="33079A95" w14:textId="77777777" w:rsidR="007C3437" w:rsidRPr="007C3437" w:rsidRDefault="007C3437" w:rsidP="007C3437">
      <w:pPr>
        <w:suppressAutoHyphens w:val="0"/>
        <w:spacing w:before="280" w:after="2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FF0000"/>
          <w:position w:val="0"/>
          <w:lang w:val="en-US" w:eastAsia="pt-BR"/>
        </w:rPr>
      </w:pPr>
      <w:r w:rsidRPr="007C3437">
        <w:rPr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Descritores: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SARN. Síndrome da Angústia Respiratória.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en-US" w:eastAsia="pt-BR"/>
        </w:rPr>
        <w:t>Surfactante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en-US" w:eastAsia="pt-BR"/>
        </w:rPr>
        <w:t>.</w:t>
      </w:r>
    </w:p>
    <w:p w14:paraId="45C20A3D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position w:val="0"/>
          <w:lang w:val="en-US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en-US" w:eastAsia="pt-BR"/>
        </w:rPr>
        <w:t>Abstract</w:t>
      </w:r>
    </w:p>
    <w:p w14:paraId="400FA445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US" w:eastAsia="pt-BR"/>
        </w:rPr>
      </w:pPr>
    </w:p>
    <w:p w14:paraId="331DCA4D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en-US" w:eastAsia="pt-BR"/>
        </w:rPr>
      </w:pPr>
      <w:r w:rsidRPr="007C3437">
        <w:rPr>
          <w:rFonts w:ascii="Arial" w:eastAsia="Arial" w:hAnsi="Arial" w:cs="Arial"/>
          <w:b/>
          <w:position w:val="0"/>
          <w:lang w:val="en-US" w:eastAsia="pt-BR"/>
        </w:rPr>
        <w:t>Introduction:</w:t>
      </w:r>
      <w:r w:rsidRPr="007C3437">
        <w:rPr>
          <w:rFonts w:ascii="Arial" w:eastAsia="Arial" w:hAnsi="Arial" w:cs="Arial"/>
          <w:position w:val="0"/>
          <w:lang w:val="en-US" w:eastAsia="pt-BR"/>
        </w:rPr>
        <w:t xml:space="preserve"> Respiratory Distress Syndrome (ARDS), also known as Hyaline Membrane Disease, is a lung disorder that occurs in preterm neonates, less than 35 weeks, where the lungs cannot remain open, due to the lack or insufficiency of </w:t>
      </w:r>
      <w:r w:rsidRPr="007C3437">
        <w:rPr>
          <w:rFonts w:ascii="Arial" w:eastAsia="Arial" w:hAnsi="Arial" w:cs="Arial"/>
          <w:position w:val="0"/>
          <w:lang w:val="en-US" w:eastAsia="pt-BR"/>
        </w:rPr>
        <w:lastRenderedPageBreak/>
        <w:t xml:space="preserve">pulmonary </w:t>
      </w:r>
      <w:proofErr w:type="gramStart"/>
      <w:r w:rsidRPr="007C3437">
        <w:rPr>
          <w:rFonts w:ascii="Arial" w:eastAsia="Arial" w:hAnsi="Arial" w:cs="Arial"/>
          <w:position w:val="0"/>
          <w:lang w:val="en-US" w:eastAsia="pt-BR"/>
        </w:rPr>
        <w:t>surfactant</w:t>
      </w:r>
      <w:proofErr w:type="gramEnd"/>
      <w:r w:rsidRPr="007C3437">
        <w:rPr>
          <w:rFonts w:ascii="Arial" w:eastAsia="Arial" w:hAnsi="Arial" w:cs="Arial"/>
          <w:position w:val="0"/>
          <w:lang w:val="en-US" w:eastAsia="pt-BR"/>
        </w:rPr>
        <w:t xml:space="preserve">. </w:t>
      </w:r>
      <w:r w:rsidRPr="007C3437">
        <w:rPr>
          <w:rFonts w:ascii="Arial" w:eastAsia="Arial" w:hAnsi="Arial" w:cs="Arial"/>
          <w:b/>
          <w:position w:val="0"/>
          <w:lang w:val="en-US" w:eastAsia="pt-BR"/>
        </w:rPr>
        <w:t>Method:</w:t>
      </w:r>
      <w:r w:rsidRPr="007C3437">
        <w:rPr>
          <w:rFonts w:ascii="Arial" w:eastAsia="Arial" w:hAnsi="Arial" w:cs="Arial"/>
          <w:position w:val="0"/>
          <w:lang w:val="en-US" w:eastAsia="pt-BR"/>
        </w:rPr>
        <w:t xml:space="preserve"> This is an integrative literature review study, using a qualitative approach that had as its guiding question “What is the care role of nursing in respiratory distress syndrome?” </w:t>
      </w:r>
      <w:r w:rsidRPr="007C3437">
        <w:rPr>
          <w:rFonts w:ascii="Arial" w:eastAsia="Arial" w:hAnsi="Arial" w:cs="Arial"/>
          <w:b/>
          <w:position w:val="0"/>
          <w:lang w:val="en-US" w:eastAsia="pt-BR"/>
        </w:rPr>
        <w:t>Results and Discussions:</w:t>
      </w:r>
      <w:r w:rsidRPr="007C3437">
        <w:rPr>
          <w:rFonts w:ascii="Arial" w:eastAsia="Arial" w:hAnsi="Arial" w:cs="Arial"/>
          <w:position w:val="0"/>
          <w:lang w:val="en-US" w:eastAsia="pt-BR"/>
        </w:rPr>
        <w:t xml:space="preserve"> Given the above, the impact of ARDS on neonatal survival is explicit, making the adoption of evidence-based protocols extremely essential. In addition to future studies that should explore new therapeutic approaches, drug innovations and personalized treatment to reduce long-term complications. </w:t>
      </w:r>
      <w:r w:rsidRPr="007C3437">
        <w:rPr>
          <w:rFonts w:ascii="Arial" w:eastAsia="Arial" w:hAnsi="Arial" w:cs="Arial"/>
          <w:b/>
          <w:position w:val="0"/>
          <w:lang w:val="en-US" w:eastAsia="pt-BR"/>
        </w:rPr>
        <w:t>Conclusion:</w:t>
      </w:r>
      <w:r w:rsidRPr="007C3437">
        <w:rPr>
          <w:rFonts w:ascii="Arial" w:eastAsia="Arial" w:hAnsi="Arial" w:cs="Arial"/>
          <w:position w:val="0"/>
          <w:lang w:val="en-US" w:eastAsia="pt-BR"/>
        </w:rPr>
        <w:t xml:space="preserve"> It is observed that qualified care by the nursing team, combined with early diagnosis and adequate use of exogenous </w:t>
      </w:r>
      <w:proofErr w:type="gramStart"/>
      <w:r w:rsidRPr="007C3437">
        <w:rPr>
          <w:rFonts w:ascii="Arial" w:eastAsia="Arial" w:hAnsi="Arial" w:cs="Arial"/>
          <w:position w:val="0"/>
          <w:lang w:val="en-US" w:eastAsia="pt-BR"/>
        </w:rPr>
        <w:t>surfactant</w:t>
      </w:r>
      <w:proofErr w:type="gramEnd"/>
      <w:r w:rsidRPr="007C3437">
        <w:rPr>
          <w:rFonts w:ascii="Arial" w:eastAsia="Arial" w:hAnsi="Arial" w:cs="Arial"/>
          <w:position w:val="0"/>
          <w:lang w:val="en-US" w:eastAsia="pt-BR"/>
        </w:rPr>
        <w:t xml:space="preserve">, constitutes an important differential in the survival and quality of life of affected neonates. It is also important to highlight the need for investment in ongoing education for healthcare professionals </w:t>
      </w:r>
      <w:proofErr w:type="gramStart"/>
      <w:r w:rsidRPr="007C3437">
        <w:rPr>
          <w:rFonts w:ascii="Arial" w:eastAsia="Arial" w:hAnsi="Arial" w:cs="Arial"/>
          <w:position w:val="0"/>
          <w:lang w:val="en-US" w:eastAsia="pt-BR"/>
        </w:rPr>
        <w:t>in order to</w:t>
      </w:r>
      <w:proofErr w:type="gramEnd"/>
      <w:r w:rsidRPr="007C3437">
        <w:rPr>
          <w:rFonts w:ascii="Arial" w:eastAsia="Arial" w:hAnsi="Arial" w:cs="Arial"/>
          <w:position w:val="0"/>
          <w:lang w:val="en-US" w:eastAsia="pt-BR"/>
        </w:rPr>
        <w:t xml:space="preserve"> promote safe and effective care.</w:t>
      </w:r>
    </w:p>
    <w:p w14:paraId="18E6C0A5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en-US" w:eastAsia="pt-BR"/>
        </w:rPr>
        <w:t xml:space="preserve">Keywords: </w:t>
      </w:r>
      <w:r w:rsidRPr="007C3437">
        <w:rPr>
          <w:rFonts w:ascii="Arial" w:eastAsia="Arial" w:hAnsi="Arial" w:cs="Arial"/>
          <w:color w:val="000000"/>
          <w:position w:val="0"/>
          <w:lang w:val="en-US" w:eastAsia="pt-BR"/>
        </w:rPr>
        <w:t xml:space="preserve">SARN. Respiratory Distress Syndrome.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Suffocating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. </w:t>
      </w:r>
    </w:p>
    <w:p w14:paraId="67793728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3045E2BB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1 INTRODUÇÃO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ab/>
      </w:r>
    </w:p>
    <w:p w14:paraId="0417FAAD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26F8710D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position w:val="0"/>
          <w:lang w:val="pt-BR" w:eastAsia="pt-BR"/>
        </w:rPr>
        <w:t xml:space="preserve">     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A Síndrome da Angústia Respiratória no Neonato (SARN), também conhecida como doença da membrana hialina, é um distúrbio pulmonar que ocorre em neonatos pré-termo, com menos de 35 semanas, onde os pulmões não conseguem permanecer abertos, pela falta ou insuficiência de surfactante pulmonar (</w:t>
      </w:r>
      <w:proofErr w:type="spellStart"/>
      <w:r w:rsidRPr="007C3437">
        <w:rPr>
          <w:rFonts w:ascii="Arial" w:eastAsia="Arial" w:hAnsi="Arial" w:cs="Arial"/>
          <w:color w:val="000000"/>
          <w:position w:val="0"/>
          <w:sz w:val="25"/>
          <w:szCs w:val="25"/>
          <w:highlight w:val="white"/>
          <w:lang w:val="pt-BR" w:eastAsia="pt-BR"/>
        </w:rPr>
        <w:t>Cesati</w:t>
      </w:r>
      <w:proofErr w:type="spellEnd"/>
      <w:r w:rsidRPr="007C3437">
        <w:rPr>
          <w:rFonts w:ascii="Arial" w:eastAsia="Arial" w:hAnsi="Arial" w:cs="Arial"/>
          <w:color w:val="000000"/>
          <w:position w:val="0"/>
          <w:sz w:val="25"/>
          <w:szCs w:val="25"/>
          <w:highlight w:val="white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>et al.,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2021). O surfactante na vida intrauterina do neonato é essencial para que não haja o colabamento e rigidez nos pulmões, levando esse recém-nascido a situações críticas, onde ele pode apresentar cianose e doenças neurológicas (Ricc</w:t>
      </w:r>
      <w:r w:rsidRPr="007C3437">
        <w:rPr>
          <w:rFonts w:ascii="Arial" w:eastAsia="Arial" w:hAnsi="Arial" w:cs="Arial"/>
          <w:position w:val="0"/>
          <w:lang w:val="pt-BR" w:eastAsia="pt-BR"/>
        </w:rPr>
        <w:t>i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, 2022).</w:t>
      </w:r>
    </w:p>
    <w:p w14:paraId="2415CE06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ab/>
        <w:t xml:space="preserve">               Segundo a Organização Mundial da Saúde (OMS), 15 milhões de neonatos, nascem prematuros em todo mundo e o Brasil está na décima posição com 279,3 mil partos prematuros por ano, o que seria 9,2% a cada cem (100) nascidos vivos (Brasil, 2012). O risco de desenvolver a Síndrome da angústia respiratória aumenta quando esse neonato nasce por cesariana, correspondendo a cerca de 8% dos partos por cesariana e 1% dos partos normais (L</w:t>
      </w:r>
      <w:r w:rsidRPr="007C3437">
        <w:rPr>
          <w:rFonts w:ascii="Arial" w:eastAsia="Arial" w:hAnsi="Arial" w:cs="Arial"/>
          <w:position w:val="0"/>
          <w:lang w:val="pt-BR" w:eastAsia="pt-BR"/>
        </w:rPr>
        <w:t>ago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, 2022).</w:t>
      </w:r>
    </w:p>
    <w:p w14:paraId="738D8EE6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color w:val="000000"/>
          <w:position w:val="0"/>
          <w:lang w:val="pt-BR" w:eastAsia="pt-BR"/>
        </w:rPr>
        <w:tab/>
      </w:r>
      <w:r w:rsidRPr="007C3437">
        <w:rPr>
          <w:color w:val="000000"/>
          <w:position w:val="0"/>
          <w:lang w:val="pt-BR" w:eastAsia="pt-BR"/>
        </w:rPr>
        <w:tab/>
      </w:r>
      <w:r w:rsidRPr="007C3437">
        <w:rPr>
          <w:color w:val="000000"/>
          <w:position w:val="0"/>
          <w:lang w:val="pt-BR" w:eastAsia="pt-BR"/>
        </w:rPr>
        <w:tab/>
        <w:t xml:space="preserve">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Após 35 semanas, esses pulmões já estão prontos para funcionar adequadamente e estabilizados, reduzindo assim a chance de ocorrer uma atelectasia. Os recém-nascidos que sofrem desta anomalia, são pré-termo que não tiveram tempo de gestação suficiente para que ocorresse a produção do surfactante. Assim, é de extrema importância um acompanhamento gestacional com enfermeiro, pois se houver necessidade de intervenção terapêutica, a mesma deve ser instituída o quanto antes, para se prevenir complicações (Ricci, 2022).</w:t>
      </w:r>
    </w:p>
    <w:p w14:paraId="18AFFBC7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ab/>
        <w:t xml:space="preserve">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ab/>
        <w:t xml:space="preserve">          A terapia com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Sulfactante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Pulmonar sintético ou derivado de animais exógenos já mostrou imenso sucesso no tratamento da síndrome do desconforto respiratório neonatal (SDRN) e tem o potencial de contribuir eficientemente para a regeneração de alvéolos danificados e prevenir a insuficiência respiratória (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Ghati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>et al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., 2021).</w:t>
      </w:r>
    </w:p>
    <w:p w14:paraId="335AFFBA" w14:textId="30DFA43B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lang w:val="pt-BR" w:eastAsia="pt-BR"/>
        </w:rPr>
      </w:pPr>
      <w:r w:rsidRPr="007C3437">
        <w:rPr>
          <w:position w:val="0"/>
          <w:lang w:val="pt-BR" w:eastAsia="pt-BR"/>
        </w:rPr>
        <w:tab/>
      </w:r>
      <w:r w:rsidRPr="007C3437">
        <w:rPr>
          <w:position w:val="0"/>
          <w:lang w:val="pt-BR" w:eastAsia="pt-BR"/>
        </w:rPr>
        <w:tab/>
      </w:r>
      <w:r w:rsidRPr="007C3437">
        <w:rPr>
          <w:position w:val="0"/>
          <w:lang w:val="pt-BR" w:eastAsia="pt-BR"/>
        </w:rPr>
        <w:tab/>
      </w:r>
      <w:r w:rsidRPr="007C3437">
        <w:rPr>
          <w:rFonts w:ascii="Arial" w:eastAsia="Arial" w:hAnsi="Arial" w:cs="Arial"/>
          <w:position w:val="0"/>
          <w:lang w:val="pt-BR" w:eastAsia="pt-BR"/>
        </w:rPr>
        <w:t xml:space="preserve">AS consequências da SARN são bastante devastadoras a seus portadores, pois quando a equipe de enfermagem não presta uma boa assistência os traumas e sequelas são tremendas, por isso o presente estudo de </w:t>
      </w:r>
      <w:proofErr w:type="spellStart"/>
      <w:r w:rsidRPr="007C3437">
        <w:rPr>
          <w:rFonts w:ascii="Arial" w:eastAsia="Arial" w:hAnsi="Arial" w:cs="Arial"/>
          <w:position w:val="0"/>
          <w:lang w:val="pt-BR" w:eastAsia="pt-BR"/>
        </w:rPr>
        <w:t>Cesati</w:t>
      </w:r>
      <w:proofErr w:type="spellEnd"/>
      <w:r w:rsidRPr="007C3437">
        <w:rPr>
          <w:rFonts w:ascii="Arial" w:eastAsia="Arial" w:hAnsi="Arial" w:cs="Arial"/>
          <w:position w:val="0"/>
          <w:lang w:val="pt-BR" w:eastAsia="pt-BR"/>
        </w:rPr>
        <w:t xml:space="preserve"> et at., 2022 observou-se a qualidade da assistência prestada pela equipe de enfermagem aos neonatos, e no decore da pesquisa evidenciou que os pacientes com os cuidados mais avançados não tiveram tantas sequelas quanto os demais que não se teve um cuidado de qualidade.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Sendo assim, o presente estudo tem como objetivo analisar o papel do enfermeiro na assistência, prevenção e tratamento da SARN.</w:t>
      </w:r>
    </w:p>
    <w:p w14:paraId="4511476E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lastRenderedPageBreak/>
        <w:t>2 MÉTODO</w:t>
      </w:r>
    </w:p>
    <w:p w14:paraId="42EE1E07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4402CEEE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O estudo foi realizado por meio de uma revisão integrativa da literatura, utilizando um enfoque qualitativo e uma metodologia organizada em fases. Primeiramente, foram estabelecidos os critérios para inclusão e exclusão, as fontes de dados utilizadas e os parâmetros para analisar e interpretar os estudos selecionados. Tendo como tema central: “Assistência de enfermagem na síndrome da angústia respiratória”, tendo como questão norteadora: “Qual o papel assistencial da enfermagem na síndrome da angústia respiratória?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ab/>
        <w:t xml:space="preserve">     </w:t>
      </w:r>
    </w:p>
    <w:p w14:paraId="3AC958E1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Os artigos eleitos seguem os seguintes critérios de inclusão: publicações disponíveis em bases de dados</w:t>
      </w:r>
      <w:r w:rsidRPr="007C3437">
        <w:rPr>
          <w:rFonts w:ascii="Arial" w:eastAsia="Arial" w:hAnsi="Arial" w:cs="Arial"/>
          <w:color w:val="FF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do Google Acadêmico,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Pubmed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e SciELO no idioma português, espanhol, inglês, e publicadas entre os anos de 2021 e 2024. Os descritores utilizados na busca foram: SARN. Síndrome da Angústia Respiratória. Surfactante. Foram excluídas dissertações, teses, artigos duplicados e artigos que não estavam alinhados com o tema principal.</w:t>
      </w:r>
    </w:p>
    <w:p w14:paraId="5963701A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 Na busca dos artigos, utilizou-se a base de dados do Google Acadêmico,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Pubmed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e SciELO. A pesquisa inicial resultou em 30 artigos,</w:t>
      </w:r>
      <w:r w:rsidRPr="007C3437">
        <w:rPr>
          <w:rFonts w:ascii="Arial" w:eastAsia="Arial" w:hAnsi="Arial" w:cs="Arial"/>
          <w:color w:val="FF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dos quais 14 foram descartados com base nos critérios de inclusão e exclusão, restando 16 para uma análise mais detalhada. Após a leitura integral dos textos, 11 estudos foram eliminados por não atenderem aos critérios eletivos. Ao final, foram incluídos 6 estudos para a análise final, os quais embasaram sobre a temática do trabalho.</w:t>
      </w:r>
    </w:p>
    <w:p w14:paraId="56D07068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A coleta de informações foi dividida em duas fases. Na fase inicial, foram registrados os dados de localização do artigo, incluindo o ano e o periódico em que foi publicado. Por Conseguinte, foram analisados os artigos com base em seus objetivos, metodologias utilizadas e resultados obtidos, estabelecendo as conclusões conforme a relevância do tema abordado, considerando: autores, título, objetivos e principais achados.</w:t>
      </w:r>
    </w:p>
    <w:p w14:paraId="15753341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4C3C068D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3 RESULTADOS E DISCUSSÕES</w:t>
      </w:r>
    </w:p>
    <w:p w14:paraId="35D42312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265226D5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sz w:val="22"/>
          <w:szCs w:val="22"/>
          <w:lang w:val="pt-BR" w:eastAsia="pt-BR"/>
        </w:rPr>
        <w:t xml:space="preserve">Tabela 1 – </w:t>
      </w:r>
      <w:r w:rsidRPr="007C3437">
        <w:rPr>
          <w:rFonts w:ascii="Arial" w:eastAsia="Arial" w:hAnsi="Arial" w:cs="Arial"/>
          <w:color w:val="000000"/>
          <w:position w:val="0"/>
          <w:sz w:val="22"/>
          <w:szCs w:val="22"/>
          <w:lang w:val="pt-BR" w:eastAsia="pt-BR"/>
        </w:rPr>
        <w:t>Distribuição dos artigos sobre a SARA, 2025.</w:t>
      </w:r>
    </w:p>
    <w:tbl>
      <w:tblPr>
        <w:tblW w:w="9052" w:type="dxa"/>
        <w:tblLayout w:type="fixed"/>
        <w:tblLook w:val="0400" w:firstRow="0" w:lastRow="0" w:firstColumn="0" w:lastColumn="0" w:noHBand="0" w:noVBand="1"/>
      </w:tblPr>
      <w:tblGrid>
        <w:gridCol w:w="1354"/>
        <w:gridCol w:w="2100"/>
        <w:gridCol w:w="2496"/>
        <w:gridCol w:w="3102"/>
      </w:tblGrid>
      <w:tr w:rsidR="007C3437" w:rsidRPr="007C3437" w14:paraId="601D71DE" w14:textId="77777777" w:rsidTr="003B3B9E">
        <w:trPr>
          <w:trHeight w:val="69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832F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b/>
                <w:color w:val="000000"/>
                <w:position w:val="0"/>
                <w:sz w:val="20"/>
                <w:szCs w:val="20"/>
                <w:lang w:val="pt-BR" w:eastAsia="pt-BR"/>
              </w:rPr>
              <w:t>Autor(es) / Ano de publicação  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78B1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b/>
                <w:color w:val="000000"/>
                <w:position w:val="0"/>
                <w:sz w:val="20"/>
                <w:szCs w:val="20"/>
                <w:lang w:val="pt-BR" w:eastAsia="pt-BR"/>
              </w:rPr>
              <w:t>Título 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F73F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b/>
                <w:color w:val="000000"/>
                <w:position w:val="0"/>
                <w:sz w:val="20"/>
                <w:szCs w:val="20"/>
                <w:lang w:val="pt-BR" w:eastAsia="pt-BR"/>
              </w:rPr>
              <w:t>Objetivos 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D04D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</w:p>
          <w:p w14:paraId="6DBBFE73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b/>
                <w:color w:val="000000"/>
                <w:position w:val="0"/>
                <w:sz w:val="20"/>
                <w:szCs w:val="20"/>
                <w:lang w:val="pt-BR" w:eastAsia="pt-BR"/>
              </w:rPr>
              <w:t>Principais Resultados</w:t>
            </w:r>
          </w:p>
        </w:tc>
      </w:tr>
      <w:tr w:rsidR="007C3437" w:rsidRPr="007C3437" w14:paraId="7DCE1186" w14:textId="77777777" w:rsidTr="003B3B9E"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47A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Silva et at., 2024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FB74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Doença da membrana hialina: mecanismos gerais sobre</w:t>
            </w:r>
          </w:p>
          <w:p w14:paraId="651681E8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a importância do uso do surfactante</w:t>
            </w:r>
          </w:p>
          <w:p w14:paraId="2B82894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6D7E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Este estudo serve como um alerta importante para os profissionais de saúde, destacando a necessidade de vigilância rigorosa, observação atenta e cuidados especializado para os recém-nascidos com desconforto respiratório (SDR).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A488D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Esclarecer as incidências da patologia da SARN, correlacionando com o número de mortalidades, priorizando os fatores associados à doença incluem o sexo masculino, prematuridade, baixo peso ao nascer, parto cesáreo sem trabalho de parto prévio, gestações não acompanhadas adequadamente e a ausência de indução para maturação pulmonar pré-natal. Além disso, evidencia a importância do uso de surfactantes exógenos, utilizados de forma preventiva. </w:t>
            </w:r>
          </w:p>
        </w:tc>
      </w:tr>
      <w:tr w:rsidR="007C3437" w:rsidRPr="007C3437" w14:paraId="44598451" w14:textId="77777777" w:rsidTr="003B3B9E">
        <w:trPr>
          <w:trHeight w:val="158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4CBF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</w:pPr>
            <w:bookmarkStart w:id="0" w:name="_Hlk197263291"/>
            <w:bookmarkStart w:id="1" w:name="_Hlk197264057"/>
            <w:proofErr w:type="spellStart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lastRenderedPageBreak/>
              <w:t>Mazetto</w:t>
            </w:r>
            <w:proofErr w:type="spellEnd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 xml:space="preserve"> </w:t>
            </w:r>
            <w:bookmarkEnd w:id="0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et at., 2023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1A05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Assistência de enfermagem ao prematuro em uti neonatal com</w:t>
            </w:r>
          </w:p>
          <w:p w14:paraId="79071B76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síndrome do desconforto respiratório.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8291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O trabalho de enfermeiro na UTI no combate do desconforto respiratório.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C286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 xml:space="preserve">Assistência de enfermagem na redução do número de óbitos, como também na melhor qualidade de vida aos </w:t>
            </w:r>
            <w:proofErr w:type="spellStart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RN’s</w:t>
            </w:r>
            <w:proofErr w:type="spellEnd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.</w:t>
            </w:r>
          </w:p>
        </w:tc>
      </w:tr>
      <w:bookmarkEnd w:id="1"/>
      <w:tr w:rsidR="007C3437" w:rsidRPr="007C3437" w14:paraId="36724C5A" w14:textId="77777777" w:rsidTr="003B3B9E">
        <w:trPr>
          <w:trHeight w:val="2436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F82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proofErr w:type="spellStart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Herazo</w:t>
            </w:r>
            <w:proofErr w:type="spellEnd"/>
            <w:r w:rsidRPr="007C3437">
              <w:rPr>
                <w:rFonts w:ascii="Arial" w:eastAsia="Arial" w:hAnsi="Arial" w:cs="Arial"/>
                <w:i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et at.,</w:t>
            </w: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2022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037A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Teste das microbolhas estáveis no diagnóstico precoce da síndrome do desconforto respiratório do recém-nascido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3D36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Analisar a importância do TME no diagnóstico precoce da SDR em recém-nascidos com idade gestacional entre 32 e 37 semanas com desconforto respiratório.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E495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O estudo mostra que o Teste das Microbolhas Estáveis ou TME se mostrou eficiente na predição da Síndrome de Desconforto Respiratório em Recém-nascidos, facilitando assim, o diagnóstico da necessidade ou não de surfactante em recém-nascidos pré-termo.</w:t>
            </w:r>
          </w:p>
          <w:p w14:paraId="15BE092A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</w:p>
        </w:tc>
      </w:tr>
      <w:tr w:rsidR="007C3437" w:rsidRPr="007C3437" w14:paraId="1F02B772" w14:textId="77777777" w:rsidTr="003B3B9E">
        <w:trPr>
          <w:trHeight w:val="1922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618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L</w:t>
            </w:r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ago</w:t>
            </w: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</w:t>
            </w:r>
            <w:r w:rsidRPr="007C3437">
              <w:rPr>
                <w:rFonts w:ascii="Arial" w:eastAsia="Arial" w:hAnsi="Arial" w:cs="Arial"/>
                <w:i/>
                <w:color w:val="000000"/>
                <w:position w:val="0"/>
                <w:sz w:val="20"/>
                <w:szCs w:val="20"/>
                <w:lang w:val="pt-BR" w:eastAsia="pt-BR"/>
              </w:rPr>
              <w:t>et at.,</w:t>
            </w: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2022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18E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A estratégia dos surfactantes pulmonares</w:t>
            </w:r>
          </w:p>
          <w:p w14:paraId="4A8F7597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no SARS-CoV-2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FE9D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Avaliar maneiras e abordagens terapêuticas, observando os benefícios e riscos dos surfactantes pulmonares.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C84A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Apresenta-se no estudo a eficácia terapêutica ao melhorar a capacidade respiratória dos pacientes, reduzindo, assim, a necessidade de ventilação mecânica e contribuindo para a diminuição da taxa de mortalidade.</w:t>
            </w:r>
          </w:p>
        </w:tc>
      </w:tr>
      <w:tr w:rsidR="007C3437" w:rsidRPr="007C3437" w14:paraId="3C113349" w14:textId="77777777" w:rsidTr="003B3B9E">
        <w:trPr>
          <w:trHeight w:val="158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4DEE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proofErr w:type="spellStart"/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Cesati</w:t>
            </w:r>
            <w:proofErr w:type="spellEnd"/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; Gimenez, 2021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822C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Manejo e assistência da equipe de enfermagem ao recém-nascido com doença da membrana hialina.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9C3D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Identificar a qualidade da assistência e o manejo da equipe de enfermagem ao recém-nascido prematuro com DMH.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AA3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O estudo mostra que os dados obtidos por meio do questionário, detectou-se a necessidade de investir em treinamentos específicos e educação continuada com a equipe de enfermagem para que se possa constantemente melhorar o cuidado com os recém-nascidos afetados pela DMH.</w:t>
            </w:r>
          </w:p>
        </w:tc>
      </w:tr>
      <w:tr w:rsidR="007C3437" w:rsidRPr="007C3437" w14:paraId="46B17EBF" w14:textId="77777777" w:rsidTr="003B3B9E">
        <w:trPr>
          <w:trHeight w:val="227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448B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proofErr w:type="spellStart"/>
            <w:r w:rsidRPr="007C3437">
              <w:rPr>
                <w:rFonts w:ascii="Arial" w:eastAsia="Arial" w:hAnsi="Arial" w:cs="Arial"/>
                <w:position w:val="0"/>
                <w:sz w:val="20"/>
                <w:szCs w:val="20"/>
                <w:lang w:val="pt-BR" w:eastAsia="pt-BR"/>
              </w:rPr>
              <w:t>Fulgoni</w:t>
            </w:r>
            <w:proofErr w:type="spellEnd"/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</w:t>
            </w:r>
            <w:r w:rsidRPr="007C3437">
              <w:rPr>
                <w:rFonts w:ascii="Arial" w:eastAsia="Arial" w:hAnsi="Arial" w:cs="Arial"/>
                <w:i/>
                <w:color w:val="000000"/>
                <w:position w:val="0"/>
                <w:sz w:val="20"/>
                <w:szCs w:val="20"/>
                <w:lang w:val="pt-BR" w:eastAsia="pt-BR"/>
              </w:rPr>
              <w:t>et at.,</w:t>
            </w: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2021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7E35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Assistência de enfermagem ao recém-nascido pré-termo com síndrome da angústia respiratória</w:t>
            </w:r>
          </w:p>
          <w:p w14:paraId="6EB19EE1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</w:pPr>
          </w:p>
          <w:p w14:paraId="2F28FF99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</w:pPr>
          </w:p>
          <w:p w14:paraId="52E24CC0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</w:pPr>
          </w:p>
          <w:p w14:paraId="4EA7361E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0AF7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Justificar a importância da enfermagem aos </w:t>
            </w:r>
            <w:proofErr w:type="spellStart"/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RN’s</w:t>
            </w:r>
            <w:proofErr w:type="spellEnd"/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 xml:space="preserve"> portadores da SARN.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59F6B" w14:textId="77777777" w:rsidR="007C3437" w:rsidRPr="007C3437" w:rsidRDefault="007C3437" w:rsidP="007C3437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pt-BR" w:eastAsia="pt-BR"/>
              </w:rPr>
            </w:pPr>
            <w:r w:rsidRPr="007C3437">
              <w:rPr>
                <w:rFonts w:ascii="Arial" w:eastAsia="Arial" w:hAnsi="Arial" w:cs="Arial"/>
                <w:color w:val="000000"/>
                <w:position w:val="0"/>
                <w:sz w:val="20"/>
                <w:szCs w:val="20"/>
                <w:lang w:val="pt-BR" w:eastAsia="pt-BR"/>
              </w:rPr>
              <w:t>Os estudos analisados destacaram a importância dos cuidados de enfermagem ao RN pré-termo com a SARN, onde constatou-se que as crianças que tiveram cuidados adequados tiveram uma sobrevida maior, consequentemente avanços no tratamento.</w:t>
            </w:r>
          </w:p>
        </w:tc>
      </w:tr>
    </w:tbl>
    <w:p w14:paraId="22584C0A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b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ab/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Fonte: Autoria própria,2025.</w:t>
      </w:r>
    </w:p>
    <w:p w14:paraId="3069EFA1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</w:p>
    <w:p w14:paraId="6B1ABEB7" w14:textId="77777777" w:rsidR="007C3437" w:rsidRPr="007C3437" w:rsidRDefault="007C3437" w:rsidP="007C343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8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FF0000"/>
          <w:position w:val="0"/>
          <w:lang w:val="pt-BR" w:eastAsia="pt-BR"/>
        </w:rPr>
        <w:t> 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A Síndrome da Angústia Respiratória Neonatal (SARN) é um distúrbio pulmonar que acomete recém-nascidos pré-termo devido à falta ou insuficiência de surfactante pulmonar. Segundo </w:t>
      </w:r>
      <w:proofErr w:type="spellStart"/>
      <w:r w:rsidRPr="007C3437">
        <w:rPr>
          <w:rFonts w:ascii="Arial" w:eastAsia="Arial" w:hAnsi="Arial" w:cs="Arial"/>
          <w:position w:val="0"/>
          <w:lang w:val="pt-BR" w:eastAsia="pt-BR"/>
        </w:rPr>
        <w:t>Fulgoni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 xml:space="preserve">et al.,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2021, foram analisados a prevalência,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lastRenderedPageBreak/>
        <w:t xml:space="preserve">os fatores de risco e abordagens terapêuticas para tal condição. Com isso, observou-se a importância dos cuidados de enfermagem ao RN com a SARN, que recebendo os cuidados adequados, tiveram um maior número de sobrevivência, e com isso, melhorias no tratamento.  Nos achados de </w:t>
      </w:r>
      <w:proofErr w:type="spellStart"/>
      <w:r w:rsidRPr="007C3437">
        <w:rPr>
          <w:rFonts w:ascii="Arial" w:eastAsia="Arial" w:hAnsi="Arial" w:cs="Arial"/>
          <w:position w:val="0"/>
          <w:lang w:val="pt-BR" w:eastAsia="pt-BR"/>
        </w:rPr>
        <w:t>Herazo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 xml:space="preserve">et al.,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2022, fala-se sobre a realização do teste das microbolhas estáveis no diagnóstico precoce da síndrome do desconforto respiratório do recém-nascido, onde pôde-se observar que os grupos de pacientes com e sem desconforto respiratório foram correlacionados quanto ao número de microbolhas estáveis. Com os estudos não foram encontrados diferença estatística significativa entre os grupos. Além disso, as mães dos recém-nascidos com DR receberam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corticoterapia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pré-natal, um fator protetor contra o desenvolvimento da SDR, o que eliminou a necessidade do uso de surfactante exógeno. </w:t>
      </w:r>
    </w:p>
    <w:p w14:paraId="7C135A67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Na visão de L</w:t>
      </w:r>
      <w:r w:rsidRPr="007C3437">
        <w:rPr>
          <w:rFonts w:ascii="Arial" w:eastAsia="Arial" w:hAnsi="Arial" w:cs="Arial"/>
          <w:position w:val="0"/>
          <w:lang w:val="pt-BR" w:eastAsia="pt-BR"/>
        </w:rPr>
        <w:t>ago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 xml:space="preserve">et al.,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2022, deve-se avaliar as maneiras e abordagens terapêuticas, observando os benefícios e riscos dos surfactantes pulmonares e, consequentemente, surgirá uma maior eficácia terapêutica ao melhorar a capacidade respiratória dos pacientes, reduzindo, então, a necessidade de ventilação mecânica e contribuindo para a diminuição da taxa de mortalidade dos neonatos com SARN. </w:t>
      </w:r>
    </w:p>
    <w:p w14:paraId="0D801F3A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 Conforme </w:t>
      </w:r>
      <w:r w:rsidRPr="007C3437">
        <w:rPr>
          <w:rFonts w:ascii="Arial" w:eastAsia="Arial" w:hAnsi="Arial" w:cs="Arial"/>
          <w:position w:val="0"/>
          <w:lang w:val="pt-BR" w:eastAsia="pt-BR"/>
        </w:rPr>
        <w:t>Silva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</w:t>
      </w:r>
      <w:r w:rsidRPr="007C3437">
        <w:rPr>
          <w:rFonts w:ascii="Arial" w:eastAsia="Arial" w:hAnsi="Arial" w:cs="Arial"/>
          <w:i/>
          <w:color w:val="000000"/>
          <w:position w:val="0"/>
          <w:lang w:val="pt-BR" w:eastAsia="pt-BR"/>
        </w:rPr>
        <w:t xml:space="preserve">et al.,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2024, relatou em seu estudo, é necessário implementar e descrever as estratégias utilizadas no manejo da síndrome da membrana hialina. E com isso, esclarecer a incidência da patologia da SARN, correlacionando com o número de mortalidades, também priorizando os fatores associados à doença incluem o sexo masculino, prematuridade, baixo peso ao nascer, parto cesáreo sem trabalho de parto prévio, gestações não acompanhadas adequadamente e a ausência de indução para maturação pulmonar pré-natal. Não só isso, como também ressaltou a importância da utilização de surfactantes pelas mães que já tem uma tendência maior a ter RN prematuros, e essa ligação do uso de surfactantes com a idade gestacional é bem presente, pois com seus estudos mostram que o uso dele reduzir complicações futuras no bem-estar do bebé com também da mãe.  </w:t>
      </w:r>
    </w:p>
    <w:p w14:paraId="073AA6A7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 O manejo e assistência e conhecimento da equipe de enfermagem é fundamental ao recém-nascido com doença da membrana hialina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Cesati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&amp; Gimenez, 2021, evidenciou que a DMH apresentou alta taxa de mortalidade neonatal, com 56% dos casos resultando em óbito. A análise do questionário revelou falhas no conhecimento da equipe de enfermagem, como 35% errando a idade gestacional de risco e apenas 20% identificando o tratamento adequado. Além disso, 60% relataram dificuldades na assistência, e quase metade desconhece protocolos de manejo. A falta de educação continuada foi apontada por 52,5% dos entrevistados. Assim, é essencial investir em treinamentos para melhorar a qualidade do cuidado neonatal.</w:t>
      </w:r>
    </w:p>
    <w:p w14:paraId="7017F915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Diante </w:t>
      </w:r>
      <w:proofErr w:type="spellStart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Mazetto</w:t>
      </w:r>
      <w:proofErr w:type="spellEnd"/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et at., 2023 o exposto, da assistência tem um grande impacto da SARN na sobrevida neonatal, a adoção de protocolos baseados em evidências é extremamente essencial para assim ter um bom atendimento aos mesmos. Estudos futuros devem explorar novas abordagens terapêuticas, inovações medicamentosas e a personalização do tratamento para reduzir complicações a longo prazo.</w:t>
      </w:r>
    </w:p>
    <w:p w14:paraId="62BB7F1B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ab/>
      </w:r>
    </w:p>
    <w:p w14:paraId="7EF608F7" w14:textId="77777777" w:rsidR="007C3437" w:rsidRDefault="007C3437" w:rsidP="007C3437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4 CONCLUSÃO</w:t>
      </w:r>
    </w:p>
    <w:p w14:paraId="185728A1" w14:textId="3FC2D7DA" w:rsidR="007C3437" w:rsidRPr="007C3437" w:rsidRDefault="007C3437" w:rsidP="007C3437">
      <w:pPr>
        <w:suppressAutoHyphens w:val="0"/>
        <w:spacing w:line="240" w:lineRule="auto"/>
        <w:ind w:leftChars="0" w:left="-2" w:firstLineChars="0" w:firstLine="711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Diante da análise realizada, conclui-se que a Síndrome da Angústia Respiratória Neonatal (SARN), ocasionada principalmente pela deficiência de surfactante pulmonar, representa uma condição clínica de elevada gravidade, especialmente entre os recém-nascidos pré-termo. A compreensão dos fatores de 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lastRenderedPageBreak/>
        <w:t>risco, métodos diagnósticos e estratégias terapêuticas é fundamental para a redução da morbimortalidade neonatal associada a essa síndrome.</w:t>
      </w:r>
    </w:p>
    <w:p w14:paraId="62BE7344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Observ</w:t>
      </w:r>
      <w:r w:rsidRPr="007C3437">
        <w:rPr>
          <w:rFonts w:ascii="Arial" w:eastAsia="Arial" w:hAnsi="Arial" w:cs="Arial"/>
          <w:position w:val="0"/>
          <w:lang w:val="pt-BR" w:eastAsia="pt-BR"/>
        </w:rPr>
        <w:t>a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-se </w:t>
      </w:r>
      <w:r w:rsidRPr="007C3437">
        <w:rPr>
          <w:rFonts w:ascii="Arial" w:eastAsia="Arial" w:hAnsi="Arial" w:cs="Arial"/>
          <w:position w:val="0"/>
          <w:lang w:val="pt-BR" w:eastAsia="pt-BR"/>
        </w:rPr>
        <w:t>também, que</w:t>
      </w: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 xml:space="preserve"> a assistência qualificada da equipe de enfermagem, aliada ao diagnóstico precoce e à utilização adequada do surfactante exógeno, constitui-se como um diferencial importante na sobrevida e na qualidade de vida dos neonatos acometidos. Ressalta-se, ainda, a necessidade de investimentos em educação permanente dos profissionais da saúde, a fim de promover uma assistência segura e eficaz.</w:t>
      </w:r>
    </w:p>
    <w:p w14:paraId="3F58DC2F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lang w:val="pt-BR" w:eastAsia="pt-BR"/>
        </w:rPr>
        <w:t> Assim, torna-se imprescindível o fortalecimento das ações de prevenção e tratamento da SARN, com foco no acompanhamento pré-natal adequado, no uso racional de intervenções terapêuticas e na implementação de protocolos baseados em evidências científicas. Tais medidas contribuem de forma significativa para a melhoria dos desfechos clínicos e para a garantia de um cuidado neonatal humanizado e de qualidade. </w:t>
      </w:r>
    </w:p>
    <w:p w14:paraId="4F03C0CE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5E086E7C" w14:textId="77777777" w:rsidR="007C3437" w:rsidRPr="007C3437" w:rsidRDefault="007C3437" w:rsidP="007C3437">
      <w:pPr>
        <w:suppressAutoHyphens w:val="0"/>
        <w:spacing w:line="240" w:lineRule="auto"/>
        <w:ind w:leftChars="0" w:left="-2" w:firstLineChars="0" w:firstLine="0"/>
        <w:jc w:val="both"/>
        <w:textDirection w:val="lrTb"/>
        <w:textAlignment w:val="auto"/>
        <w:outlineLvl w:val="9"/>
        <w:rPr>
          <w:position w:val="0"/>
          <w:lang w:val="pt-BR" w:eastAsia="pt-BR"/>
        </w:rPr>
      </w:pPr>
      <w:r w:rsidRPr="007C3437">
        <w:rPr>
          <w:rFonts w:ascii="Arial" w:eastAsia="Arial" w:hAnsi="Arial" w:cs="Arial"/>
          <w:b/>
          <w:color w:val="000000"/>
          <w:position w:val="0"/>
          <w:lang w:val="pt-BR" w:eastAsia="pt-BR"/>
        </w:rPr>
        <w:t>REFERÊNCIAS</w:t>
      </w:r>
    </w:p>
    <w:p w14:paraId="0483681D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pt-BR" w:eastAsia="pt-BR"/>
        </w:rPr>
      </w:pPr>
    </w:p>
    <w:p w14:paraId="403DC493" w14:textId="77777777" w:rsidR="007C3437" w:rsidRPr="007C3437" w:rsidRDefault="007C3437" w:rsidP="007C3437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BRASIL, </w:t>
      </w:r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Ministério da Saúde. Define as Diretrizes e Objetivos para a organização da atenção integral e humanizada ao recém-nascido grave ou potencialmente grave os critérios de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class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ificação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 e habitação de leitos de unidade neonatal no âmbito do sistema de saúde (SUS).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 Portaria nº 930 de 10 maio de 2012. Brasília-DF.</w:t>
      </w:r>
    </w:p>
    <w:p w14:paraId="1CAB2368" w14:textId="77777777" w:rsidR="007C3437" w:rsidRPr="007C3437" w:rsidRDefault="007C3437" w:rsidP="007C3437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C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ESATI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, S. &amp; G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IMENEZ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, V. G. M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anejo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 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e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 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Assistência da 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E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quipe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 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de Enfermagem ao recém-nascido com Doença da 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M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embrana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 H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ialina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. </w:t>
      </w:r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UNESC Em Revista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, 5(1), 25–42.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 Disponível em: </w:t>
      </w:r>
      <w:hyperlink r:id="rId13">
        <w:r w:rsidRPr="007C3437">
          <w:rPr>
            <w:rFonts w:ascii="Arial" w:eastAsia="Arial" w:hAnsi="Arial" w:cs="Arial"/>
            <w:color w:val="0563C1"/>
            <w:position w:val="0"/>
            <w:sz w:val="20"/>
            <w:szCs w:val="20"/>
            <w:u w:val="single"/>
            <w:lang w:val="pt-BR" w:eastAsia="pt-BR"/>
          </w:rPr>
          <w:t>http://revista.unesc.br/ojs/index.php/revistaunesc/article/view/302</w:t>
        </w:r>
      </w:hyperlink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, 2021.</w:t>
      </w:r>
    </w:p>
    <w:p w14:paraId="6C7A04C0" w14:textId="77777777" w:rsidR="007C3437" w:rsidRPr="007C3437" w:rsidRDefault="007C3437" w:rsidP="007C3437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FULGONI, Gabriela Pereira </w:t>
      </w:r>
      <w:r w:rsidRPr="007C3437">
        <w:rPr>
          <w:rFonts w:ascii="Arial" w:eastAsia="Arial" w:hAnsi="Arial" w:cs="Arial"/>
          <w:i/>
          <w:color w:val="000000"/>
          <w:position w:val="0"/>
          <w:sz w:val="20"/>
          <w:szCs w:val="20"/>
          <w:highlight w:val="white"/>
          <w:lang w:val="pt-BR" w:eastAsia="pt-BR"/>
        </w:rPr>
        <w:t>et al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. A</w:t>
      </w:r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ssistência de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 E</w:t>
      </w:r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nfermagem ao recém-nascido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prétermo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com Síndrome da Angústia Respiratória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: </w:t>
      </w:r>
      <w:proofErr w:type="spellStart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N</w:t>
      </w:r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ursing</w:t>
      </w:r>
      <w:proofErr w:type="spellEnd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C</w:t>
      </w:r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are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for </w:t>
      </w:r>
      <w:proofErr w:type="spellStart"/>
      <w:proofErr w:type="gram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Preterm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Newborn</w:t>
      </w:r>
      <w:proofErr w:type="spellEnd"/>
      <w:proofErr w:type="gram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With</w:t>
      </w:r>
      <w:proofErr w:type="spellEnd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Respiratory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Distress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Syndrome</w:t>
      </w:r>
      <w:proofErr w:type="spellEnd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. </w:t>
      </w:r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highlight w:val="white"/>
          <w:lang w:val="pt-BR" w:eastAsia="pt-BR"/>
        </w:rPr>
        <w:t>Revista Científica Interdisciplinar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, Google acadêmico, v. v6, n. 12, p. </w:t>
      </w:r>
      <w:r w:rsidRPr="007C3437">
        <w:rPr>
          <w:rFonts w:ascii="Arial" w:eastAsia="Arial" w:hAnsi="Arial" w:cs="Arial"/>
          <w:position w:val="0"/>
          <w:sz w:val="20"/>
          <w:szCs w:val="20"/>
          <w:highlight w:val="white"/>
          <w:lang w:val="pt-BR" w:eastAsia="pt-BR"/>
        </w:rPr>
        <w:t>Disponível em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 xml:space="preserve">: </w:t>
      </w:r>
      <w:hyperlink r:id="rId14">
        <w:r w:rsidRPr="007C3437">
          <w:rPr>
            <w:rFonts w:ascii="Arial" w:eastAsia="Arial" w:hAnsi="Arial" w:cs="Arial"/>
            <w:color w:val="1155CC"/>
            <w:position w:val="0"/>
            <w:sz w:val="20"/>
            <w:szCs w:val="20"/>
            <w:highlight w:val="white"/>
            <w:u w:val="single"/>
            <w:lang w:val="pt-BR" w:eastAsia="pt-BR"/>
          </w:rPr>
          <w:t>http://dx.doi.org/10.51721/2526-4036/v6n2a12</w:t>
        </w:r>
      </w:hyperlink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highlight w:val="white"/>
          <w:lang w:val="pt-BR" w:eastAsia="pt-BR"/>
        </w:rPr>
        <w:t>, 2021.</w:t>
      </w:r>
    </w:p>
    <w:p w14:paraId="20152DE4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en-US" w:eastAsia="pt-BR"/>
        </w:rPr>
        <w:t>GHATI A.</w:t>
      </w:r>
      <w:r w:rsidRPr="007C3437">
        <w:rPr>
          <w:rFonts w:ascii="Arial" w:eastAsia="Arial" w:hAnsi="Arial" w:cs="Arial"/>
          <w:i/>
          <w:color w:val="000000"/>
          <w:position w:val="0"/>
          <w:sz w:val="20"/>
          <w:szCs w:val="20"/>
          <w:lang w:val="en-US" w:eastAsia="pt-BR"/>
        </w:rPr>
        <w:t xml:space="preserve"> et al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en-US" w:eastAsia="pt-BR"/>
        </w:rPr>
        <w:t xml:space="preserve">. Exogenous pulmonary surfactant: A review focused on adjunctive therapy for severe acute respiratory syndrome coronavirus 2. including SP-A and SP-D as added clinical </w:t>
      </w:r>
      <w:proofErr w:type="gramStart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en-US" w:eastAsia="pt-BR"/>
        </w:rPr>
        <w:t>marker</w:t>
      </w:r>
      <w:proofErr w:type="gramEnd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en-US" w:eastAsia="pt-BR"/>
        </w:rPr>
        <w:t>.</w:t>
      </w:r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en-US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Curr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Opin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Colloid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 Interface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Sci</w:t>
      </w:r>
      <w:proofErr w:type="spellEnd"/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., 51, 2021.</w:t>
      </w:r>
    </w:p>
    <w:p w14:paraId="678E4C48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HERAZO, A. A. Teste das Microbolhas Estáveis no Diagnóstico Precoce da Síndrome do Desconforto Respiratório do Recém-nascido. Programa de pós-graduação em ciências de saúde, UFSM, centro de ciências da saúde, Universidade Federal de Santa Maria. Disponível em: </w:t>
      </w:r>
      <w:hyperlink r:id="rId15">
        <w:r w:rsidRPr="007C3437">
          <w:rPr>
            <w:rFonts w:ascii="Arial" w:eastAsia="Arial" w:hAnsi="Arial" w:cs="Arial"/>
            <w:color w:val="1155CC"/>
            <w:position w:val="0"/>
            <w:sz w:val="20"/>
            <w:szCs w:val="20"/>
            <w:u w:val="single"/>
            <w:lang w:val="pt-BR" w:eastAsia="pt-BR"/>
          </w:rPr>
          <w:t>http://repositorio.ufsm.br/handle/1/25974</w:t>
        </w:r>
      </w:hyperlink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, 2022.</w:t>
      </w:r>
    </w:p>
    <w:p w14:paraId="591158CC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LAGO, L. A. A estratégia dos surfactantes pulmonares no SARS-CoV-2. Trabalho Final de Mestrado Integrado, Ciências Farmacêuticas, </w:t>
      </w:r>
      <w:r w:rsidRPr="007C3437">
        <w:rPr>
          <w:rFonts w:ascii="Arial" w:eastAsia="Arial" w:hAnsi="Arial" w:cs="Arial"/>
          <w:b/>
          <w:position w:val="0"/>
          <w:sz w:val="20"/>
          <w:szCs w:val="20"/>
          <w:lang w:val="pt-BR" w:eastAsia="pt-BR"/>
        </w:rPr>
        <w:t>Universidade de Lisboa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, Faculdade de Farmácia. Disponível em: </w:t>
      </w:r>
      <w:hyperlink r:id="rId16">
        <w:r w:rsidRPr="007C3437">
          <w:rPr>
            <w:rFonts w:ascii="Arial" w:eastAsia="Arial" w:hAnsi="Arial" w:cs="Arial"/>
            <w:color w:val="1155CC"/>
            <w:position w:val="0"/>
            <w:sz w:val="20"/>
            <w:szCs w:val="20"/>
            <w:u w:val="single"/>
            <w:lang w:val="pt-BR" w:eastAsia="pt-BR"/>
          </w:rPr>
          <w:t>http://hdl.handle.net/10451/57763</w:t>
        </w:r>
      </w:hyperlink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, 2022.</w:t>
      </w:r>
    </w:p>
    <w:p w14:paraId="09886081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 xml:space="preserve">RICCI, Susan Scott. Enfermagem materno-neonatal e saúde da mulher. 4 ed. </w:t>
      </w:r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 xml:space="preserve">Grupo </w:t>
      </w:r>
      <w:proofErr w:type="spellStart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Gen</w:t>
      </w:r>
      <w:proofErr w:type="spellEnd"/>
      <w:r w:rsidRPr="007C3437">
        <w:rPr>
          <w:rFonts w:ascii="Arial" w:eastAsia="Arial" w:hAnsi="Arial" w:cs="Arial"/>
          <w:b/>
          <w:color w:val="000000"/>
          <w:position w:val="0"/>
          <w:sz w:val="20"/>
          <w:szCs w:val="20"/>
          <w:lang w:val="pt-BR" w:eastAsia="pt-BR"/>
        </w:rPr>
        <w:t>-Guanabara Koogan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, 20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22</w:t>
      </w:r>
      <w:r w:rsidRPr="007C3437">
        <w:rPr>
          <w:rFonts w:ascii="Arial" w:eastAsia="Arial" w:hAnsi="Arial" w:cs="Arial"/>
          <w:color w:val="000000"/>
          <w:position w:val="0"/>
          <w:sz w:val="20"/>
          <w:szCs w:val="20"/>
          <w:lang w:val="pt-BR" w:eastAsia="pt-BR"/>
        </w:rPr>
        <w:t>.</w:t>
      </w:r>
    </w:p>
    <w:p w14:paraId="4FEAF8E6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MAZETTO, Bruna Fernanda et al. Assistência de enfermagem ao prematuro em uti neonatal com</w:t>
      </w:r>
    </w:p>
    <w:p w14:paraId="045B66B3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síndrome do desconforto respiratório. Anais do 20° Encontro de Iniciação Científica (ENIC). Google acadêmico, ano 2023, n. N°20, p. file:///C:/Users/CN/Downloads/ASSIST%C3%8ANCIA+DE+ENFERMAGEM+AO+PREMATURO+EM+UTI+NEONATAL+COM+S%C3%8DNDROME+DO+DESCONFORTO+RESPIRAT%C3%93RIO.pdf, set. 2023.</w:t>
      </w:r>
    </w:p>
    <w:p w14:paraId="417F9E05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position w:val="0"/>
          <w:sz w:val="20"/>
          <w:szCs w:val="20"/>
          <w:lang w:val="pt-BR" w:eastAsia="pt-BR"/>
        </w:rPr>
      </w:pP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SILVA, André Marques Benchimol da; QUEIROZ, Judith Barroso de. </w:t>
      </w:r>
      <w:proofErr w:type="spellStart"/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Doenca</w:t>
      </w:r>
      <w:proofErr w:type="spellEnd"/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 da Membrana Hialina: Mecanismos Gerais Sobre a Importância do Uso do Surfactante. </w:t>
      </w:r>
      <w:r w:rsidRPr="007C3437">
        <w:rPr>
          <w:rFonts w:ascii="Arial" w:eastAsia="Arial" w:hAnsi="Arial" w:cs="Arial"/>
          <w:b/>
          <w:position w:val="0"/>
          <w:sz w:val="20"/>
          <w:szCs w:val="20"/>
          <w:lang w:val="pt-BR" w:eastAsia="pt-BR"/>
        </w:rPr>
        <w:t>Revista CPAQV - Centro de Pesquisas Avançadas em Qualidade de Vida</w:t>
      </w:r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 xml:space="preserve">, [S. l.], v. 16, n. 3, p. 9, 2024. Disponível em: </w:t>
      </w:r>
      <w:hyperlink r:id="rId17">
        <w:r w:rsidRPr="007C3437">
          <w:rPr>
            <w:rFonts w:ascii="Arial" w:eastAsia="Arial" w:hAnsi="Arial" w:cs="Arial"/>
            <w:color w:val="1155CC"/>
            <w:position w:val="0"/>
            <w:sz w:val="20"/>
            <w:szCs w:val="20"/>
            <w:u w:val="single"/>
            <w:lang w:val="pt-BR" w:eastAsia="pt-BR"/>
          </w:rPr>
          <w:t>https://revista.cpaqv.org/index.php/CPAQV/article/view/2539</w:t>
        </w:r>
      </w:hyperlink>
      <w:r w:rsidRPr="007C3437">
        <w:rPr>
          <w:rFonts w:ascii="Arial" w:eastAsia="Arial" w:hAnsi="Arial" w:cs="Arial"/>
          <w:position w:val="0"/>
          <w:sz w:val="20"/>
          <w:szCs w:val="20"/>
          <w:lang w:val="pt-BR" w:eastAsia="pt-BR"/>
        </w:rPr>
        <w:t>, 2024.</w:t>
      </w:r>
    </w:p>
    <w:p w14:paraId="57DDFA1C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color w:val="FF0000"/>
          <w:position w:val="0"/>
          <w:sz w:val="20"/>
          <w:szCs w:val="20"/>
          <w:lang w:val="pt-BR" w:eastAsia="pt-BR"/>
        </w:rPr>
      </w:pPr>
    </w:p>
    <w:p w14:paraId="79D0EB45" w14:textId="77777777" w:rsidR="007C3437" w:rsidRPr="007C3437" w:rsidRDefault="007C3437" w:rsidP="007C3437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eastAsia="Arial" w:hAnsi="Arial" w:cs="Arial"/>
          <w:color w:val="FF0000"/>
          <w:position w:val="0"/>
          <w:sz w:val="22"/>
          <w:szCs w:val="22"/>
          <w:lang w:val="pt-BR" w:eastAsia="pt-BR"/>
        </w:rPr>
      </w:pPr>
      <w:r w:rsidRPr="007C3437">
        <w:rPr>
          <w:rFonts w:ascii="Arial" w:eastAsia="Arial" w:hAnsi="Arial" w:cs="Arial"/>
          <w:color w:val="FF0000"/>
          <w:position w:val="0"/>
          <w:sz w:val="22"/>
          <w:szCs w:val="22"/>
          <w:lang w:val="pt-BR" w:eastAsia="pt-BR"/>
        </w:rPr>
        <w:t>. </w:t>
      </w:r>
    </w:p>
    <w:p w14:paraId="0000001C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880E69" w:rsidSect="008F66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18" w:right="1418" w:bottom="1418" w:left="1418" w:header="709" w:footer="709" w:gutter="0"/>
          <w:pgNumType w:start="1"/>
          <w:cols w:space="720"/>
          <w:docGrid w:linePitch="326"/>
        </w:sectPr>
      </w:pPr>
    </w:p>
    <w:p w14:paraId="0000005C" w14:textId="48D5DDB5" w:rsidR="00880E69" w:rsidRDefault="005C363B" w:rsidP="007C34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67" w14:textId="77777777" w:rsidR="00880E69" w:rsidRDefault="0088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1BA3501" w14:textId="39EA8FBD" w:rsidR="006D44AF" w:rsidRPr="00BB11D4" w:rsidRDefault="006D44AF" w:rsidP="00B533CA">
      <w:pPr>
        <w:pStyle w:val="Normal1"/>
        <w:rPr>
          <w:rFonts w:ascii="Arial" w:eastAsia="Arial" w:hAnsi="Arial" w:cs="Arial"/>
          <w:sz w:val="20"/>
          <w:szCs w:val="20"/>
          <w:lang w:eastAsia="pt-PT"/>
        </w:rPr>
      </w:pPr>
    </w:p>
    <w:sectPr w:rsidR="006D44AF" w:rsidRPr="00BB11D4" w:rsidSect="0047529D">
      <w:footerReference w:type="default" r:id="rId24"/>
      <w:type w:val="continuous"/>
      <w:pgSz w:w="11906" w:h="16838"/>
      <w:pgMar w:top="1418" w:right="1418" w:bottom="1418" w:left="1418" w:header="709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4A2E" w14:textId="77777777" w:rsidR="005D3BF6" w:rsidRDefault="005D3BF6">
      <w:pPr>
        <w:spacing w:line="240" w:lineRule="auto"/>
        <w:ind w:left="0" w:hanging="2"/>
      </w:pPr>
      <w:r>
        <w:separator/>
      </w:r>
    </w:p>
  </w:endnote>
  <w:endnote w:type="continuationSeparator" w:id="0">
    <w:p w14:paraId="7A0B4385" w14:textId="77777777" w:rsidR="005D3BF6" w:rsidRDefault="005D3BF6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62D79ED" w14:textId="77777777" w:rsidR="005D3BF6" w:rsidRDefault="005D3BF6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20B5" w14:textId="77777777" w:rsidR="0047529D" w:rsidRDefault="0047529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7776" w14:textId="77777777" w:rsidR="0047529D" w:rsidRDefault="0047529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0" w14:textId="63E312A7" w:rsidR="00880E69" w:rsidRPr="001E7027" w:rsidRDefault="00880E69" w:rsidP="001E70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83F5" w14:textId="77777777" w:rsidR="001E7027" w:rsidRDefault="001E702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2B83" w14:textId="77777777" w:rsidR="005D3BF6" w:rsidRDefault="005D3BF6">
      <w:pPr>
        <w:spacing w:line="240" w:lineRule="auto"/>
        <w:ind w:left="0" w:hanging="2"/>
      </w:pPr>
      <w:r>
        <w:separator/>
      </w:r>
    </w:p>
  </w:footnote>
  <w:footnote w:type="continuationSeparator" w:id="0">
    <w:p w14:paraId="0D62CF19" w14:textId="77777777" w:rsidR="005D3BF6" w:rsidRDefault="005D3BF6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49CDB555" w14:textId="77777777" w:rsidR="005D3BF6" w:rsidRDefault="005D3BF6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E" w14:textId="77777777" w:rsidR="00880E69" w:rsidRDefault="00C81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F" w14:textId="77777777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FE15" w14:textId="6EDFA97B" w:rsidR="0047529D" w:rsidRDefault="00B2232A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5CB46" wp14:editId="669F05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1420" cy="899160"/>
          <wp:effectExtent l="0" t="0" r="0" b="0"/>
          <wp:wrapTight wrapText="bothSides">
            <wp:wrapPolygon edited="0">
              <wp:start x="0" y="0"/>
              <wp:lineTo x="0" y="21051"/>
              <wp:lineTo x="21524" y="21051"/>
              <wp:lineTo x="21524" y="0"/>
              <wp:lineTo x="0" y="0"/>
            </wp:wrapPolygon>
          </wp:wrapTight>
          <wp:docPr id="870025226" name="Imagem 4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25226" name="Imagem 4" descr="Uma imagem contendo 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050"/>
                  <a:stretch/>
                </pic:blipFill>
                <pic:spPr bwMode="auto">
                  <a:xfrm>
                    <a:off x="0" y="0"/>
                    <a:ext cx="755142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D" w14:textId="607A2106" w:rsidR="00880E69" w:rsidRDefault="0088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CEA"/>
    <w:multiLevelType w:val="multilevel"/>
    <w:tmpl w:val="D9484F4A"/>
    <w:lvl w:ilvl="0">
      <w:start w:val="1"/>
      <w:numFmt w:val="lowerLetter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3F07330"/>
    <w:multiLevelType w:val="multilevel"/>
    <w:tmpl w:val="8BAEFE8A"/>
    <w:lvl w:ilvl="0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 w16cid:durableId="1538619743">
    <w:abstractNumId w:val="1"/>
  </w:num>
  <w:num w:numId="2" w16cid:durableId="14145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9"/>
    <w:rsid w:val="00097AF2"/>
    <w:rsid w:val="00157B70"/>
    <w:rsid w:val="001E7027"/>
    <w:rsid w:val="00243EBA"/>
    <w:rsid w:val="002B46D6"/>
    <w:rsid w:val="00376840"/>
    <w:rsid w:val="00421589"/>
    <w:rsid w:val="0043375C"/>
    <w:rsid w:val="00437DF0"/>
    <w:rsid w:val="004437F4"/>
    <w:rsid w:val="00461205"/>
    <w:rsid w:val="00473709"/>
    <w:rsid w:val="0047529D"/>
    <w:rsid w:val="004922D2"/>
    <w:rsid w:val="00526497"/>
    <w:rsid w:val="00531594"/>
    <w:rsid w:val="00556A24"/>
    <w:rsid w:val="0056454E"/>
    <w:rsid w:val="00570FB7"/>
    <w:rsid w:val="005C363B"/>
    <w:rsid w:val="005C66F7"/>
    <w:rsid w:val="005D3BF6"/>
    <w:rsid w:val="00693ADE"/>
    <w:rsid w:val="006C004F"/>
    <w:rsid w:val="006D046B"/>
    <w:rsid w:val="006D44AF"/>
    <w:rsid w:val="007151DA"/>
    <w:rsid w:val="00777320"/>
    <w:rsid w:val="00781C96"/>
    <w:rsid w:val="007C3437"/>
    <w:rsid w:val="007C51F7"/>
    <w:rsid w:val="00827BEF"/>
    <w:rsid w:val="0087724D"/>
    <w:rsid w:val="00880E69"/>
    <w:rsid w:val="008867E0"/>
    <w:rsid w:val="008B23FA"/>
    <w:rsid w:val="008F661D"/>
    <w:rsid w:val="00917708"/>
    <w:rsid w:val="009323B5"/>
    <w:rsid w:val="00935682"/>
    <w:rsid w:val="009B4F0C"/>
    <w:rsid w:val="009D7C3B"/>
    <w:rsid w:val="009E23A3"/>
    <w:rsid w:val="00A05428"/>
    <w:rsid w:val="00A52D08"/>
    <w:rsid w:val="00A548C1"/>
    <w:rsid w:val="00AA0A68"/>
    <w:rsid w:val="00AD35F6"/>
    <w:rsid w:val="00B2232A"/>
    <w:rsid w:val="00B533CA"/>
    <w:rsid w:val="00BB11D4"/>
    <w:rsid w:val="00C81ACD"/>
    <w:rsid w:val="00C954E8"/>
    <w:rsid w:val="00CD2730"/>
    <w:rsid w:val="00D0336E"/>
    <w:rsid w:val="00D91492"/>
    <w:rsid w:val="00E90FB5"/>
    <w:rsid w:val="00F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B0DF"/>
  <w15:docId w15:val="{64BEBE34-9EBC-42BB-AB82-8F0015D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Ttulo1">
    <w:name w:val="heading 1"/>
    <w:basedOn w:val="Normal1"/>
    <w:next w:val="Normal1"/>
    <w:uiPriority w:val="9"/>
    <w:qFormat/>
    <w:rsid w:val="00C215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C215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215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215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215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215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C2159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1592"/>
  </w:style>
  <w:style w:type="table" w:customStyle="1" w:styleId="TableNormal3">
    <w:name w:val="Table Normal3"/>
    <w:rsid w:val="00564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autoRedefine/>
    <w:hidden/>
    <w:qFormat/>
    <w:rsid w:val="00C21592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C2159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8">
    <w:name w:val="Table Grid 8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paragraph" w:customStyle="1" w:styleId="GRAPHICA2009DEMAISPARGRAFOS">
    <w:name w:val="GRAPHICA 2009 DEMAIS PARÁGRAFOS"/>
    <w:autoRedefine/>
    <w:hidden/>
    <w:qFormat/>
    <w:rsid w:val="00C21592"/>
    <w:pPr>
      <w:suppressAutoHyphens/>
      <w:spacing w:line="360" w:lineRule="auto"/>
      <w:ind w:leftChars="-1" w:left="-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lang w:val="pt-BR"/>
    </w:rPr>
  </w:style>
  <w:style w:type="character" w:styleId="Hyperlink">
    <w:name w:val="Hyperlink"/>
    <w:autoRedefine/>
    <w:hidden/>
    <w:qFormat/>
    <w:rsid w:val="00C21592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autoRedefine/>
    <w:hidden/>
    <w:qFormat/>
    <w:rsid w:val="00C215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C21592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hAnsi="Cambria" w:cs="Cambria"/>
      <w:color w:val="000000"/>
      <w:position w:val="-1"/>
      <w:lang w:val="en-US" w:eastAsia="en-US"/>
    </w:rPr>
  </w:style>
  <w:style w:type="table" w:styleId="Tabelacomefeitos3D3">
    <w:name w:val="Table 3D effects 3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aclssica1">
    <w:name w:val="Table Classic 1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profissional">
    <w:name w:val="Table Professional"/>
    <w:basedOn w:val="Tabelanormal"/>
    <w:autoRedefine/>
    <w:hidden/>
    <w:qFormat/>
    <w:rsid w:val="00C2159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C21592"/>
    <w:tblPr>
      <w:tblStyleRowBandSize w:val="1"/>
      <w:tblStyleColBandSize w:val="1"/>
      <w:tblInd w:w="0" w:type="nil"/>
    </w:tblPr>
  </w:style>
  <w:style w:type="table" w:customStyle="1" w:styleId="a0">
    <w:basedOn w:val="Tabelanormal"/>
    <w:rsid w:val="00C21592"/>
    <w:tblPr>
      <w:tblStyleRowBandSize w:val="1"/>
      <w:tblStyleColBandSize w:val="1"/>
      <w:tblInd w:w="0" w:type="nil"/>
    </w:tblPr>
  </w:style>
  <w:style w:type="character" w:styleId="Refdecomentrio">
    <w:name w:val="annotation reference"/>
    <w:basedOn w:val="Fontepargpadro"/>
    <w:uiPriority w:val="99"/>
    <w:semiHidden/>
    <w:unhideWhenUsed/>
    <w:rsid w:val="008426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6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6F1"/>
    <w:rPr>
      <w:position w:val="-1"/>
      <w:sz w:val="20"/>
      <w:szCs w:val="20"/>
      <w:lang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6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6F1"/>
    <w:rPr>
      <w:b/>
      <w:bCs/>
      <w:position w:val="-1"/>
      <w:sz w:val="20"/>
      <w:szCs w:val="20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F1"/>
    <w:rPr>
      <w:rFonts w:ascii="Tahoma" w:hAnsi="Tahoma" w:cs="Tahoma"/>
      <w:position w:val="-1"/>
      <w:sz w:val="16"/>
      <w:szCs w:val="16"/>
      <w:lang w:eastAsia="pt-PT"/>
    </w:rPr>
  </w:style>
  <w:style w:type="table" w:customStyle="1" w:styleId="a1">
    <w:basedOn w:val="Tabelanormal"/>
    <w:tblPr>
      <w:tblStyleRowBandSize w:val="1"/>
      <w:tblStyleColBandSize w:val="1"/>
      <w:tblInd w:w="0" w:type="nil"/>
    </w:tblPr>
  </w:style>
  <w:style w:type="table" w:customStyle="1" w:styleId="a2">
    <w:basedOn w:val="Tabelanormal"/>
    <w:tblPr>
      <w:tblStyleRowBandSize w:val="1"/>
      <w:tblStyleColBandSize w:val="1"/>
      <w:tblInd w:w="0" w:type="nil"/>
    </w:tblPr>
  </w:style>
  <w:style w:type="character" w:customStyle="1" w:styleId="apple-converted-space">
    <w:name w:val="apple-converted-space"/>
    <w:basedOn w:val="Fontepargpadro"/>
    <w:rsid w:val="006D44AF"/>
  </w:style>
  <w:style w:type="character" w:styleId="Forte">
    <w:name w:val="Strong"/>
    <w:basedOn w:val="Fontepargpadro"/>
    <w:uiPriority w:val="22"/>
    <w:qFormat/>
    <w:rsid w:val="006D44AF"/>
    <w:rPr>
      <w:b/>
      <w:bCs/>
    </w:rPr>
  </w:style>
  <w:style w:type="character" w:styleId="nfase">
    <w:name w:val="Emphasis"/>
    <w:basedOn w:val="Fontepargpadro"/>
    <w:uiPriority w:val="20"/>
    <w:qFormat/>
    <w:rsid w:val="006D44AF"/>
    <w:rPr>
      <w:i/>
      <w:iCs/>
    </w:rPr>
  </w:style>
  <w:style w:type="table" w:customStyle="1" w:styleId="TableNormal1">
    <w:name w:val="Table Normal1"/>
    <w:rsid w:val="00243E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43EB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esmarianna47@gmail.com" TargetMode="External"/><Relationship Id="rId13" Type="http://schemas.openxmlformats.org/officeDocument/2006/relationships/hyperlink" Target="http://revista.unesc.br/ojs/index.php/revistaunesc/article/view/302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denisymelquiades@fiponline.edu.br" TargetMode="External"/><Relationship Id="rId17" Type="http://schemas.openxmlformats.org/officeDocument/2006/relationships/hyperlink" Target="https://revista.cpaqv.org/index.php/CPAQV/article/view/253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dl.handle.net/10451/5776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uidasantos@enf.fiponline.edu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repositorio.ufsm.br/handle/1/25974" TargetMode="External"/><Relationship Id="rId23" Type="http://schemas.openxmlformats.org/officeDocument/2006/relationships/footer" Target="footer3.xml"/><Relationship Id="rId10" Type="http://schemas.openxmlformats.org/officeDocument/2006/relationships/hyperlink" Target="mailto:thallitaalbuquerque16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vanessasilva@enf.fiponline.edu.br" TargetMode="External"/><Relationship Id="rId14" Type="http://schemas.openxmlformats.org/officeDocument/2006/relationships/hyperlink" Target="http://dx.doi.org/10.51721/2526-4036/v6n2a12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erBC8DbmF+4ht8hOga+5CQHVw==">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/UuOMCy8vP1LnI+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/UuMABCCGtpeC5jbXQwOAByITF1aGVqR1RXcEJETUxqTnlRMmJsTmZfckphQVJhbWZ5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2909</Words>
  <Characters>15709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Links>
    <vt:vector size="24" baseType="variant">
      <vt:variant>
        <vt:i4>6750242</vt:i4>
      </vt:variant>
      <vt:variant>
        <vt:i4>9</vt:i4>
      </vt:variant>
      <vt:variant>
        <vt:i4>0</vt:i4>
      </vt:variant>
      <vt:variant>
        <vt:i4>5</vt:i4>
      </vt:variant>
      <vt:variant>
        <vt:lpwstr>https://periodicos.ufpe.br/revistas/revistaenfermagem/article/view/9733</vt:lpwstr>
      </vt:variant>
      <vt:variant>
        <vt:lpwstr/>
      </vt:variant>
      <vt:variant>
        <vt:i4>1114201</vt:i4>
      </vt:variant>
      <vt:variant>
        <vt:i4>6</vt:i4>
      </vt:variant>
      <vt:variant>
        <vt:i4>0</vt:i4>
      </vt:variant>
      <vt:variant>
        <vt:i4>5</vt:i4>
      </vt:variant>
      <vt:variant>
        <vt:lpwstr>https://bjihs.emnuvens.com.br/bjihs/article/view/3893</vt:lpwstr>
      </vt:variant>
      <vt:variant>
        <vt:lpwstr/>
      </vt:variant>
      <vt:variant>
        <vt:i4>3342377</vt:i4>
      </vt:variant>
      <vt:variant>
        <vt:i4>3</vt:i4>
      </vt:variant>
      <vt:variant>
        <vt:i4>0</vt:i4>
      </vt:variant>
      <vt:variant>
        <vt:i4>5</vt:i4>
      </vt:variant>
      <vt:variant>
        <vt:lpwstr>https://rsdjournal.org/index.php/rsd/article/view/11990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https://seer.ufrgs.br/index.php/rgenf/article/view/125752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Sulz</dc:creator>
  <cp:lastModifiedBy>alvesmarianna47@gmail.com</cp:lastModifiedBy>
  <cp:revision>2</cp:revision>
  <dcterms:created xsi:type="dcterms:W3CDTF">2025-05-04T18:59:00Z</dcterms:created>
  <dcterms:modified xsi:type="dcterms:W3CDTF">2025-05-04T18:59:00Z</dcterms:modified>
</cp:coreProperties>
</file>