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BC41F2" w14:textId="77777777" w:rsidR="005D473C" w:rsidRDefault="005D473C">
      <w:pPr>
        <w:rPr>
          <w:rFonts w:ascii="Arial" w:eastAsia="Arial" w:hAnsi="Arial" w:cs="Arial"/>
          <w:b/>
        </w:rPr>
      </w:pPr>
    </w:p>
    <w:p w14:paraId="011CB995" w14:textId="77777777" w:rsidR="003750BD" w:rsidRDefault="003750BD" w:rsidP="003750BD">
      <w:pPr>
        <w:spacing w:after="0"/>
        <w:jc w:val="both"/>
        <w:rPr>
          <w:rFonts w:ascii="Arial" w:eastAsia="Arial" w:hAnsi="Arial" w:cs="Arial"/>
          <w:b/>
          <w:sz w:val="28"/>
          <w:szCs w:val="28"/>
          <w:highlight w:val="white"/>
        </w:rPr>
      </w:pPr>
      <w:r>
        <w:rPr>
          <w:rFonts w:ascii="Arial" w:eastAsia="Arial" w:hAnsi="Arial" w:cs="Arial"/>
          <w:b/>
          <w:sz w:val="28"/>
          <w:szCs w:val="28"/>
          <w:highlight w:val="white"/>
        </w:rPr>
        <w:t>O MOVIMENTO DE EDUCAÇÃO DE BASE (MEB) E A FORMAÇÃO DOS MONITORES PARA A ALFABETIZAÇÃO DOS CAMPONESES DE ITAUÇU-GOIÁS NA DÉCADA DE 1960</w:t>
      </w:r>
    </w:p>
    <w:p w14:paraId="05885F5D" w14:textId="77777777" w:rsidR="005D473C" w:rsidRDefault="0000000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5BBF3386" w14:textId="77777777" w:rsidR="005D473C" w:rsidRDefault="005D473C">
      <w:pPr>
        <w:spacing w:after="0" w:line="240" w:lineRule="auto"/>
        <w:jc w:val="both"/>
        <w:rPr>
          <w:rFonts w:ascii="Arial" w:eastAsia="Arial" w:hAnsi="Arial" w:cs="Arial"/>
        </w:rPr>
      </w:pPr>
    </w:p>
    <w:p w14:paraId="5128731F" w14:textId="77777777" w:rsidR="005D473C" w:rsidRDefault="00000000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INTRODUÇÃO</w:t>
      </w:r>
    </w:p>
    <w:p w14:paraId="17D54521" w14:textId="77777777" w:rsidR="005D473C" w:rsidRDefault="005D473C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6BC9C6CC" w14:textId="77777777" w:rsidR="005D473C" w:rsidRDefault="00000000">
      <w:pPr>
        <w:shd w:val="clear" w:color="auto" w:fill="FFFFFF"/>
        <w:spacing w:before="20" w:after="0" w:line="360" w:lineRule="auto"/>
        <w:ind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Movimento de Educação de Base (MEB) completou sessenta e quatro anos de implantação. Criado dentro do contexto histórico </w:t>
      </w:r>
      <w:proofErr w:type="gramStart"/>
      <w:r>
        <w:rPr>
          <w:rFonts w:ascii="Arial" w:eastAsia="Arial" w:hAnsi="Arial" w:cs="Arial"/>
        </w:rPr>
        <w:t>da  conjuntura</w:t>
      </w:r>
      <w:proofErr w:type="gramEnd"/>
      <w:r>
        <w:rPr>
          <w:rFonts w:ascii="Arial" w:eastAsia="Arial" w:hAnsi="Arial" w:cs="Arial"/>
        </w:rPr>
        <w:t xml:space="preserve">  econômica  desenvolvimentista brasileira, o MEB foi um importante projeto,  visando a superação de um dos entraves  mais  pontuais  do desenvolvimento brasileiro: o analfabetismo e a ausência de formação de mão-de-obra especializada (Peixoto Filho, 2003). </w:t>
      </w:r>
    </w:p>
    <w:p w14:paraId="36DC68B6" w14:textId="77777777" w:rsidR="005D473C" w:rsidRDefault="00000000">
      <w:pPr>
        <w:shd w:val="clear" w:color="auto" w:fill="FFFFFF"/>
        <w:spacing w:before="20" w:after="0" w:line="360" w:lineRule="auto"/>
        <w:ind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MEB foi um programa federal permeado por um </w:t>
      </w:r>
      <w:proofErr w:type="gramStart"/>
      <w:r>
        <w:rPr>
          <w:rFonts w:ascii="Arial" w:eastAsia="Arial" w:hAnsi="Arial" w:cs="Arial"/>
        </w:rPr>
        <w:t>conjunto  de</w:t>
      </w:r>
      <w:proofErr w:type="gramEnd"/>
      <w:r>
        <w:rPr>
          <w:rFonts w:ascii="Arial" w:eastAsia="Arial" w:hAnsi="Arial" w:cs="Arial"/>
        </w:rPr>
        <w:t xml:space="preserve">  ações  que  faziam  parte  do movimento  desenvolvimentista do Brasil da década de 1950. </w:t>
      </w:r>
      <w:proofErr w:type="gramStart"/>
      <w:r>
        <w:rPr>
          <w:rFonts w:ascii="Arial" w:eastAsia="Arial" w:hAnsi="Arial" w:cs="Arial"/>
        </w:rPr>
        <w:t>Esse  movimento</w:t>
      </w:r>
      <w:proofErr w:type="gramEnd"/>
      <w:r>
        <w:rPr>
          <w:rFonts w:ascii="Arial" w:eastAsia="Arial" w:hAnsi="Arial" w:cs="Arial"/>
        </w:rPr>
        <w:t xml:space="preserve">  foi pensado  pela  Igreja  Católica, fundamentando-se  em  experiências  de  radiodifusão educativa  que  vinham  sendo  realizadas  pela  Igreja  Católica  na  Colômbia (Fávero, 2004).  </w:t>
      </w:r>
    </w:p>
    <w:p w14:paraId="40A9D779" w14:textId="77777777" w:rsidR="005D473C" w:rsidRDefault="00000000">
      <w:pPr>
        <w:shd w:val="clear" w:color="auto" w:fill="FFFFFF"/>
        <w:spacing w:before="20" w:after="0" w:line="360" w:lineRule="auto"/>
        <w:ind w:firstLine="850"/>
        <w:jc w:val="both"/>
        <w:rPr>
          <w:rFonts w:ascii="Arial" w:eastAsia="Arial" w:hAnsi="Arial" w:cs="Arial"/>
          <w:b/>
        </w:rPr>
      </w:pPr>
      <w:proofErr w:type="gramStart"/>
      <w:r>
        <w:rPr>
          <w:rFonts w:ascii="Arial" w:eastAsia="Arial" w:hAnsi="Arial" w:cs="Arial"/>
        </w:rPr>
        <w:t>Neste  contexto</w:t>
      </w:r>
      <w:proofErr w:type="gramEnd"/>
      <w:r>
        <w:rPr>
          <w:rFonts w:ascii="Arial" w:eastAsia="Arial" w:hAnsi="Arial" w:cs="Arial"/>
        </w:rPr>
        <w:t xml:space="preserve">,  a  UNESCO  defendia  uma  “educação  de  base”, por meio da  implantação  de  programas  de  educação  de  adultos  para  as  populações carentes localizadas em regiões “atrasadas”. Para a UNESCO a educação seria uma forma de promoção social por meio do oferecimento de um mínimo de </w:t>
      </w:r>
      <w:proofErr w:type="spellStart"/>
      <w:proofErr w:type="gramStart"/>
      <w:r>
        <w:rPr>
          <w:rFonts w:ascii="Arial" w:eastAsia="Arial" w:hAnsi="Arial" w:cs="Arial"/>
        </w:rPr>
        <w:t>conhecimentos,hábitos</w:t>
      </w:r>
      <w:proofErr w:type="spellEnd"/>
      <w:proofErr w:type="gramEnd"/>
      <w:r>
        <w:rPr>
          <w:rFonts w:ascii="Arial" w:eastAsia="Arial" w:hAnsi="Arial" w:cs="Arial"/>
        </w:rPr>
        <w:t xml:space="preserve"> e atitudes à população dessas regiões (Fávero, 2004).</w:t>
      </w:r>
    </w:p>
    <w:p w14:paraId="4EBC1020" w14:textId="77777777" w:rsidR="005D473C" w:rsidRDefault="00000000">
      <w:pPr>
        <w:shd w:val="clear" w:color="auto" w:fill="FFFFFF"/>
        <w:spacing w:before="20" w:after="0" w:line="360" w:lineRule="auto"/>
        <w:ind w:firstLine="8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Em  Goiás</w:t>
      </w:r>
      <w:proofErr w:type="gramEnd"/>
      <w:r>
        <w:rPr>
          <w:rFonts w:ascii="Arial" w:eastAsia="Arial" w:hAnsi="Arial" w:cs="Arial"/>
        </w:rPr>
        <w:t>,  as  aulas  no  MEB  eram  gravadas  e transmitidas pela Rádio Difusora de Goiânia. Para que essas aulas chegassem aos alunos havia a necessidade de monitores que se responsabilizassem por todo o processo junto aos alunos camponeses. Os monitores eram escolhidos entre os camponeses que eram lideranças locais e que sabiam ler e escrever (Borges, 2005).</w:t>
      </w:r>
    </w:p>
    <w:p w14:paraId="1FC38D4B" w14:textId="77777777" w:rsidR="005D473C" w:rsidRDefault="00000000">
      <w:pPr>
        <w:shd w:val="clear" w:color="auto" w:fill="FFFFFF"/>
        <w:spacing w:before="20" w:after="0" w:line="360" w:lineRule="auto"/>
        <w:ind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Esta pesquisa objetiva </w:t>
      </w:r>
      <w:proofErr w:type="gramStart"/>
      <w:r>
        <w:rPr>
          <w:rFonts w:ascii="Arial" w:eastAsia="Arial" w:hAnsi="Arial" w:cs="Arial"/>
        </w:rPr>
        <w:t>analisar  a</w:t>
      </w:r>
      <w:proofErr w:type="gramEnd"/>
      <w:r>
        <w:rPr>
          <w:rFonts w:ascii="Arial" w:eastAsia="Arial" w:hAnsi="Arial" w:cs="Arial"/>
        </w:rPr>
        <w:t xml:space="preserve">  formação  dos  monitores  para  a alfabetização  dos  camponeses  pelo  MEB  em  Goiás  na  década  de  1960.  </w:t>
      </w:r>
      <w:proofErr w:type="gramStart"/>
      <w:r>
        <w:rPr>
          <w:rFonts w:ascii="Arial" w:eastAsia="Arial" w:hAnsi="Arial" w:cs="Arial"/>
        </w:rPr>
        <w:t>Para  isso</w:t>
      </w:r>
      <w:proofErr w:type="gramEnd"/>
      <w:r>
        <w:rPr>
          <w:rFonts w:ascii="Arial" w:eastAsia="Arial" w:hAnsi="Arial" w:cs="Arial"/>
        </w:rPr>
        <w:t>, partimos das seguintes problematizações: Como eram selecionados os monitores do MEB? Houve cursos de formação para esses monitores?</w:t>
      </w:r>
    </w:p>
    <w:p w14:paraId="2C103EC7" w14:textId="77777777" w:rsidR="005D473C" w:rsidRDefault="005D473C">
      <w:pPr>
        <w:shd w:val="clear" w:color="auto" w:fill="FFFFFF"/>
        <w:spacing w:before="20" w:after="0" w:line="360" w:lineRule="auto"/>
        <w:ind w:firstLine="850"/>
        <w:jc w:val="both"/>
        <w:rPr>
          <w:rFonts w:ascii="Arial" w:eastAsia="Arial" w:hAnsi="Arial" w:cs="Arial"/>
        </w:rPr>
      </w:pPr>
    </w:p>
    <w:p w14:paraId="06452B8B" w14:textId="77777777" w:rsidR="005D473C" w:rsidRDefault="00000000">
      <w:pPr>
        <w:shd w:val="clear" w:color="auto" w:fill="FFFFFF"/>
        <w:spacing w:before="20"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 IMPLEMENTAÇÃO DO MEB EM ITAUÇU-GOIÁS </w:t>
      </w:r>
    </w:p>
    <w:p w14:paraId="26A41F68" w14:textId="77777777" w:rsidR="005D473C" w:rsidRDefault="005D473C">
      <w:pPr>
        <w:shd w:val="clear" w:color="auto" w:fill="FFFFFF"/>
        <w:spacing w:before="20" w:after="0" w:line="360" w:lineRule="auto"/>
        <w:ind w:firstLine="850"/>
        <w:jc w:val="both"/>
        <w:rPr>
          <w:rFonts w:ascii="Arial" w:eastAsia="Arial" w:hAnsi="Arial" w:cs="Arial"/>
        </w:rPr>
      </w:pPr>
    </w:p>
    <w:p w14:paraId="01559D32" w14:textId="77777777" w:rsidR="005D473C" w:rsidRDefault="00000000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MEB foi implementado pela Igreja Católica a partir de uma concepção de educação de base, vista como um conjunto dos ensinamentos que objetivavam a promoção da valorização do homem e o soerguimento das </w:t>
      </w:r>
      <w:proofErr w:type="gramStart"/>
      <w:r>
        <w:rPr>
          <w:rFonts w:ascii="Arial" w:eastAsia="Arial" w:hAnsi="Arial" w:cs="Arial"/>
        </w:rPr>
        <w:t>comunidades Tudo</w:t>
      </w:r>
      <w:proofErr w:type="gramEnd"/>
      <w:r>
        <w:rPr>
          <w:rFonts w:ascii="Arial" w:eastAsia="Arial" w:hAnsi="Arial" w:cs="Arial"/>
        </w:rPr>
        <w:t xml:space="preserve"> isso dentro da perspectiva da política nacional de desenvolvimentismo (Borges, 2005; Brandão, 2021; Fávero, 2004; Peixoto Filho, 2003).</w:t>
      </w:r>
    </w:p>
    <w:p w14:paraId="4C7C346C" w14:textId="77777777" w:rsidR="005D473C" w:rsidRDefault="005D473C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</w:p>
    <w:p w14:paraId="53F3E1FC" w14:textId="77777777" w:rsidR="005D473C" w:rsidRDefault="00000000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O trabalho que as Ligas Camponesas vinham realizando no município de </w:t>
      </w:r>
      <w:proofErr w:type="spellStart"/>
      <w:r>
        <w:rPr>
          <w:rFonts w:ascii="Arial" w:eastAsia="Arial" w:hAnsi="Arial" w:cs="Arial"/>
        </w:rPr>
        <w:t>Itauçu</w:t>
      </w:r>
      <w:proofErr w:type="spellEnd"/>
      <w:r>
        <w:rPr>
          <w:rFonts w:ascii="Arial" w:eastAsia="Arial" w:hAnsi="Arial" w:cs="Arial"/>
        </w:rPr>
        <w:t xml:space="preserve"> impulsionou a preocupação da Igreja Católica em atuar entre os camponeses na região. Na década de 1960 cerca de 70% da população do estado de Goiás vivia no campo, esse dado destaca a relevância de um trabalho com os camponeses pelas óticas governamentais e da Igreja católica. (Borges, 2005).</w:t>
      </w:r>
    </w:p>
    <w:p w14:paraId="4E31622E" w14:textId="77777777" w:rsidR="005D473C" w:rsidRDefault="00000000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Fávero (2004) analisa a escolha dos monitores e o papel </w:t>
      </w:r>
      <w:proofErr w:type="gramStart"/>
      <w:r>
        <w:rPr>
          <w:rFonts w:ascii="Arial" w:eastAsia="Arial" w:hAnsi="Arial" w:cs="Arial"/>
        </w:rPr>
        <w:t>dos mesmos</w:t>
      </w:r>
      <w:proofErr w:type="gramEnd"/>
      <w:r>
        <w:rPr>
          <w:rFonts w:ascii="Arial" w:eastAsia="Arial" w:hAnsi="Arial" w:cs="Arial"/>
        </w:rPr>
        <w:t xml:space="preserve"> nas aulas do MEB, mostrando que as pessoas captadas para esse processo eram da própria comunidade e, em sua maioria, aceitaram o convite da Diocese de Goiânia para atuarem de forma voluntária e gratuita nas escolas do MEB como monitores. </w:t>
      </w:r>
    </w:p>
    <w:p w14:paraId="57904C30" w14:textId="77777777" w:rsidR="005D473C" w:rsidRDefault="00000000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Antes da implementação do MEB ocorreu a capacitação dos líderes camponeses que foram convidados para serem monitores do MEB. Esses monitores exerceriam um trabalho voluntário, não remunerado (Borges, 2005).</w:t>
      </w:r>
    </w:p>
    <w:p w14:paraId="55C7A03B" w14:textId="77777777" w:rsidR="005D473C" w:rsidRDefault="005D473C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</w:p>
    <w:p w14:paraId="665AEC9F" w14:textId="77777777" w:rsidR="005D473C" w:rsidRDefault="005D473C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</w:p>
    <w:p w14:paraId="49346CE6" w14:textId="77777777" w:rsidR="005D473C" w:rsidRDefault="00000000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Os requisitos para se tornar um monitor do MEB eram: saber ler e escrever e ter as habilidades necessárias para seguir as instruções das aulas radiofonizadas. Em </w:t>
      </w:r>
      <w:proofErr w:type="spellStart"/>
      <w:r>
        <w:rPr>
          <w:rFonts w:ascii="Arial" w:eastAsia="Arial" w:hAnsi="Arial" w:cs="Arial"/>
        </w:rPr>
        <w:t>Itauçu</w:t>
      </w:r>
      <w:proofErr w:type="spellEnd"/>
      <w:r>
        <w:rPr>
          <w:rFonts w:ascii="Arial" w:eastAsia="Arial" w:hAnsi="Arial" w:cs="Arial"/>
        </w:rPr>
        <w:t xml:space="preserve"> a captação de monitores e a formação </w:t>
      </w:r>
      <w:proofErr w:type="gramStart"/>
      <w:r>
        <w:rPr>
          <w:rFonts w:ascii="Arial" w:eastAsia="Arial" w:hAnsi="Arial" w:cs="Arial"/>
        </w:rPr>
        <w:t>dos mesmos</w:t>
      </w:r>
      <w:proofErr w:type="gramEnd"/>
      <w:r>
        <w:rPr>
          <w:rFonts w:ascii="Arial" w:eastAsia="Arial" w:hAnsi="Arial" w:cs="Arial"/>
        </w:rPr>
        <w:t xml:space="preserve"> iniciou-se em março de 1961. Nesse processo a equipe Central de Coordenadores do MEB GO visitava os municípios e, com a ajuda do padre local, identificavam e convidava as pessoas (Borges, 2005; Peixoto Filho, 2003). </w:t>
      </w:r>
    </w:p>
    <w:p w14:paraId="7B4284EC" w14:textId="77777777" w:rsidR="005D473C" w:rsidRDefault="00000000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maneira como foi planejada e realizada a capacitação dos monitores em Goiás, em dezembro de 1962 pelo MEB foi inovadora. Reuniu-se 86 monitores para revisão, crítica e planejamento da atuação para o ano de 1963. O número de monitores sendo capacitados evidencia que o programa do MEB visava abranger vários municípios goianos (Borges, 2005; Peixoto Filho, 2003). </w:t>
      </w:r>
    </w:p>
    <w:p w14:paraId="41F25BFA" w14:textId="77777777" w:rsidR="005D473C" w:rsidRDefault="00000000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capacitação dos monitores não se restringia à transmissão dos conteúdos programáticos do MEB, ia muito além. Vários pesquisadores vêm se debruçando sobre a temática desta capacitação e formação de monitores em Goiás e creditam à sua especificidade os bons resultados que obtiveram no programa, dentre eles temos: Borges (2005), Barbosa e Borges (2017), Borges e Silva (2020), Borges e Oliveira (2023), Rodrigues (2008).</w:t>
      </w:r>
    </w:p>
    <w:p w14:paraId="09BF649C" w14:textId="77777777" w:rsidR="005D473C" w:rsidRDefault="00000000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implantação da metodologia de Paulo Freire foi a grande inovação deste “treinamento”. Não usaram a educação bancária, como era de praxe na época. A equipe central preparou uma capacitação que possibilitou tornar os monitores sujeitos ativos do processo (Borges, 2005). </w:t>
      </w:r>
    </w:p>
    <w:p w14:paraId="0E835F89" w14:textId="77777777" w:rsidR="005D473C" w:rsidRDefault="00000000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Através da implantação da metodologia </w:t>
      </w:r>
      <w:proofErr w:type="spellStart"/>
      <w:r>
        <w:rPr>
          <w:rFonts w:ascii="Arial" w:eastAsia="Arial" w:hAnsi="Arial" w:cs="Arial"/>
        </w:rPr>
        <w:t>freireana</w:t>
      </w:r>
      <w:proofErr w:type="spellEnd"/>
      <w:r>
        <w:rPr>
          <w:rFonts w:ascii="Arial" w:eastAsia="Arial" w:hAnsi="Arial" w:cs="Arial"/>
        </w:rPr>
        <w:t xml:space="preserve"> na capacitação o MEB conseguiu superar uma proposta de formação que vinha permeando os cursos de formação, e que infelizmente ainda hoje é a maioria: a educação bancária. Paulo Freire a criticava por promover uma aprendizagem mecânica, passiva e sem criticidade (Borges; Oliveira, 2024; Borges; Oliveira, 2023).</w:t>
      </w:r>
    </w:p>
    <w:p w14:paraId="60F4BA59" w14:textId="77777777" w:rsidR="005D473C" w:rsidRDefault="00000000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Analisando o MEB Brandão (2021) relata que, esse movimento aplicou uma proposta “transdisciplinar”, “transcultural”, “multicultural”, décadas antes da difusão desses conceitos. E que os programas radiofônicos do MEB alfabetizaram milhares de mulheres e homens do mundo rural através da interação entre “alfabetização, a educação conscientizadora (palavra central em </w:t>
      </w:r>
      <w:r>
        <w:rPr>
          <w:rFonts w:ascii="Arial" w:eastAsia="Arial" w:hAnsi="Arial" w:cs="Arial"/>
        </w:rPr>
        <w:lastRenderedPageBreak/>
        <w:t xml:space="preserve">Paulo Freire e entre nós), a arte, a saúde, a vida comunitária e a formação para ações culturais de teor político” (Brandão, 2021, p. 13). </w:t>
      </w:r>
    </w:p>
    <w:p w14:paraId="279DCF49" w14:textId="77777777" w:rsidR="005D473C" w:rsidRDefault="005D473C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</w:p>
    <w:p w14:paraId="6C25ED06" w14:textId="77777777" w:rsidR="005D473C" w:rsidRDefault="00000000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CONSIDERAÇÕES FINAIS</w:t>
      </w:r>
    </w:p>
    <w:p w14:paraId="0602E04A" w14:textId="77777777" w:rsidR="005D473C" w:rsidRDefault="005D473C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14:paraId="376339F2" w14:textId="77777777" w:rsidR="005D473C" w:rsidRDefault="00000000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formação dos monitores para a alfabetização dos camponeses pelo MEB em </w:t>
      </w:r>
      <w:proofErr w:type="spellStart"/>
      <w:r>
        <w:rPr>
          <w:rFonts w:ascii="Arial" w:eastAsia="Arial" w:hAnsi="Arial" w:cs="Arial"/>
        </w:rPr>
        <w:t>Itauçu</w:t>
      </w:r>
      <w:proofErr w:type="spellEnd"/>
      <w:r>
        <w:rPr>
          <w:rFonts w:ascii="Arial" w:eastAsia="Arial" w:hAnsi="Arial" w:cs="Arial"/>
        </w:rPr>
        <w:t xml:space="preserve"> na década de 1960, tal como os demais monitores de Goiás ocorreu dentro de uma proposta dialógica.</w:t>
      </w:r>
    </w:p>
    <w:p w14:paraId="74B2C231" w14:textId="77777777" w:rsidR="005D473C" w:rsidRDefault="00000000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Esse processo de formação dos monitores foi inovador, ao refutar a perspectiva da bancária, e utilizar a proposta de Paulo Freire, que levava a atuação dos monitores como sujeitos ativos do processo de capacitação. </w:t>
      </w:r>
    </w:p>
    <w:p w14:paraId="08D0C45F" w14:textId="77777777" w:rsidR="005D473C" w:rsidRDefault="00000000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inovação do MEB na capacitação de monitores na educação brasileira, ocorreu principalmente através da aplicabilidade do método de alfabetização de Paulo Freire. </w:t>
      </w:r>
    </w:p>
    <w:p w14:paraId="4C0A19A6" w14:textId="77777777" w:rsidR="005D473C" w:rsidRDefault="00000000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É importante socializar experiências de formação </w:t>
      </w:r>
      <w:proofErr w:type="gramStart"/>
      <w:r>
        <w:rPr>
          <w:rFonts w:ascii="Arial" w:eastAsia="Arial" w:hAnsi="Arial" w:cs="Arial"/>
        </w:rPr>
        <w:t>inovadoras,  tal</w:t>
      </w:r>
      <w:proofErr w:type="gramEnd"/>
      <w:r>
        <w:rPr>
          <w:rFonts w:ascii="Arial" w:eastAsia="Arial" w:hAnsi="Arial" w:cs="Arial"/>
        </w:rPr>
        <w:t xml:space="preserve"> como foi a formação de monitores, elas nos induz a problematizar os processos de formação de professores no Brasil hoje.</w:t>
      </w:r>
    </w:p>
    <w:p w14:paraId="3A86C46E" w14:textId="77777777" w:rsidR="005D473C" w:rsidRDefault="005D473C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</w:p>
    <w:p w14:paraId="5F2A829B" w14:textId="77777777" w:rsidR="005D473C" w:rsidRDefault="00000000">
      <w:pPr>
        <w:spacing w:after="0"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REFERÊNCIAS</w:t>
      </w:r>
    </w:p>
    <w:p w14:paraId="7CE15B8E" w14:textId="77777777" w:rsidR="005D473C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BARBOSA, Luzia Borges; BORGES, Elisabeth Maria de Fátima. A aplicabilidade do método de Paulo Freire em Goiás: análise do material didático Benedito e Jovelina do Movimento de Educação de Base (MEB) - 1960. </w:t>
      </w:r>
      <w:r>
        <w:rPr>
          <w:rFonts w:ascii="Arial" w:eastAsia="Arial" w:hAnsi="Arial" w:cs="Arial"/>
          <w:b/>
        </w:rPr>
        <w:t xml:space="preserve">Revista Científica </w:t>
      </w:r>
      <w:proofErr w:type="spellStart"/>
      <w:r>
        <w:rPr>
          <w:rFonts w:ascii="Arial" w:eastAsia="Arial" w:hAnsi="Arial" w:cs="Arial"/>
          <w:b/>
        </w:rPr>
        <w:t>Facmais</w:t>
      </w:r>
      <w:proofErr w:type="spellEnd"/>
      <w:r>
        <w:rPr>
          <w:rFonts w:ascii="Arial" w:eastAsia="Arial" w:hAnsi="Arial" w:cs="Arial"/>
        </w:rPr>
        <w:t xml:space="preserve">, Volume V, Número 1, ano 2016/ 1º semestre. </w:t>
      </w:r>
    </w:p>
    <w:p w14:paraId="6C826253" w14:textId="77777777" w:rsidR="005D473C" w:rsidRDefault="005D473C">
      <w:pPr>
        <w:spacing w:after="0" w:line="360" w:lineRule="auto"/>
        <w:jc w:val="both"/>
        <w:rPr>
          <w:rFonts w:ascii="Arial" w:eastAsia="Arial" w:hAnsi="Arial" w:cs="Arial"/>
        </w:rPr>
      </w:pPr>
    </w:p>
    <w:p w14:paraId="61030136" w14:textId="77777777" w:rsidR="005D473C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BORGES, Elisabeth Maria de. </w:t>
      </w:r>
      <w:proofErr w:type="spellStart"/>
      <w:r>
        <w:rPr>
          <w:rFonts w:ascii="Arial" w:eastAsia="Arial" w:hAnsi="Arial" w:cs="Arial"/>
          <w:b/>
        </w:rPr>
        <w:t>Itauçu</w:t>
      </w:r>
      <w:proofErr w:type="spellEnd"/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</w:rPr>
        <w:t xml:space="preserve"> sonhos, utopias e frustrações no movimento Camponês. (Dissertação de Mestrado em História) Goiânia: UFG, 2005.</w:t>
      </w:r>
    </w:p>
    <w:p w14:paraId="4B526695" w14:textId="77777777" w:rsidR="005D473C" w:rsidRDefault="005D473C">
      <w:pPr>
        <w:spacing w:after="0" w:line="240" w:lineRule="auto"/>
        <w:jc w:val="both"/>
        <w:rPr>
          <w:rFonts w:ascii="Arial" w:eastAsia="Arial" w:hAnsi="Arial" w:cs="Arial"/>
        </w:rPr>
      </w:pPr>
    </w:p>
    <w:p w14:paraId="33364689" w14:textId="77777777" w:rsidR="005D473C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BORGES, Elisabeth Maria de Fátima; SILVA, </w:t>
      </w:r>
      <w:proofErr w:type="spellStart"/>
      <w:r>
        <w:rPr>
          <w:rFonts w:ascii="Arial" w:eastAsia="Arial" w:hAnsi="Arial" w:cs="Arial"/>
        </w:rPr>
        <w:t>Leusa</w:t>
      </w:r>
      <w:proofErr w:type="spellEnd"/>
      <w:r>
        <w:rPr>
          <w:rFonts w:ascii="Arial" w:eastAsia="Arial" w:hAnsi="Arial" w:cs="Arial"/>
        </w:rPr>
        <w:t xml:space="preserve"> Alves de. A teoria de Paulo Freire na formação de professores no MEB-GO. In: FREITAS, Marlene Barbosa Freitas; OLIVEIRA, Daniel Júnior; FREITAS, Carla Conti (</w:t>
      </w:r>
      <w:proofErr w:type="spellStart"/>
      <w:r>
        <w:rPr>
          <w:rFonts w:ascii="Arial" w:eastAsia="Arial" w:hAnsi="Arial" w:cs="Arial"/>
        </w:rPr>
        <w:t>Orgs</w:t>
      </w:r>
      <w:proofErr w:type="spellEnd"/>
      <w:r>
        <w:rPr>
          <w:rFonts w:ascii="Arial" w:eastAsia="Arial" w:hAnsi="Arial" w:cs="Arial"/>
        </w:rPr>
        <w:t>). F</w:t>
      </w:r>
      <w:r>
        <w:rPr>
          <w:rFonts w:ascii="Arial" w:eastAsia="Arial" w:hAnsi="Arial" w:cs="Arial"/>
          <w:b/>
        </w:rPr>
        <w:t>ormação de Professores - Possibilidades e demandas</w:t>
      </w:r>
      <w:r>
        <w:rPr>
          <w:rFonts w:ascii="Arial" w:eastAsia="Arial" w:hAnsi="Arial" w:cs="Arial"/>
        </w:rPr>
        <w:t xml:space="preserve">. Goiânia: </w:t>
      </w:r>
      <w:proofErr w:type="spellStart"/>
      <w:r>
        <w:rPr>
          <w:rFonts w:ascii="Arial" w:eastAsia="Arial" w:hAnsi="Arial" w:cs="Arial"/>
        </w:rPr>
        <w:t>Scotti</w:t>
      </w:r>
      <w:proofErr w:type="spellEnd"/>
      <w:r>
        <w:rPr>
          <w:rFonts w:ascii="Arial" w:eastAsia="Arial" w:hAnsi="Arial" w:cs="Arial"/>
        </w:rPr>
        <w:t>, 2020, p. 153-172.</w:t>
      </w:r>
    </w:p>
    <w:p w14:paraId="443CB888" w14:textId="77777777" w:rsidR="005D473C" w:rsidRDefault="005D473C">
      <w:pPr>
        <w:spacing w:after="0" w:line="240" w:lineRule="auto"/>
        <w:jc w:val="both"/>
        <w:rPr>
          <w:rFonts w:ascii="Arial" w:eastAsia="Arial" w:hAnsi="Arial" w:cs="Arial"/>
        </w:rPr>
      </w:pPr>
    </w:p>
    <w:p w14:paraId="68800D2D" w14:textId="77777777" w:rsidR="005D473C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BORGES, Elisabeth Maria de Fátima; OLIVEIRA, Daniel Junior de. Enxada, caderno e suor: aplicabilidade da pedagogia de Paulo Freire na formação dos monitores para a alfabetização dos camponeses pelo Movimento de Educação </w:t>
      </w:r>
      <w:r>
        <w:rPr>
          <w:rFonts w:ascii="Arial" w:eastAsia="Arial" w:hAnsi="Arial" w:cs="Arial"/>
        </w:rPr>
        <w:lastRenderedPageBreak/>
        <w:t>de Base em Goiás na década de 1960. J</w:t>
      </w:r>
      <w:r>
        <w:rPr>
          <w:rFonts w:ascii="Arial" w:eastAsia="Arial" w:hAnsi="Arial" w:cs="Arial"/>
          <w:b/>
        </w:rPr>
        <w:t xml:space="preserve">NT - Facit Business </w:t>
      </w:r>
      <w:proofErr w:type="spellStart"/>
      <w:r>
        <w:rPr>
          <w:rFonts w:ascii="Arial" w:eastAsia="Arial" w:hAnsi="Arial" w:cs="Arial"/>
          <w:b/>
        </w:rPr>
        <w:t>and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Techonology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Jounal</w:t>
      </w:r>
      <w:proofErr w:type="spellEnd"/>
      <w:r>
        <w:rPr>
          <w:rFonts w:ascii="Arial" w:eastAsia="Arial" w:hAnsi="Arial" w:cs="Arial"/>
        </w:rPr>
        <w:t xml:space="preserve">, V. 1 n. 44, 2023, p. 163-177. </w:t>
      </w:r>
    </w:p>
    <w:p w14:paraId="13865409" w14:textId="77777777" w:rsidR="005D473C" w:rsidRDefault="005D473C">
      <w:pPr>
        <w:spacing w:after="0" w:line="240" w:lineRule="auto"/>
        <w:jc w:val="both"/>
        <w:rPr>
          <w:rFonts w:ascii="Arial" w:eastAsia="Arial" w:hAnsi="Arial" w:cs="Arial"/>
        </w:rPr>
      </w:pPr>
    </w:p>
    <w:p w14:paraId="2352AB32" w14:textId="77777777" w:rsidR="005D473C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BORGES, Elisabeth Maria de Fátima; OLIVEIRA, Daniel Junior de. O movimento de educação de base (</w:t>
      </w:r>
      <w:proofErr w:type="spellStart"/>
      <w:r>
        <w:rPr>
          <w:rFonts w:ascii="Arial" w:eastAsia="Arial" w:hAnsi="Arial" w:cs="Arial"/>
        </w:rPr>
        <w:t>meb</w:t>
      </w:r>
      <w:proofErr w:type="spellEnd"/>
      <w:r>
        <w:rPr>
          <w:rFonts w:ascii="Arial" w:eastAsia="Arial" w:hAnsi="Arial" w:cs="Arial"/>
        </w:rPr>
        <w:t xml:space="preserve">) e a formação dos monitores goianos para a alfabetização dos camponeses na década de 1960 aplicabilidade da pedagogia de Paulo Freire na formação dos monitores para a alfabetização dos camponeses pelo Movimento de Educação de Base em Goiás na década de 1960. </w:t>
      </w:r>
      <w:r>
        <w:rPr>
          <w:rFonts w:ascii="Arial" w:eastAsia="Arial" w:hAnsi="Arial" w:cs="Arial"/>
          <w:b/>
          <w:highlight w:val="white"/>
        </w:rPr>
        <w:t xml:space="preserve">Revista Científica da </w:t>
      </w:r>
      <w:proofErr w:type="spellStart"/>
      <w:r>
        <w:rPr>
          <w:rFonts w:ascii="Arial" w:eastAsia="Arial" w:hAnsi="Arial" w:cs="Arial"/>
          <w:b/>
          <w:highlight w:val="white"/>
        </w:rPr>
        <w:t>Unimais</w:t>
      </w:r>
      <w:proofErr w:type="spellEnd"/>
      <w:r>
        <w:rPr>
          <w:rFonts w:ascii="Arial" w:eastAsia="Arial" w:hAnsi="Arial" w:cs="Arial"/>
          <w:highlight w:val="white"/>
        </w:rPr>
        <w:t>, v. 22, n. 1, 2024.</w:t>
      </w:r>
    </w:p>
    <w:p w14:paraId="357E7368" w14:textId="77777777" w:rsidR="005D473C" w:rsidRDefault="005D473C">
      <w:pPr>
        <w:spacing w:after="0" w:line="240" w:lineRule="auto"/>
        <w:jc w:val="both"/>
        <w:rPr>
          <w:rFonts w:ascii="Arial" w:eastAsia="Arial" w:hAnsi="Arial" w:cs="Arial"/>
        </w:rPr>
      </w:pPr>
    </w:p>
    <w:p w14:paraId="4F1E393E" w14:textId="77777777" w:rsidR="005D473C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BRANDÃO, Carlos Rodrigues. Benedito e Jovelina: lembranças de quando a internet era o rádio de pilha, e a educação popular vinha através de escolas radiofônicas. </w:t>
      </w:r>
      <w:r>
        <w:rPr>
          <w:rFonts w:ascii="Arial" w:eastAsia="Arial" w:hAnsi="Arial" w:cs="Arial"/>
          <w:b/>
        </w:rPr>
        <w:t>Revista MEB de Educação Popular</w:t>
      </w:r>
      <w:r>
        <w:rPr>
          <w:rFonts w:ascii="Arial" w:eastAsia="Arial" w:hAnsi="Arial" w:cs="Arial"/>
        </w:rPr>
        <w:t xml:space="preserve">, Brasília – DF, v. 1, n. 1, setembro / 2021. </w:t>
      </w:r>
    </w:p>
    <w:p w14:paraId="5586DEE8" w14:textId="77777777" w:rsidR="005D473C" w:rsidRDefault="005D473C">
      <w:pPr>
        <w:spacing w:after="0" w:line="240" w:lineRule="auto"/>
        <w:jc w:val="both"/>
        <w:rPr>
          <w:rFonts w:ascii="Arial" w:eastAsia="Arial" w:hAnsi="Arial" w:cs="Arial"/>
        </w:rPr>
      </w:pPr>
    </w:p>
    <w:p w14:paraId="32224CE3" w14:textId="77777777" w:rsidR="005D473C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FÁVERO, Osmar. MEB – Movimento de Educação de Base: primeiros tempos: 1961-1966. Texto apresentado no V Encontro Luso-Brasileiro de História da Educação, realizado em Évora, Portugal, de 5 a 8 de abril de 2004. </w:t>
      </w:r>
    </w:p>
    <w:p w14:paraId="68EC7BCD" w14:textId="77777777" w:rsidR="005D473C" w:rsidRDefault="005D473C">
      <w:pPr>
        <w:spacing w:after="0" w:line="240" w:lineRule="auto"/>
        <w:jc w:val="both"/>
        <w:rPr>
          <w:rFonts w:ascii="Arial" w:eastAsia="Arial" w:hAnsi="Arial" w:cs="Arial"/>
        </w:rPr>
      </w:pPr>
    </w:p>
    <w:p w14:paraId="5356516C" w14:textId="77777777" w:rsidR="005D473C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PEIXOTO FILHO, José Pereira. A travessia do popular na contradança da educação. Goiânia: Ed. da UCG, 2003.</w:t>
      </w:r>
    </w:p>
    <w:p w14:paraId="317E6FEE" w14:textId="77777777" w:rsidR="005D473C" w:rsidRDefault="005D473C">
      <w:pPr>
        <w:spacing w:after="0" w:line="240" w:lineRule="auto"/>
        <w:jc w:val="both"/>
        <w:rPr>
          <w:rFonts w:ascii="Arial" w:eastAsia="Arial" w:hAnsi="Arial" w:cs="Arial"/>
        </w:rPr>
      </w:pPr>
    </w:p>
    <w:p w14:paraId="5A98D32D" w14:textId="77777777" w:rsidR="005D473C" w:rsidRDefault="005D473C">
      <w:pPr>
        <w:spacing w:after="0" w:line="360" w:lineRule="auto"/>
        <w:ind w:firstLine="850"/>
        <w:jc w:val="both"/>
        <w:rPr>
          <w:rFonts w:ascii="Arial" w:eastAsia="Arial" w:hAnsi="Arial" w:cs="Arial"/>
        </w:rPr>
      </w:pPr>
    </w:p>
    <w:p w14:paraId="33EA5DC2" w14:textId="77777777" w:rsidR="005D473C" w:rsidRDefault="005D473C">
      <w:pPr>
        <w:spacing w:after="0" w:line="240" w:lineRule="auto"/>
        <w:jc w:val="both"/>
        <w:rPr>
          <w:rFonts w:ascii="Arial" w:eastAsia="Arial" w:hAnsi="Arial" w:cs="Arial"/>
          <w:b/>
        </w:rPr>
      </w:pPr>
    </w:p>
    <w:sectPr w:rsidR="005D47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701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B093C6" w14:textId="77777777" w:rsidR="00CF7348" w:rsidRDefault="00CF7348">
      <w:pPr>
        <w:spacing w:after="0" w:line="240" w:lineRule="auto"/>
      </w:pPr>
      <w:r>
        <w:separator/>
      </w:r>
    </w:p>
  </w:endnote>
  <w:endnote w:type="continuationSeparator" w:id="0">
    <w:p w14:paraId="2A00823E" w14:textId="77777777" w:rsidR="00CF7348" w:rsidRDefault="00CF7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8103E199-62F0-4F42-8F2E-5F17B6E27A51}"/>
    <w:embedItalic r:id="rId2" w:fontKey="{EF24D05D-B4C6-D94B-A567-CECBC2CA55B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6F40AC45-6468-9542-BB69-FC86A90966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D1E35F3-1961-AB4A-894A-1F158FF1FEB8}"/>
    <w:embedBold r:id="rId5" w:fontKey="{518CCB62-AF5F-704B-981F-709F4E660C0C}"/>
    <w:embedItalic r:id="rId6" w:fontKey="{DF6DD37A-D48E-AF48-9AE3-6FB4E5DE2A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797667C4-9082-B541-A1F7-60E952582B23}"/>
    <w:embedBold r:id="rId8" w:fontKey="{02916097-DE4E-CB4D-BF0D-13432BF4E0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CF098" w14:textId="77777777" w:rsidR="005D473C" w:rsidRDefault="005D47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D5313" w14:textId="77777777" w:rsidR="005D47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56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445230B" wp14:editId="5B5E21C7">
          <wp:extent cx="7736637" cy="382179"/>
          <wp:effectExtent l="0" t="0" r="0" b="0"/>
          <wp:docPr id="1793165262" name="image1.jp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Texto&#10;&#10;O conteúdo gerado por IA pode estar incorreto."/>
                  <pic:cNvPicPr preferRelativeResize="0"/>
                </pic:nvPicPr>
                <pic:blipFill>
                  <a:blip r:embed="rId1"/>
                  <a:srcRect t="56468" r="-1" b="34637"/>
                  <a:stretch>
                    <a:fillRect/>
                  </a:stretch>
                </pic:blipFill>
                <pic:spPr>
                  <a:xfrm>
                    <a:off x="0" y="0"/>
                    <a:ext cx="7736637" cy="3821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3ECCA" w14:textId="77777777" w:rsidR="005D473C" w:rsidRDefault="005D47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DDC967" w14:textId="77777777" w:rsidR="00CF7348" w:rsidRDefault="00CF7348">
      <w:pPr>
        <w:spacing w:after="0" w:line="240" w:lineRule="auto"/>
      </w:pPr>
      <w:r>
        <w:separator/>
      </w:r>
    </w:p>
  </w:footnote>
  <w:footnote w:type="continuationSeparator" w:id="0">
    <w:p w14:paraId="4852E244" w14:textId="77777777" w:rsidR="00CF7348" w:rsidRDefault="00CF7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68358" w14:textId="77777777" w:rsidR="005D473C" w:rsidRDefault="005D47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B17FB" w14:textId="77777777" w:rsidR="005D47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2267"/>
      <w:jc w:val="center"/>
      <w:rPr>
        <w:rFonts w:ascii="Arial" w:eastAsia="Arial" w:hAnsi="Arial" w:cs="Arial"/>
        <w:b/>
        <w:color w:val="0A3041"/>
      </w:rPr>
    </w:pPr>
    <w:r>
      <w:rPr>
        <w:rFonts w:ascii="Arial" w:eastAsia="Arial" w:hAnsi="Arial" w:cs="Arial"/>
        <w:b/>
        <w:color w:val="0A3041"/>
        <w:sz w:val="28"/>
        <w:szCs w:val="28"/>
      </w:rPr>
      <w:t>XXII ENCONTRO NACIONAL DA ANFOPE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A04FE22" wp14:editId="4C961234">
          <wp:simplePos x="0" y="0"/>
          <wp:positionH relativeFrom="column">
            <wp:posOffset>3809917</wp:posOffset>
          </wp:positionH>
          <wp:positionV relativeFrom="paragraph">
            <wp:posOffset>-322993</wp:posOffset>
          </wp:positionV>
          <wp:extent cx="2571357" cy="1219343"/>
          <wp:effectExtent l="0" t="0" r="0" b="0"/>
          <wp:wrapNone/>
          <wp:docPr id="179316526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2272" t="16783" r="8357"/>
                  <a:stretch>
                    <a:fillRect/>
                  </a:stretch>
                </pic:blipFill>
                <pic:spPr>
                  <a:xfrm>
                    <a:off x="0" y="0"/>
                    <a:ext cx="2571357" cy="12193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03BE65" w14:textId="77777777" w:rsidR="005D47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2267"/>
      <w:jc w:val="center"/>
      <w:rPr>
        <w:rFonts w:ascii="Arial" w:eastAsia="Arial" w:hAnsi="Arial" w:cs="Arial"/>
        <w:color w:val="0A3041"/>
      </w:rPr>
    </w:pPr>
    <w:r>
      <w:rPr>
        <w:rFonts w:ascii="Arial" w:eastAsia="Arial" w:hAnsi="Arial" w:cs="Arial"/>
        <w:color w:val="0A3041"/>
      </w:rPr>
      <w:t xml:space="preserve">39 anos da carta de Goiânia: momento de celebrar conquistas e enfrentando os desafios </w:t>
    </w:r>
  </w:p>
  <w:p w14:paraId="05ABE3BD" w14:textId="77777777" w:rsidR="005D47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2267"/>
      <w:jc w:val="center"/>
      <w:rPr>
        <w:rFonts w:ascii="Arial" w:eastAsia="Arial" w:hAnsi="Arial" w:cs="Arial"/>
        <w:color w:val="0A3041"/>
      </w:rPr>
    </w:pPr>
    <w:r>
      <w:rPr>
        <w:rFonts w:ascii="Arial" w:eastAsia="Arial" w:hAnsi="Arial" w:cs="Arial"/>
        <w:color w:val="0A3041"/>
      </w:rPr>
      <w:t>Reunião da Associação Nacional pela Formação dos Profissionais da Educação - ANFOPE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05480C" w14:textId="77777777" w:rsidR="005D473C" w:rsidRDefault="005D47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73C"/>
    <w:rsid w:val="003750BD"/>
    <w:rsid w:val="004A578A"/>
    <w:rsid w:val="005D473C"/>
    <w:rsid w:val="00CF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A95D9F"/>
  <w15:docId w15:val="{995DB46C-F249-A948-B1B9-CD6BA13D9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42A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42A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42A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42A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42A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42A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42A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42A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42A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442A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442A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42A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42A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42A4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42A47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42A4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42A4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42A4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42A47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442A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42A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42A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42A4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42A4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42A4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42A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42A47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42A47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42A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2A47"/>
  </w:style>
  <w:style w:type="paragraph" w:styleId="Rodap">
    <w:name w:val="footer"/>
    <w:basedOn w:val="Normal"/>
    <w:link w:val="RodapChar"/>
    <w:uiPriority w:val="99"/>
    <w:unhideWhenUsed/>
    <w:rsid w:val="00442A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2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vTP8fy2X4sKB+I/lbvOtt1yfOQ==">CgMxLjA4AHIhMUtLcTJlZEpRYkpwM0UtVFE4UmdQSmtPVmUwMUhmUjV2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1312</Words>
  <Characters>7086</Characters>
  <Application>Microsoft Office Word</Application>
  <DocSecurity>0</DocSecurity>
  <Lines>59</Lines>
  <Paragraphs>16</Paragraphs>
  <ScaleCrop>false</ScaleCrop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Barros de Almeida</dc:creator>
  <cp:lastModifiedBy>Elisabeth Maria de Fatima Borges</cp:lastModifiedBy>
  <cp:revision>2</cp:revision>
  <dcterms:created xsi:type="dcterms:W3CDTF">2025-02-11T20:29:00Z</dcterms:created>
  <dcterms:modified xsi:type="dcterms:W3CDTF">2025-04-09T02:40:00Z</dcterms:modified>
</cp:coreProperties>
</file>