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F332D" w14:textId="757C15CC" w:rsidR="00105D9B" w:rsidRPr="000512AF" w:rsidRDefault="00105D9B" w:rsidP="00105D9B">
      <w:pPr>
        <w:jc w:val="center"/>
        <w:rPr>
          <w:b/>
          <w:bCs/>
          <w:sz w:val="24"/>
          <w:szCs w:val="24"/>
        </w:rPr>
      </w:pPr>
      <w:r w:rsidRPr="00105D9B">
        <w:rPr>
          <w:b/>
          <w:bCs/>
          <w:sz w:val="24"/>
          <w:szCs w:val="24"/>
        </w:rPr>
        <w:t>DENÚNCIAS DE MÁ-FÉ NA LEI MARIA DA PENHA: LIMITES, RESPONSABILIZAÇÃO E GARANTIAS PROCESSUAIS</w:t>
      </w:r>
    </w:p>
    <w:p w14:paraId="51226134" w14:textId="77777777" w:rsidR="00D56E94" w:rsidRPr="000512AF" w:rsidRDefault="00D56E94" w:rsidP="005366C6">
      <w:pPr>
        <w:jc w:val="center"/>
        <w:rPr>
          <w:b/>
          <w:bCs/>
          <w:sz w:val="24"/>
          <w:szCs w:val="24"/>
        </w:rPr>
      </w:pPr>
    </w:p>
    <w:p w14:paraId="400A46BA" w14:textId="77777777" w:rsidR="005366C6" w:rsidRPr="000512AF" w:rsidRDefault="005366C6" w:rsidP="00B16899">
      <w:pPr>
        <w:spacing w:after="100" w:line="264" w:lineRule="auto"/>
        <w:jc w:val="center"/>
        <w:rPr>
          <w:sz w:val="24"/>
          <w:szCs w:val="24"/>
        </w:rPr>
      </w:pPr>
    </w:p>
    <w:p w14:paraId="11669DDD" w14:textId="0C043AC4" w:rsidR="00B16899" w:rsidRPr="000512AF" w:rsidRDefault="005366C6" w:rsidP="00B16899">
      <w:pPr>
        <w:tabs>
          <w:tab w:val="left" w:pos="1540"/>
        </w:tabs>
        <w:spacing w:line="360" w:lineRule="auto"/>
        <w:ind w:left="-360" w:firstLine="709"/>
        <w:jc w:val="right"/>
        <w:rPr>
          <w:sz w:val="24"/>
          <w:szCs w:val="24"/>
        </w:rPr>
      </w:pPr>
      <w:r w:rsidRPr="000512AF">
        <w:rPr>
          <w:sz w:val="24"/>
          <w:szCs w:val="24"/>
        </w:rPr>
        <w:t xml:space="preserve">Autor Principal: </w:t>
      </w:r>
      <w:r w:rsidR="00D56E94" w:rsidRPr="000512AF">
        <w:rPr>
          <w:sz w:val="24"/>
          <w:szCs w:val="24"/>
        </w:rPr>
        <w:t>Brenda Souza do Nascimento</w:t>
      </w:r>
      <w:r w:rsidR="00B16899" w:rsidRPr="000512AF">
        <w:rPr>
          <w:sz w:val="24"/>
          <w:szCs w:val="24"/>
          <w:vertAlign w:val="superscript"/>
        </w:rPr>
        <w:footnoteReference w:id="1"/>
      </w:r>
    </w:p>
    <w:p w14:paraId="28C2F117" w14:textId="33491854" w:rsidR="00B16899" w:rsidRPr="000512AF" w:rsidRDefault="005366C6" w:rsidP="00B16899">
      <w:pPr>
        <w:tabs>
          <w:tab w:val="left" w:pos="2060"/>
          <w:tab w:val="left" w:pos="7240"/>
        </w:tabs>
        <w:spacing w:line="360" w:lineRule="auto"/>
        <w:ind w:left="-360" w:firstLine="709"/>
        <w:jc w:val="right"/>
        <w:rPr>
          <w:sz w:val="24"/>
          <w:szCs w:val="24"/>
        </w:rPr>
      </w:pPr>
      <w:r w:rsidRPr="000512AF">
        <w:rPr>
          <w:sz w:val="24"/>
          <w:szCs w:val="24"/>
        </w:rPr>
        <w:t xml:space="preserve">Autor Principal: </w:t>
      </w:r>
      <w:r w:rsidR="00D56E94" w:rsidRPr="000512AF">
        <w:rPr>
          <w:sz w:val="24"/>
          <w:szCs w:val="24"/>
        </w:rPr>
        <w:t>Sofia Oliveira</w:t>
      </w:r>
      <w:r w:rsidRPr="000512AF">
        <w:rPr>
          <w:sz w:val="24"/>
          <w:szCs w:val="24"/>
          <w:vertAlign w:val="superscript"/>
        </w:rPr>
        <w:t>2</w:t>
      </w:r>
    </w:p>
    <w:p w14:paraId="16C88A66" w14:textId="13EAD698" w:rsidR="00B16899" w:rsidRPr="000512AF" w:rsidRDefault="005366C6" w:rsidP="00B16899">
      <w:pPr>
        <w:tabs>
          <w:tab w:val="left" w:pos="2060"/>
          <w:tab w:val="left" w:pos="7240"/>
        </w:tabs>
        <w:spacing w:line="360" w:lineRule="auto"/>
        <w:ind w:left="-360" w:firstLine="709"/>
        <w:jc w:val="right"/>
        <w:rPr>
          <w:sz w:val="24"/>
          <w:szCs w:val="24"/>
        </w:rPr>
      </w:pPr>
      <w:r w:rsidRPr="000512AF">
        <w:rPr>
          <w:sz w:val="24"/>
          <w:szCs w:val="24"/>
        </w:rPr>
        <w:t xml:space="preserve">Autor Principal: </w:t>
      </w:r>
      <w:r w:rsidR="00D56E94" w:rsidRPr="000512AF">
        <w:rPr>
          <w:sz w:val="24"/>
          <w:szCs w:val="24"/>
        </w:rPr>
        <w:t xml:space="preserve">Bruna </w:t>
      </w:r>
      <w:proofErr w:type="spellStart"/>
      <w:r w:rsidR="00D56E94" w:rsidRPr="000512AF">
        <w:rPr>
          <w:sz w:val="24"/>
          <w:szCs w:val="24"/>
        </w:rPr>
        <w:t>Mikaela</w:t>
      </w:r>
      <w:proofErr w:type="spellEnd"/>
      <w:r w:rsidR="00D56E94" w:rsidRPr="000512AF">
        <w:rPr>
          <w:sz w:val="24"/>
          <w:szCs w:val="24"/>
        </w:rPr>
        <w:t xml:space="preserve"> Ferreira do Nascimento</w:t>
      </w:r>
      <w:r w:rsidR="000C0B49" w:rsidRPr="000512AF">
        <w:rPr>
          <w:sz w:val="24"/>
          <w:szCs w:val="24"/>
          <w:vertAlign w:val="superscript"/>
        </w:rPr>
        <w:t>3</w:t>
      </w:r>
    </w:p>
    <w:p w14:paraId="267235D6" w14:textId="1B91F03E" w:rsidR="00B16899" w:rsidRPr="000512AF" w:rsidRDefault="005366C6" w:rsidP="00B16899">
      <w:pPr>
        <w:tabs>
          <w:tab w:val="left" w:pos="2060"/>
          <w:tab w:val="left" w:pos="7240"/>
        </w:tabs>
        <w:spacing w:line="360" w:lineRule="auto"/>
        <w:ind w:left="-360" w:firstLine="709"/>
        <w:jc w:val="right"/>
        <w:rPr>
          <w:sz w:val="24"/>
          <w:szCs w:val="24"/>
        </w:rPr>
      </w:pPr>
      <w:r w:rsidRPr="000512AF">
        <w:rPr>
          <w:sz w:val="24"/>
          <w:szCs w:val="24"/>
        </w:rPr>
        <w:t>Coautor</w:t>
      </w:r>
      <w:r w:rsidR="000C0B49" w:rsidRPr="000512AF">
        <w:rPr>
          <w:sz w:val="24"/>
          <w:szCs w:val="24"/>
        </w:rPr>
        <w:t xml:space="preserve">a: </w:t>
      </w:r>
      <w:r w:rsidR="00D56E94" w:rsidRPr="000512AF">
        <w:rPr>
          <w:sz w:val="24"/>
          <w:szCs w:val="24"/>
        </w:rPr>
        <w:t>Patrícia Pereira Nascimento</w:t>
      </w:r>
      <w:r w:rsidR="000C0B49" w:rsidRPr="000512AF">
        <w:rPr>
          <w:sz w:val="24"/>
          <w:szCs w:val="24"/>
          <w:vertAlign w:val="superscript"/>
        </w:rPr>
        <w:t>4</w:t>
      </w:r>
    </w:p>
    <w:p w14:paraId="08E2D187" w14:textId="77777777" w:rsidR="00D913BB" w:rsidRPr="000512AF" w:rsidRDefault="00D913BB" w:rsidP="009D7A75">
      <w:pPr>
        <w:tabs>
          <w:tab w:val="left" w:pos="2060"/>
          <w:tab w:val="left" w:pos="7240"/>
        </w:tabs>
        <w:spacing w:line="360" w:lineRule="auto"/>
        <w:ind w:left="-360"/>
        <w:jc w:val="both"/>
        <w:rPr>
          <w:sz w:val="24"/>
          <w:szCs w:val="24"/>
        </w:rPr>
      </w:pPr>
    </w:p>
    <w:p w14:paraId="008CD00F" w14:textId="77777777" w:rsidR="00D913BB" w:rsidRPr="000512AF" w:rsidRDefault="00F6458A" w:rsidP="00F81864">
      <w:pPr>
        <w:jc w:val="center"/>
        <w:rPr>
          <w:b/>
          <w:sz w:val="24"/>
          <w:szCs w:val="24"/>
        </w:rPr>
      </w:pPr>
      <w:r w:rsidRPr="000512AF">
        <w:rPr>
          <w:b/>
          <w:sz w:val="24"/>
          <w:szCs w:val="24"/>
        </w:rPr>
        <w:t>RESUMO</w:t>
      </w:r>
    </w:p>
    <w:p w14:paraId="729A42C1" w14:textId="77777777" w:rsidR="001C5211" w:rsidRPr="000512AF" w:rsidRDefault="001C5211" w:rsidP="00F81864">
      <w:pPr>
        <w:jc w:val="center"/>
        <w:rPr>
          <w:sz w:val="24"/>
          <w:szCs w:val="24"/>
        </w:rPr>
      </w:pPr>
    </w:p>
    <w:p w14:paraId="37FC8F76" w14:textId="7C73C0C8" w:rsidR="00D56E94" w:rsidRPr="000512AF" w:rsidRDefault="00D56E94" w:rsidP="005366C6">
      <w:pPr>
        <w:jc w:val="both"/>
        <w:rPr>
          <w:sz w:val="24"/>
          <w:szCs w:val="24"/>
        </w:rPr>
      </w:pPr>
      <w:r w:rsidRPr="000512AF">
        <w:rPr>
          <w:sz w:val="24"/>
          <w:szCs w:val="24"/>
        </w:rPr>
        <w:t>A Lei Maria da Penha é um marco crucial na proteção das mulheres que sofrem violência doméstica, principalmente por meio das medidas protetivas de urgência. Entretanto, o uso desses métodos também pode gerar debates sobre os limites dessa proteção e sobre os direitos da pessoa investigada. Nesse sentido, este artigo buscou analisar as denúncias de má-fé da Lei nº 11.340/2006, buscando diferenciar a falta de provas de uma acusação feita de maneira intencionalmente falsa e verificar possíveis consequências civis e penais quando ocorrer o abuso comprovado. A pesquisa é qualitativa e exploratória, realizada por meio da análise de artigos científicos e doutrinas jurídicas sobre violência doméstica, medidas protetivas, processo penal e as garantias fundamentais. Os resultados mostram que uma acusação não comprovada não significa apenas que houve má-fé, sendo muito importante analisar cada situação e as provas de caso. Concluiu-se que é possível sim garantir a proteção das mulheres sem deixar de respeitar também os direitos da pessoa que está sendo investigada.</w:t>
      </w:r>
    </w:p>
    <w:p w14:paraId="1AFB93CF" w14:textId="77777777" w:rsidR="005E578F" w:rsidRPr="000512AF" w:rsidRDefault="005E578F" w:rsidP="005366C6">
      <w:pPr>
        <w:jc w:val="both"/>
        <w:rPr>
          <w:b/>
          <w:bCs/>
          <w:sz w:val="24"/>
          <w:szCs w:val="24"/>
        </w:rPr>
      </w:pPr>
    </w:p>
    <w:p w14:paraId="1AA53C02" w14:textId="16A2DEFD" w:rsidR="005E578F" w:rsidRPr="000512AF" w:rsidRDefault="00D56E94" w:rsidP="005E578F">
      <w:pPr>
        <w:jc w:val="both"/>
        <w:rPr>
          <w:sz w:val="24"/>
          <w:szCs w:val="24"/>
        </w:rPr>
      </w:pPr>
      <w:r w:rsidRPr="000512AF">
        <w:rPr>
          <w:b/>
          <w:bCs/>
          <w:sz w:val="24"/>
          <w:szCs w:val="24"/>
        </w:rPr>
        <w:t xml:space="preserve">Palavras-chave: </w:t>
      </w:r>
      <w:r w:rsidRPr="000512AF">
        <w:rPr>
          <w:sz w:val="24"/>
          <w:szCs w:val="24"/>
        </w:rPr>
        <w:t>Lei maria da penha; denúncias de má-fé; medidas protetivas; garantias processuais; responsabilização.</w:t>
      </w:r>
    </w:p>
    <w:p w14:paraId="65077C28" w14:textId="77777777" w:rsidR="008D2895" w:rsidRPr="000512AF" w:rsidRDefault="008D2895" w:rsidP="005366C6">
      <w:pPr>
        <w:keepNext/>
        <w:rPr>
          <w:sz w:val="24"/>
          <w:szCs w:val="24"/>
        </w:rPr>
      </w:pPr>
    </w:p>
    <w:p w14:paraId="4652FB06" w14:textId="23789C0E" w:rsidR="005366C6" w:rsidRPr="000512AF" w:rsidRDefault="00F6458A" w:rsidP="005366C6">
      <w:pPr>
        <w:keepNext/>
        <w:rPr>
          <w:sz w:val="24"/>
          <w:szCs w:val="24"/>
        </w:rPr>
      </w:pPr>
      <w:r w:rsidRPr="000512AF">
        <w:rPr>
          <w:b/>
          <w:sz w:val="24"/>
          <w:szCs w:val="24"/>
        </w:rPr>
        <w:t>1 INTRODUÇÃO</w:t>
      </w:r>
    </w:p>
    <w:p w14:paraId="1186226B" w14:textId="77777777" w:rsidR="005366C6" w:rsidRPr="000512AF" w:rsidRDefault="005366C6" w:rsidP="005366C6">
      <w:pPr>
        <w:keepNext/>
        <w:rPr>
          <w:sz w:val="24"/>
          <w:szCs w:val="24"/>
        </w:rPr>
      </w:pPr>
    </w:p>
    <w:p w14:paraId="1D8F4807" w14:textId="77777777" w:rsidR="00967586" w:rsidRPr="000512AF" w:rsidRDefault="00967586" w:rsidP="00967586">
      <w:pPr>
        <w:pStyle w:val="SemEspaamento"/>
        <w:spacing w:line="360" w:lineRule="auto"/>
        <w:ind w:firstLine="709"/>
        <w:jc w:val="both"/>
        <w:rPr>
          <w:rFonts w:ascii="Times New Roman" w:hAnsi="Times New Roman" w:cs="Times New Roman"/>
          <w:sz w:val="24"/>
          <w:szCs w:val="24"/>
        </w:rPr>
      </w:pPr>
      <w:r w:rsidRPr="00967586">
        <w:rPr>
          <w:rFonts w:ascii="Times New Roman" w:hAnsi="Times New Roman" w:cs="Times New Roman"/>
          <w:sz w:val="24"/>
          <w:szCs w:val="24"/>
        </w:rPr>
        <w:t xml:space="preserve">A Lei Maria da Penha (Lei nº 11.340/2006) é uma importante lei de proteção às mulheres que sofrem violência doméstica e familiar no Brasil (Brasil, 2006). Ela surgiu da necessidade de melhorar a proteção das mulheres e de tornar mais rápida a resposta do Estado nesses casos. Como explica Dias (2021), muitas situações de violência acontecem dentro de </w:t>
      </w:r>
      <w:r w:rsidRPr="00967586">
        <w:rPr>
          <w:rFonts w:ascii="Times New Roman" w:hAnsi="Times New Roman" w:cs="Times New Roman"/>
          <w:sz w:val="24"/>
          <w:szCs w:val="24"/>
        </w:rPr>
        <w:lastRenderedPageBreak/>
        <w:t>casa e sem a presença de testemunhas. Por isso, o relato da vítima tem grande importância na análise do caso, principalmente quando são avaliadas as medidas protetivas de urgência.</w:t>
      </w:r>
    </w:p>
    <w:p w14:paraId="1C34251B" w14:textId="77777777" w:rsidR="00967586" w:rsidRPr="000512AF" w:rsidRDefault="00967586" w:rsidP="00967586">
      <w:pPr>
        <w:pStyle w:val="SemEspaamento"/>
        <w:spacing w:line="360" w:lineRule="auto"/>
        <w:ind w:firstLine="709"/>
        <w:jc w:val="both"/>
        <w:rPr>
          <w:rFonts w:ascii="Times New Roman" w:hAnsi="Times New Roman" w:cs="Times New Roman"/>
          <w:sz w:val="24"/>
          <w:szCs w:val="24"/>
        </w:rPr>
      </w:pPr>
      <w:r w:rsidRPr="00967586">
        <w:rPr>
          <w:rFonts w:ascii="Times New Roman" w:hAnsi="Times New Roman" w:cs="Times New Roman"/>
          <w:sz w:val="24"/>
          <w:szCs w:val="24"/>
        </w:rPr>
        <w:t>Ao mesmo tempo em que a mulher precisa ser protegida, também é necessário respeitar os direitos da pessoa que está sendo acusada. Nesse ponto, surge uma questão importante: como proteger a vítima de forma rápida sem deixar de respeitar a presunção de inocência, prevista no artigo 5º, LVII, da Constituição Federal (Brasil, 1988) Gomes (2015) aponta que algumas medidas podem ser tomadas antes de uma análise mais completa dos fatos, justamente pela necessidade de evitar que a situação de violência continue. Porém, isso não significa que os direitos do investigado devam ser ignorados.</w:t>
      </w:r>
    </w:p>
    <w:p w14:paraId="5C4D1EA2" w14:textId="77777777" w:rsidR="00967586" w:rsidRPr="000512AF" w:rsidRDefault="00967586" w:rsidP="00967586">
      <w:pPr>
        <w:pStyle w:val="SemEspaamento"/>
        <w:spacing w:line="360" w:lineRule="auto"/>
        <w:ind w:firstLine="709"/>
        <w:jc w:val="both"/>
        <w:rPr>
          <w:rFonts w:ascii="Times New Roman" w:hAnsi="Times New Roman" w:cs="Times New Roman"/>
          <w:sz w:val="24"/>
          <w:szCs w:val="24"/>
        </w:rPr>
      </w:pPr>
      <w:r w:rsidRPr="00967586">
        <w:rPr>
          <w:rFonts w:ascii="Times New Roman" w:hAnsi="Times New Roman" w:cs="Times New Roman"/>
          <w:sz w:val="24"/>
          <w:szCs w:val="24"/>
        </w:rPr>
        <w:t>Outro ponto importante é saber diferenciar uma acusação que não conseguiu ser comprovada de uma acusação feita de propósito para prejudicar alguém. A falta de provas, sozinha, não significa que a mulher mentiu. Para que exista uma falsa acusação, é necessário verificar se a pessoa sabia que o fato não era verdadeiro e, mesmo assim, decidiu acusar outra pessoa. Essa diferença é importante para analisar casos de denunciação caluniosa e também possíveis pedidos de indenização (Bitencourt, 2022; Cavalieri Filho, 2022).</w:t>
      </w:r>
    </w:p>
    <w:p w14:paraId="483566FF" w14:textId="77777777" w:rsidR="00967586" w:rsidRPr="000512AF" w:rsidRDefault="00967586" w:rsidP="00967586">
      <w:pPr>
        <w:pStyle w:val="SemEspaamento"/>
        <w:spacing w:line="360" w:lineRule="auto"/>
        <w:ind w:firstLine="709"/>
        <w:jc w:val="both"/>
        <w:rPr>
          <w:rFonts w:ascii="Times New Roman" w:hAnsi="Times New Roman" w:cs="Times New Roman"/>
          <w:sz w:val="24"/>
          <w:szCs w:val="24"/>
        </w:rPr>
      </w:pPr>
      <w:r w:rsidRPr="00967586">
        <w:rPr>
          <w:rFonts w:ascii="Times New Roman" w:hAnsi="Times New Roman" w:cs="Times New Roman"/>
          <w:sz w:val="24"/>
          <w:szCs w:val="24"/>
        </w:rPr>
        <w:t>Também é preciso considerar os efeitos que uma medida protetiva pode causar na vida do investigado. O afastamento da casa, a proibição de contato e a proibição de aproximação podem mudar sua rotina e sua convivência com a família (Silva, 2023). Isso não significa que essas medidas não devam ser usadas. Quando existe uma situação de risco, a proteção da vítima é necessária. Porém, é importante que cada caso seja analisado com atenção, levando em conta as informações e provas disponíveis (Oliveira, 2025).</w:t>
      </w:r>
    </w:p>
    <w:p w14:paraId="63007C53" w14:textId="77777777" w:rsidR="00967586" w:rsidRPr="000512AF" w:rsidRDefault="00967586" w:rsidP="00967586">
      <w:pPr>
        <w:pStyle w:val="SemEspaamento"/>
        <w:spacing w:line="360" w:lineRule="auto"/>
        <w:ind w:firstLine="709"/>
        <w:jc w:val="both"/>
        <w:rPr>
          <w:rFonts w:ascii="Times New Roman" w:hAnsi="Times New Roman" w:cs="Times New Roman"/>
          <w:sz w:val="24"/>
          <w:szCs w:val="24"/>
        </w:rPr>
      </w:pPr>
      <w:r w:rsidRPr="00967586">
        <w:rPr>
          <w:rFonts w:ascii="Times New Roman" w:hAnsi="Times New Roman" w:cs="Times New Roman"/>
          <w:sz w:val="24"/>
          <w:szCs w:val="24"/>
        </w:rPr>
        <w:t>A presunção de inocência também deve ser respeitada durante a investigação e o processo. Karam (2006) explica que uma pessoa não pode ser tratada como culpada antes de uma decisão definitiva. Dessa forma, proteger a mulher e respeitar os direitos do investigado não precisam ser coisas contrárias. A Lei Maria da Penha pode ser aplicada para proteger a vítima e, ao mesmo tempo, os direitos de defesa devem ser garantidos. Para Costa (2001), essas garantias são importantes para que o processo aconteça de forma justa.</w:t>
      </w:r>
    </w:p>
    <w:p w14:paraId="410B608C" w14:textId="77777777" w:rsidR="00967586" w:rsidRPr="000512AF" w:rsidRDefault="00967586" w:rsidP="00967586">
      <w:pPr>
        <w:pStyle w:val="SemEspaamento"/>
        <w:spacing w:line="360" w:lineRule="auto"/>
        <w:ind w:firstLine="709"/>
        <w:jc w:val="both"/>
        <w:rPr>
          <w:rFonts w:ascii="Times New Roman" w:hAnsi="Times New Roman" w:cs="Times New Roman"/>
          <w:sz w:val="24"/>
          <w:szCs w:val="24"/>
        </w:rPr>
      </w:pPr>
      <w:r w:rsidRPr="00967586">
        <w:rPr>
          <w:rFonts w:ascii="Times New Roman" w:hAnsi="Times New Roman" w:cs="Times New Roman"/>
          <w:sz w:val="24"/>
          <w:szCs w:val="24"/>
        </w:rPr>
        <w:t xml:space="preserve">Por isso, cada denúncia precisa ser analisada de acordo com o caso concreto. A existência de uma acusação não significa que a pessoa acusada seja culpada. Da mesma forma, </w:t>
      </w:r>
      <w:r w:rsidRPr="00967586">
        <w:rPr>
          <w:rFonts w:ascii="Times New Roman" w:hAnsi="Times New Roman" w:cs="Times New Roman"/>
          <w:sz w:val="24"/>
          <w:szCs w:val="24"/>
        </w:rPr>
        <w:lastRenderedPageBreak/>
        <w:t>uma denúncia que não foi comprovada também não significa, automaticamente, que a mulher mentiu. É necessário analisar as circunstâncias e os elementos existentes no caso. Gonçalves (2016) destaca a importância de decisões baseadas nos fatos e nas provas apresentadas. Assim, o juiz deve analisar as informações disponíveis antes de tomar uma decisão.</w:t>
      </w:r>
    </w:p>
    <w:p w14:paraId="74EB7759" w14:textId="153EF71D" w:rsidR="005366C6" w:rsidRPr="000512AF" w:rsidRDefault="00967586" w:rsidP="00967586">
      <w:pPr>
        <w:pStyle w:val="SemEspaamento"/>
        <w:spacing w:line="360" w:lineRule="auto"/>
        <w:ind w:firstLine="709"/>
        <w:jc w:val="both"/>
        <w:rPr>
          <w:rFonts w:ascii="Times New Roman" w:hAnsi="Times New Roman" w:cs="Times New Roman"/>
          <w:sz w:val="24"/>
          <w:szCs w:val="24"/>
          <w:lang w:eastAsia="pt-BR"/>
        </w:rPr>
      </w:pPr>
      <w:r w:rsidRPr="00967586">
        <w:rPr>
          <w:rFonts w:ascii="Times New Roman" w:hAnsi="Times New Roman" w:cs="Times New Roman"/>
          <w:sz w:val="24"/>
          <w:szCs w:val="24"/>
        </w:rPr>
        <w:t>Dessa forma, discutir as denúncias de má-fé na Lei Maria da Penha é importante porque envolve tanto a proteção da mulher quanto os direitos do investigado. É preciso encontrar um equilíbrio entre essas duas questões. A mulher que realmente sofre violência deve se sentir segura para denunciar, enquanto os casos de abuso comprovado precisam ser responsabilizados. Portanto, a discussão sobre esse tema pode ajudar a buscar uma aplicação mais justa da Lei Maria da Penha, sem diminuir sua importância e sem deixar de respeitar as garantias previstas na Constituição.</w:t>
      </w:r>
    </w:p>
    <w:p w14:paraId="2B9AD5B3" w14:textId="77777777" w:rsidR="00967586" w:rsidRPr="000512AF" w:rsidRDefault="00967586" w:rsidP="00967586">
      <w:pPr>
        <w:pStyle w:val="SemEspaamento"/>
        <w:spacing w:line="360" w:lineRule="auto"/>
        <w:ind w:firstLine="709"/>
        <w:jc w:val="both"/>
        <w:rPr>
          <w:rFonts w:ascii="Times New Roman" w:hAnsi="Times New Roman" w:cs="Times New Roman"/>
          <w:sz w:val="24"/>
          <w:szCs w:val="24"/>
          <w:lang w:eastAsia="pt-BR"/>
        </w:rPr>
      </w:pPr>
    </w:p>
    <w:p w14:paraId="49D3101B" w14:textId="77777777" w:rsidR="005366C6" w:rsidRPr="000512AF" w:rsidRDefault="005366C6" w:rsidP="005366C6">
      <w:pPr>
        <w:spacing w:line="360" w:lineRule="auto"/>
        <w:rPr>
          <w:sz w:val="24"/>
          <w:szCs w:val="24"/>
        </w:rPr>
      </w:pPr>
      <w:r w:rsidRPr="000512AF">
        <w:rPr>
          <w:b/>
          <w:bCs/>
          <w:sz w:val="24"/>
          <w:szCs w:val="24"/>
        </w:rPr>
        <w:t>2 OBJETIVOS</w:t>
      </w:r>
    </w:p>
    <w:p w14:paraId="4017532A" w14:textId="23BAA184" w:rsidR="00D913BB" w:rsidRPr="000512AF" w:rsidRDefault="00D913BB" w:rsidP="009D7A75">
      <w:pPr>
        <w:keepNext/>
        <w:rPr>
          <w:sz w:val="24"/>
          <w:szCs w:val="24"/>
        </w:rPr>
      </w:pPr>
    </w:p>
    <w:p w14:paraId="0253AC99" w14:textId="77777777" w:rsidR="00967586" w:rsidRPr="000512AF" w:rsidRDefault="00967586" w:rsidP="00967586">
      <w:pPr>
        <w:pStyle w:val="SemEspaamento"/>
        <w:spacing w:line="360" w:lineRule="auto"/>
        <w:ind w:firstLine="709"/>
        <w:jc w:val="both"/>
        <w:rPr>
          <w:rFonts w:ascii="Times New Roman" w:hAnsi="Times New Roman" w:cs="Times New Roman"/>
          <w:sz w:val="24"/>
          <w:szCs w:val="24"/>
          <w:lang w:eastAsia="pt-BR"/>
        </w:rPr>
      </w:pPr>
      <w:r w:rsidRPr="000512AF">
        <w:rPr>
          <w:rFonts w:ascii="Times New Roman" w:hAnsi="Times New Roman" w:cs="Times New Roman"/>
          <w:sz w:val="24"/>
          <w:szCs w:val="24"/>
          <w:lang w:eastAsia="pt-BR"/>
        </w:rPr>
        <w:t>O objetivo deste artigo é analisar as denúncias feitas de má-fé no âmbito da Lei Maria da Penha. O estudo busca entender como proteger a mulher vítima de violência sem deixar de respeitar os direitos do investigado. Também procura analisar como a Justiça deve agir quando alguém faz uma acusação falsa de forma intencional e quais podem ser as consequências desse ato. Além disso, o estudo busca mostrar como é possível responsabilizar quem age de forma abusiva sem prejudicar as denúncias verdadeiras e a proteção oferecida pela lei.</w:t>
      </w:r>
    </w:p>
    <w:p w14:paraId="15FB157F" w14:textId="5F112227" w:rsidR="00D56E94" w:rsidRPr="000512AF" w:rsidRDefault="00967586" w:rsidP="00967586">
      <w:pPr>
        <w:pStyle w:val="SemEspaamento"/>
        <w:spacing w:line="360" w:lineRule="auto"/>
        <w:ind w:firstLine="709"/>
        <w:jc w:val="both"/>
        <w:rPr>
          <w:rFonts w:ascii="Times New Roman" w:hAnsi="Times New Roman" w:cs="Times New Roman"/>
          <w:sz w:val="24"/>
          <w:szCs w:val="24"/>
          <w:lang w:eastAsia="pt-BR"/>
        </w:rPr>
      </w:pPr>
      <w:r w:rsidRPr="000512AF">
        <w:rPr>
          <w:rFonts w:ascii="Times New Roman" w:hAnsi="Times New Roman" w:cs="Times New Roman"/>
          <w:sz w:val="24"/>
          <w:szCs w:val="24"/>
          <w:lang w:eastAsia="pt-BR"/>
        </w:rPr>
        <w:t>Para isso, o estudo foi dividido em três pontos principais. Primeiro, são analisadas as medidas protetivas de urgência e os efeitos que elas podem causar na vida do investigado. Depois, é feita a diferença entre uma acusação que não foi comprovada e uma acusação falsa feita de propósito, considerando as possíveis consequências nas áreas penal e civil. Por fim, são analisadas as provas para entender quando uma conduta pode ser considerada abusiva. Assim, o artigo busca mostrar a importância de aplicar a Lei Maria da Penha de forma equilibrada, protegendo as vítimas e respeitando os direitos do investigado.</w:t>
      </w:r>
    </w:p>
    <w:p w14:paraId="3E1FAA3F" w14:textId="77777777" w:rsidR="00F81864" w:rsidRPr="000512AF" w:rsidRDefault="00F81864" w:rsidP="00B848FE">
      <w:pPr>
        <w:keepNext/>
        <w:spacing w:line="360" w:lineRule="auto"/>
        <w:ind w:firstLine="709"/>
        <w:jc w:val="both"/>
        <w:rPr>
          <w:sz w:val="24"/>
          <w:szCs w:val="24"/>
        </w:rPr>
      </w:pPr>
    </w:p>
    <w:p w14:paraId="3D376DFE" w14:textId="0364EC51" w:rsidR="00D913BB" w:rsidRPr="000512AF" w:rsidRDefault="00F6458A" w:rsidP="00B848FE">
      <w:pPr>
        <w:keepNext/>
        <w:spacing w:line="360" w:lineRule="auto"/>
        <w:jc w:val="both"/>
        <w:rPr>
          <w:sz w:val="24"/>
          <w:szCs w:val="24"/>
        </w:rPr>
      </w:pPr>
      <w:r w:rsidRPr="000512AF">
        <w:rPr>
          <w:b/>
          <w:sz w:val="24"/>
          <w:szCs w:val="24"/>
        </w:rPr>
        <w:t>3 MÉTODO</w:t>
      </w:r>
    </w:p>
    <w:p w14:paraId="42C3C258" w14:textId="77777777" w:rsidR="00967586" w:rsidRPr="000512AF" w:rsidRDefault="00967586" w:rsidP="00967586">
      <w:pPr>
        <w:pStyle w:val="SemEspaamento"/>
        <w:spacing w:line="360" w:lineRule="auto"/>
        <w:ind w:firstLine="709"/>
        <w:jc w:val="both"/>
        <w:rPr>
          <w:rFonts w:ascii="Times New Roman" w:hAnsi="Times New Roman" w:cs="Times New Roman"/>
          <w:sz w:val="24"/>
          <w:szCs w:val="24"/>
        </w:rPr>
      </w:pPr>
      <w:r w:rsidRPr="00967586">
        <w:rPr>
          <w:rFonts w:ascii="Times New Roman" w:hAnsi="Times New Roman" w:cs="Times New Roman"/>
          <w:sz w:val="24"/>
          <w:szCs w:val="24"/>
        </w:rPr>
        <w:t>A pesquisa possui abordagem qualitativa e caráter exploratório, desenvolvida por meio de revisão bibliográfica crítica sobre os limites, a responsabilização e as garantias processuais relacionadas às denúncias de má-fé no âmbito da Lei Maria da Penha. A escolha dessa metodologia permite analisar o tema a partir de diferentes perspectivas jurídicas, considerando tanto as normas aplicáveis quanto as discussões desenvolvidas pela doutrina.</w:t>
      </w:r>
    </w:p>
    <w:p w14:paraId="26FEE460" w14:textId="07688503" w:rsidR="00967586" w:rsidRPr="000512AF" w:rsidRDefault="00967586" w:rsidP="00967586">
      <w:pPr>
        <w:pStyle w:val="SemEspaamento"/>
        <w:spacing w:line="360" w:lineRule="auto"/>
        <w:ind w:firstLine="709"/>
        <w:jc w:val="both"/>
        <w:rPr>
          <w:rFonts w:ascii="Times New Roman" w:hAnsi="Times New Roman" w:cs="Times New Roman"/>
          <w:sz w:val="24"/>
          <w:szCs w:val="24"/>
        </w:rPr>
      </w:pPr>
      <w:r w:rsidRPr="00967586">
        <w:rPr>
          <w:rFonts w:ascii="Times New Roman" w:hAnsi="Times New Roman" w:cs="Times New Roman"/>
          <w:sz w:val="24"/>
          <w:szCs w:val="24"/>
        </w:rPr>
        <w:t xml:space="preserve">Para a elaboração do estudo, foram utilizadas fontes bibliográficas relacionadas à violência doméstica, às medidas protetivas de urgência, ao processo penal, à presunção de inocência e à responsabilidade civil e penal. Foram consultados livros, artigos científicos e outras produções acadêmicas selecionadas de acordo com sua pertinência ao tema e sua contribuição para a discussão proposta. As buscas foram realizadas </w:t>
      </w:r>
      <w:r w:rsidR="00105D9B">
        <w:rPr>
          <w:rFonts w:ascii="Times New Roman" w:hAnsi="Times New Roman" w:cs="Times New Roman"/>
          <w:sz w:val="24"/>
          <w:szCs w:val="24"/>
        </w:rPr>
        <w:t xml:space="preserve">com </w:t>
      </w:r>
      <w:r w:rsidRPr="00967586">
        <w:rPr>
          <w:rFonts w:ascii="Times New Roman" w:hAnsi="Times New Roman" w:cs="Times New Roman"/>
          <w:sz w:val="24"/>
          <w:szCs w:val="24"/>
        </w:rPr>
        <w:t>base</w:t>
      </w:r>
      <w:r w:rsidR="00105D9B">
        <w:rPr>
          <w:rFonts w:ascii="Times New Roman" w:hAnsi="Times New Roman" w:cs="Times New Roman"/>
          <w:sz w:val="24"/>
          <w:szCs w:val="24"/>
        </w:rPr>
        <w:t>s no</w:t>
      </w:r>
      <w:r w:rsidRPr="00967586">
        <w:rPr>
          <w:rFonts w:ascii="Times New Roman" w:hAnsi="Times New Roman" w:cs="Times New Roman"/>
          <w:sz w:val="24"/>
          <w:szCs w:val="24"/>
        </w:rPr>
        <w:t xml:space="preserve"> Google Acadêmico, priorizando materiais relacionados ao problema investigado.</w:t>
      </w:r>
    </w:p>
    <w:p w14:paraId="7EA810F9" w14:textId="0168A7ED" w:rsidR="00967586" w:rsidRPr="00967586" w:rsidRDefault="00967586" w:rsidP="00967586">
      <w:pPr>
        <w:pStyle w:val="SemEspaamento"/>
        <w:spacing w:line="360" w:lineRule="auto"/>
        <w:ind w:firstLine="709"/>
        <w:jc w:val="both"/>
        <w:rPr>
          <w:rFonts w:ascii="Times New Roman" w:hAnsi="Times New Roman" w:cs="Times New Roman"/>
          <w:sz w:val="24"/>
          <w:szCs w:val="24"/>
          <w:lang w:eastAsia="pt-BR"/>
        </w:rPr>
      </w:pPr>
      <w:r w:rsidRPr="00967586">
        <w:rPr>
          <w:rFonts w:ascii="Times New Roman" w:hAnsi="Times New Roman" w:cs="Times New Roman"/>
          <w:sz w:val="24"/>
          <w:szCs w:val="24"/>
        </w:rPr>
        <w:t>Após o levantamento bibliográfico, os conteúdos foram analisados de forma crítica e organizados em categorias relacionadas aos principais pontos da pesquisa: tutela protetiva de urgência, garantias processuais, presunção de inocência, diferença entre ausência de provas e falsa imputação, responsabilidade civil e penal e limites da atuação estatal. A partir dessa organização, foi possível confrontar diferentes perspectivas e desenvolver uma análise sobre a necessidade de responsabilizar condutas abusivas sem comprometer a proteção destinada às mulheres em situação de violência.</w:t>
      </w:r>
    </w:p>
    <w:p w14:paraId="3E89ABF6" w14:textId="77777777" w:rsidR="00F81864" w:rsidRPr="000512AF" w:rsidRDefault="00F81864" w:rsidP="00967586">
      <w:pPr>
        <w:spacing w:line="360" w:lineRule="auto"/>
        <w:jc w:val="both"/>
        <w:rPr>
          <w:sz w:val="24"/>
          <w:szCs w:val="24"/>
        </w:rPr>
      </w:pPr>
    </w:p>
    <w:p w14:paraId="57F6BBFA" w14:textId="58564FA9" w:rsidR="00142AF5" w:rsidRPr="000512AF" w:rsidRDefault="009D7A75" w:rsidP="006171BA">
      <w:pPr>
        <w:keepNext/>
        <w:rPr>
          <w:b/>
          <w:sz w:val="24"/>
          <w:szCs w:val="24"/>
        </w:rPr>
      </w:pPr>
      <w:r w:rsidRPr="000512AF">
        <w:rPr>
          <w:b/>
          <w:sz w:val="24"/>
          <w:szCs w:val="24"/>
        </w:rPr>
        <w:t>4 RESULTADOS E DISCUSSÃO</w:t>
      </w:r>
    </w:p>
    <w:p w14:paraId="023AE4BC" w14:textId="77777777" w:rsidR="00F81864" w:rsidRPr="000512AF" w:rsidRDefault="00F81864" w:rsidP="006171BA">
      <w:pPr>
        <w:keepNext/>
        <w:rPr>
          <w:b/>
          <w:sz w:val="24"/>
          <w:szCs w:val="24"/>
        </w:rPr>
      </w:pPr>
    </w:p>
    <w:p w14:paraId="0516392A" w14:textId="02093969" w:rsidR="00F81864" w:rsidRPr="000512AF" w:rsidRDefault="00F81864" w:rsidP="00F81864">
      <w:pPr>
        <w:pStyle w:val="SemEspaamento"/>
        <w:spacing w:line="360" w:lineRule="auto"/>
        <w:jc w:val="both"/>
        <w:rPr>
          <w:rStyle w:val="Forte"/>
          <w:rFonts w:ascii="Times New Roman" w:hAnsi="Times New Roman" w:cs="Times New Roman"/>
          <w:sz w:val="24"/>
          <w:szCs w:val="24"/>
        </w:rPr>
      </w:pPr>
      <w:r w:rsidRPr="000512AF">
        <w:rPr>
          <w:rStyle w:val="Forte"/>
          <w:rFonts w:ascii="Times New Roman" w:hAnsi="Times New Roman" w:cs="Times New Roman"/>
          <w:sz w:val="24"/>
          <w:szCs w:val="24"/>
        </w:rPr>
        <w:t xml:space="preserve">4.1 </w:t>
      </w:r>
      <w:r w:rsidR="000512AF" w:rsidRPr="000512AF">
        <w:rPr>
          <w:rFonts w:ascii="Times New Roman" w:hAnsi="Times New Roman" w:cs="Times New Roman"/>
          <w:b/>
          <w:bCs/>
          <w:sz w:val="24"/>
          <w:szCs w:val="24"/>
        </w:rPr>
        <w:t>Medidas Protetivas de Urgência e Garantias Processuais do Investigado</w:t>
      </w:r>
    </w:p>
    <w:p w14:paraId="253CECA0" w14:textId="77777777" w:rsidR="000512AF" w:rsidRPr="000512AF" w:rsidRDefault="000512AF" w:rsidP="000512AF">
      <w:pPr>
        <w:pStyle w:val="SemEspaamento"/>
        <w:spacing w:line="360" w:lineRule="auto"/>
        <w:ind w:firstLine="709"/>
        <w:jc w:val="both"/>
        <w:rPr>
          <w:rFonts w:ascii="Times New Roman" w:hAnsi="Times New Roman" w:cs="Times New Roman"/>
          <w:sz w:val="24"/>
          <w:szCs w:val="24"/>
        </w:rPr>
      </w:pPr>
      <w:r w:rsidRPr="000512AF">
        <w:rPr>
          <w:rFonts w:ascii="Times New Roman" w:hAnsi="Times New Roman" w:cs="Times New Roman"/>
          <w:sz w:val="24"/>
          <w:szCs w:val="24"/>
        </w:rPr>
        <w:t xml:space="preserve">As medidas protetivas de urgência são instrumentos previstos pela Lei nº 11.340/2006 para proteger mulheres que estão passando por situações de violência doméstica e familiar. A lei estabelece diferentes medidas que podem ser utilizadas para evitar que a violência continue, como o afastamento do agressor do lar, a proibição de aproximação e a proibição de contato com a vítima (Brasil, 2006). Segundo Bianchini (2014), essas medidas fazem parte da proteção </w:t>
      </w:r>
      <w:r w:rsidRPr="000512AF">
        <w:rPr>
          <w:rFonts w:ascii="Times New Roman" w:hAnsi="Times New Roman" w:cs="Times New Roman"/>
          <w:sz w:val="24"/>
          <w:szCs w:val="24"/>
        </w:rPr>
        <w:lastRenderedPageBreak/>
        <w:t>oferecida às mulheres e têm como objetivo garantir seus direitos e sua segurança diante de situações de violência.</w:t>
      </w:r>
    </w:p>
    <w:p w14:paraId="184228CA" w14:textId="77777777" w:rsidR="000512AF" w:rsidRPr="000512AF" w:rsidRDefault="000512AF" w:rsidP="000512AF">
      <w:pPr>
        <w:pStyle w:val="SemEspaamento"/>
        <w:spacing w:line="360" w:lineRule="auto"/>
        <w:ind w:firstLine="709"/>
        <w:jc w:val="both"/>
        <w:rPr>
          <w:rFonts w:ascii="Times New Roman" w:hAnsi="Times New Roman" w:cs="Times New Roman"/>
          <w:sz w:val="24"/>
          <w:szCs w:val="24"/>
        </w:rPr>
      </w:pPr>
      <w:r w:rsidRPr="000512AF">
        <w:rPr>
          <w:rFonts w:ascii="Times New Roman" w:hAnsi="Times New Roman" w:cs="Times New Roman"/>
          <w:sz w:val="24"/>
          <w:szCs w:val="24"/>
        </w:rPr>
        <w:t>Apesar da importância das medidas protetivas, sua aplicação também precisa considerar os direitos da pessoa que está sendo investigada. Essas medidas possuem caráter de proteção e podem ser determinadas com rapidez quando existe uma situação de risco. Porém, isso não significa que o investigado possa ser considerado culpado apenas pela existência de uma denúncia. Lopes Jr. (2023) destaca a importância da análise das provas, da fundamentação das decisões e do respeito às garantias processuais. Dessa forma, é possível proteger a vítima sem deixar de observar os direitos fundamentais do investigado.</w:t>
      </w:r>
    </w:p>
    <w:p w14:paraId="49C42649" w14:textId="3D239B9C" w:rsidR="000512AF" w:rsidRPr="000512AF" w:rsidRDefault="000512AF" w:rsidP="000512AF">
      <w:pPr>
        <w:pStyle w:val="SemEspaamento"/>
        <w:spacing w:line="360" w:lineRule="auto"/>
        <w:ind w:firstLine="709"/>
        <w:jc w:val="both"/>
        <w:rPr>
          <w:rFonts w:ascii="Times New Roman" w:hAnsi="Times New Roman" w:cs="Times New Roman"/>
          <w:sz w:val="24"/>
          <w:szCs w:val="24"/>
          <w:lang w:eastAsia="pt-BR"/>
        </w:rPr>
      </w:pPr>
      <w:r w:rsidRPr="000512AF">
        <w:rPr>
          <w:rFonts w:ascii="Times New Roman" w:hAnsi="Times New Roman" w:cs="Times New Roman"/>
          <w:sz w:val="24"/>
          <w:szCs w:val="24"/>
        </w:rPr>
        <w:t>Nesse sentido, é importante analisar cada situação de acordo com os elementos apresentados. Uma denúncia que não foi comprovada não é necessariamente uma denúncia falsa. Também existem situações em que faltam provas suficientes ou em que ainda é necessário investigar melhor os fatos. Lima (2023) destaca a importância de verificar os elementos existentes antes de tomar decisões mais graves. Greco (2022) também ajuda a compreender que é necessário diferenciar a falta de provas de uma falsa acusação feita de forma intencional. Essa diferença evita que situações diferentes sejam tratadas da mesma maneira.</w:t>
      </w:r>
    </w:p>
    <w:p w14:paraId="6BDF0AC4" w14:textId="77777777" w:rsidR="00F81864" w:rsidRPr="000512AF" w:rsidRDefault="00F81864" w:rsidP="00F81864">
      <w:pPr>
        <w:pStyle w:val="SemEspaamento"/>
        <w:spacing w:line="360" w:lineRule="auto"/>
        <w:ind w:firstLine="709"/>
        <w:jc w:val="both"/>
        <w:rPr>
          <w:rFonts w:ascii="Times New Roman" w:hAnsi="Times New Roman" w:cs="Times New Roman"/>
          <w:b/>
          <w:bCs/>
          <w:sz w:val="24"/>
          <w:szCs w:val="24"/>
          <w:lang w:eastAsia="pt-BR"/>
        </w:rPr>
      </w:pPr>
    </w:p>
    <w:p w14:paraId="66ACFF75" w14:textId="2979C927" w:rsidR="00F81864" w:rsidRPr="000512AF" w:rsidRDefault="00F81864" w:rsidP="00F81864">
      <w:pPr>
        <w:pStyle w:val="SemEspaamento"/>
        <w:spacing w:line="360" w:lineRule="auto"/>
        <w:jc w:val="both"/>
        <w:rPr>
          <w:rStyle w:val="Forte"/>
          <w:rFonts w:ascii="Times New Roman" w:hAnsi="Times New Roman" w:cs="Times New Roman"/>
          <w:sz w:val="24"/>
          <w:szCs w:val="24"/>
        </w:rPr>
      </w:pPr>
      <w:r w:rsidRPr="000512AF">
        <w:rPr>
          <w:rStyle w:val="Forte"/>
          <w:rFonts w:ascii="Times New Roman" w:hAnsi="Times New Roman" w:cs="Times New Roman"/>
          <w:sz w:val="24"/>
          <w:szCs w:val="24"/>
        </w:rPr>
        <w:t xml:space="preserve">4.2 </w:t>
      </w:r>
      <w:r w:rsidR="000512AF" w:rsidRPr="000512AF">
        <w:rPr>
          <w:rFonts w:ascii="Times New Roman" w:hAnsi="Times New Roman" w:cs="Times New Roman"/>
          <w:b/>
          <w:bCs/>
          <w:sz w:val="24"/>
          <w:szCs w:val="24"/>
        </w:rPr>
        <w:t>Denúncias de Má-Fé: Diferença entre Falta de Provas e Falsa Acusação</w:t>
      </w:r>
    </w:p>
    <w:p w14:paraId="038D4D9F" w14:textId="77777777" w:rsidR="000512AF" w:rsidRPr="000512AF" w:rsidRDefault="000512AF" w:rsidP="000512AF">
      <w:pPr>
        <w:pStyle w:val="SemEspaamento"/>
        <w:spacing w:line="360" w:lineRule="auto"/>
        <w:ind w:firstLine="709"/>
        <w:jc w:val="both"/>
        <w:rPr>
          <w:rFonts w:ascii="Times New Roman" w:hAnsi="Times New Roman" w:cs="Times New Roman"/>
          <w:sz w:val="24"/>
          <w:szCs w:val="24"/>
        </w:rPr>
      </w:pPr>
      <w:r w:rsidRPr="000512AF">
        <w:rPr>
          <w:rFonts w:ascii="Times New Roman" w:hAnsi="Times New Roman" w:cs="Times New Roman"/>
          <w:sz w:val="24"/>
          <w:szCs w:val="24"/>
        </w:rPr>
        <w:t>Quando uma mulher procura a Justiça para denunciar uma situação de violência, é necessário analisar o caso com atenção. A falta de provas suficientes não significa, automaticamente, que a denúncia seja falsa ou que tenha sido feita para prejudicar o investigado. Santos e Silva (2026) destacam que uma atuação equilibrada não significa deixar de proteger a mulher, mas também não significa ignorar os direitos da pessoa acusada. Por isso, é necessário analisar as circunstâncias de cada caso antes de afirmar que houve má-fé.</w:t>
      </w:r>
    </w:p>
    <w:p w14:paraId="2FC3A258" w14:textId="77777777" w:rsidR="000512AF" w:rsidRPr="000512AF" w:rsidRDefault="000512AF" w:rsidP="000512AF">
      <w:pPr>
        <w:pStyle w:val="SemEspaamento"/>
        <w:spacing w:line="360" w:lineRule="auto"/>
        <w:ind w:firstLine="709"/>
        <w:jc w:val="both"/>
        <w:rPr>
          <w:rFonts w:ascii="Times New Roman" w:hAnsi="Times New Roman" w:cs="Times New Roman"/>
          <w:sz w:val="24"/>
          <w:szCs w:val="24"/>
        </w:rPr>
      </w:pPr>
      <w:r w:rsidRPr="000512AF">
        <w:rPr>
          <w:rFonts w:ascii="Times New Roman" w:hAnsi="Times New Roman" w:cs="Times New Roman"/>
          <w:sz w:val="24"/>
          <w:szCs w:val="24"/>
        </w:rPr>
        <w:t xml:space="preserve">A presunção de inocência também precisa ser considerada. Uma denúncia pode trazer consequências para a vida do investigado mesmo antes do fim do processo. Segundo Silva (2018), uma acusação pode causar consequências sociais e jurídicas, principalmente quando a pessoa passa a ser vista como culpada antes de uma decisão definitiva. Por isso, a existência de uma denúncia não deve ser tratada como prova de culpa. Ao mesmo tempo, é importante </w:t>
      </w:r>
      <w:r w:rsidRPr="000512AF">
        <w:rPr>
          <w:rFonts w:ascii="Times New Roman" w:hAnsi="Times New Roman" w:cs="Times New Roman"/>
          <w:sz w:val="24"/>
          <w:szCs w:val="24"/>
        </w:rPr>
        <w:lastRenderedPageBreak/>
        <w:t>lembrar que a possibilidade de uma denúncia não ser comprovada não deve servir para colocar em dúvida todas as mulheres que procuram proteção.</w:t>
      </w:r>
    </w:p>
    <w:p w14:paraId="0A6780CC" w14:textId="71003379" w:rsidR="000512AF" w:rsidRPr="000512AF" w:rsidRDefault="000512AF" w:rsidP="000512AF">
      <w:pPr>
        <w:pStyle w:val="SemEspaamento"/>
        <w:spacing w:line="360" w:lineRule="auto"/>
        <w:ind w:firstLine="709"/>
        <w:jc w:val="both"/>
        <w:rPr>
          <w:rFonts w:ascii="Times New Roman" w:hAnsi="Times New Roman" w:cs="Times New Roman"/>
          <w:sz w:val="24"/>
          <w:szCs w:val="24"/>
        </w:rPr>
      </w:pPr>
      <w:r w:rsidRPr="000512AF">
        <w:rPr>
          <w:rFonts w:ascii="Times New Roman" w:hAnsi="Times New Roman" w:cs="Times New Roman"/>
          <w:sz w:val="24"/>
          <w:szCs w:val="24"/>
        </w:rPr>
        <w:t>Outro ponto importante é a atuação dos profissionais do Direito diante dessas situações. Pereira (2020) aponta que a formação dos profissionais e a utilização de critérios de análise podem ajudar a evitar decisões injustas. É necessário observar os fatos apresentados, os documentos, os depoimentos e os demais elementos disponíveis para entender o que realmente aconteceu. Essa análise cuidadosa ajuda a separar os casos de violência daqueles em que existem acusações sem elementos suficientes ou, em situações mais específicas, acusações feitas de forma intencionalmente falsa.</w:t>
      </w:r>
    </w:p>
    <w:p w14:paraId="0719BD37" w14:textId="77777777" w:rsidR="00F81864" w:rsidRPr="000512AF" w:rsidRDefault="00F81864" w:rsidP="000512AF">
      <w:pPr>
        <w:pStyle w:val="SemEspaamento"/>
        <w:spacing w:line="360" w:lineRule="auto"/>
        <w:jc w:val="both"/>
        <w:rPr>
          <w:rStyle w:val="Forte"/>
          <w:rFonts w:ascii="Times New Roman" w:hAnsi="Times New Roman" w:cs="Times New Roman"/>
          <w:b w:val="0"/>
          <w:bCs w:val="0"/>
          <w:sz w:val="24"/>
          <w:szCs w:val="24"/>
        </w:rPr>
      </w:pPr>
    </w:p>
    <w:p w14:paraId="017CAE17" w14:textId="5B6A0C09" w:rsidR="00F81864" w:rsidRPr="000512AF" w:rsidRDefault="00F81864" w:rsidP="00F81864">
      <w:pPr>
        <w:pStyle w:val="SemEspaamento"/>
        <w:spacing w:line="360" w:lineRule="auto"/>
        <w:jc w:val="both"/>
        <w:rPr>
          <w:rStyle w:val="Forte"/>
          <w:rFonts w:ascii="Times New Roman" w:hAnsi="Times New Roman" w:cs="Times New Roman"/>
          <w:sz w:val="24"/>
          <w:szCs w:val="24"/>
        </w:rPr>
      </w:pPr>
      <w:r w:rsidRPr="000512AF">
        <w:rPr>
          <w:rStyle w:val="Forte"/>
          <w:rFonts w:ascii="Times New Roman" w:hAnsi="Times New Roman" w:cs="Times New Roman"/>
          <w:sz w:val="24"/>
          <w:szCs w:val="24"/>
        </w:rPr>
        <w:t>4.3</w:t>
      </w:r>
      <w:r w:rsidRPr="000512AF">
        <w:rPr>
          <w:rStyle w:val="Forte"/>
          <w:rFonts w:ascii="Times New Roman" w:hAnsi="Times New Roman" w:cs="Times New Roman"/>
          <w:b w:val="0"/>
          <w:bCs w:val="0"/>
          <w:sz w:val="24"/>
          <w:szCs w:val="24"/>
        </w:rPr>
        <w:t xml:space="preserve"> </w:t>
      </w:r>
      <w:r w:rsidR="000512AF" w:rsidRPr="000512AF">
        <w:rPr>
          <w:rFonts w:ascii="Times New Roman" w:hAnsi="Times New Roman" w:cs="Times New Roman"/>
          <w:b/>
          <w:bCs/>
          <w:sz w:val="24"/>
          <w:szCs w:val="24"/>
        </w:rPr>
        <w:t>Responsabilização por Denúncias Abusivas e os Limites da Proteção Jurídica</w:t>
      </w:r>
    </w:p>
    <w:p w14:paraId="698C8CD3" w14:textId="77777777" w:rsidR="000512AF" w:rsidRPr="000512AF" w:rsidRDefault="000512AF" w:rsidP="000512AF">
      <w:pPr>
        <w:pStyle w:val="SemEspaamento"/>
        <w:spacing w:line="360" w:lineRule="auto"/>
        <w:ind w:firstLine="709"/>
        <w:jc w:val="both"/>
        <w:rPr>
          <w:rFonts w:ascii="Times New Roman" w:hAnsi="Times New Roman" w:cs="Times New Roman"/>
          <w:sz w:val="24"/>
          <w:szCs w:val="24"/>
        </w:rPr>
      </w:pPr>
      <w:r w:rsidRPr="000512AF">
        <w:rPr>
          <w:rFonts w:ascii="Times New Roman" w:hAnsi="Times New Roman" w:cs="Times New Roman"/>
          <w:sz w:val="24"/>
          <w:szCs w:val="24"/>
        </w:rPr>
        <w:t xml:space="preserve">A responsabilização por uma denúncia abusiva deve acontecer com cuidado. A preocupação em punir uma pessoa que tenha feito uma acusação falsa não pode acabar afastando mulheres que realmente sofrem violência e precisam procurar ajuda. Bianchini (2017) chama atenção para o risco de </w:t>
      </w:r>
      <w:proofErr w:type="spellStart"/>
      <w:r w:rsidRPr="000512AF">
        <w:rPr>
          <w:rFonts w:ascii="Times New Roman" w:hAnsi="Times New Roman" w:cs="Times New Roman"/>
          <w:sz w:val="24"/>
          <w:szCs w:val="24"/>
        </w:rPr>
        <w:t>revitimização</w:t>
      </w:r>
      <w:proofErr w:type="spellEnd"/>
      <w:r w:rsidRPr="000512AF">
        <w:rPr>
          <w:rFonts w:ascii="Times New Roman" w:hAnsi="Times New Roman" w:cs="Times New Roman"/>
          <w:sz w:val="24"/>
          <w:szCs w:val="24"/>
        </w:rPr>
        <w:t xml:space="preserve"> quando a palavra da mulher é colocada constantemente em dúvida. Por isso, apenas o fato de uma acusação não ter sido comprovada não é suficiente para afirmar que houve má-fé. É necessário analisar o caso e verificar se realmente existiu uma intenção de prejudicar outra pessoa.</w:t>
      </w:r>
    </w:p>
    <w:p w14:paraId="67AF3E9E" w14:textId="77777777" w:rsidR="000512AF" w:rsidRPr="000512AF" w:rsidRDefault="000512AF" w:rsidP="000512AF">
      <w:pPr>
        <w:pStyle w:val="SemEspaamento"/>
        <w:spacing w:line="360" w:lineRule="auto"/>
        <w:ind w:firstLine="709"/>
        <w:jc w:val="both"/>
        <w:rPr>
          <w:rFonts w:ascii="Times New Roman" w:hAnsi="Times New Roman" w:cs="Times New Roman"/>
          <w:sz w:val="24"/>
          <w:szCs w:val="24"/>
        </w:rPr>
      </w:pPr>
      <w:r w:rsidRPr="000512AF">
        <w:rPr>
          <w:rFonts w:ascii="Times New Roman" w:hAnsi="Times New Roman" w:cs="Times New Roman"/>
          <w:sz w:val="24"/>
          <w:szCs w:val="24"/>
        </w:rPr>
        <w:t>A responsabilização também precisa respeitar os princípios do Direito Penal. Nucci (2020) explica que o princípio da lesividade estabelece limites para a atuação do Estado, sendo necessária a existência de uma conduta que realmente atinja um bem jurídico protegido. Dessa forma, uma pessoa não deve ser responsabilizada apenas porque sua denúncia não levou à condenação do acusado. Para que exista uma responsabilização, é necessário verificar se estão presentes os elementos exigidos pela lei para caracterizar o crime ou outra forma de responsabilidade.</w:t>
      </w:r>
    </w:p>
    <w:p w14:paraId="7EF98B9F" w14:textId="49022C1C" w:rsidR="000512AF" w:rsidRPr="000512AF" w:rsidRDefault="000512AF" w:rsidP="000512AF">
      <w:pPr>
        <w:pStyle w:val="SemEspaamento"/>
        <w:spacing w:line="360" w:lineRule="auto"/>
        <w:ind w:firstLine="709"/>
        <w:jc w:val="both"/>
        <w:rPr>
          <w:rFonts w:ascii="Times New Roman" w:hAnsi="Times New Roman" w:cs="Times New Roman"/>
          <w:sz w:val="24"/>
          <w:szCs w:val="24"/>
        </w:rPr>
      </w:pPr>
      <w:r w:rsidRPr="000512AF">
        <w:rPr>
          <w:rFonts w:ascii="Times New Roman" w:hAnsi="Times New Roman" w:cs="Times New Roman"/>
          <w:sz w:val="24"/>
          <w:szCs w:val="24"/>
        </w:rPr>
        <w:t xml:space="preserve">Por fim, a Lei Maria da Penha deve continuar sendo utilizada de acordo com sua finalidade de proteção. Moura, Bonfim e Correa (2026) discutem justamente situações em que os mecanismos da lei podem ser utilizados de maneira abusiva, especialmente quando existe uma acusação feita com intenção de prejudicar outra pessoa. Esse tipo de situação não deve ser </w:t>
      </w:r>
      <w:r w:rsidRPr="000512AF">
        <w:rPr>
          <w:rFonts w:ascii="Times New Roman" w:hAnsi="Times New Roman" w:cs="Times New Roman"/>
          <w:sz w:val="24"/>
          <w:szCs w:val="24"/>
        </w:rPr>
        <w:lastRenderedPageBreak/>
        <w:t>ignorado, pois pode prejudicar a confiança no sistema de proteção. Porém, também é necessário ter cuidado para não considerar falsa toda denúncia que não tenha sido comprovada. Assim, a responsabilização deve ocorrer quando a má-fé estiver realmente demonstrada, preservando tanto a proteção da mulher quanto os direitos do investigado.</w:t>
      </w:r>
    </w:p>
    <w:p w14:paraId="7E2489BD" w14:textId="77777777" w:rsidR="00F81864" w:rsidRPr="000512AF" w:rsidRDefault="00F81864" w:rsidP="006171BA">
      <w:pPr>
        <w:keepNext/>
        <w:rPr>
          <w:b/>
          <w:bCs/>
          <w:sz w:val="24"/>
          <w:szCs w:val="24"/>
        </w:rPr>
      </w:pPr>
    </w:p>
    <w:p w14:paraId="109D5506" w14:textId="7C3655FD" w:rsidR="00D913BB" w:rsidRPr="000512AF" w:rsidRDefault="00F6458A" w:rsidP="009D7A75">
      <w:pPr>
        <w:keepNext/>
        <w:rPr>
          <w:b/>
          <w:sz w:val="24"/>
          <w:szCs w:val="24"/>
        </w:rPr>
      </w:pPr>
      <w:r w:rsidRPr="000512AF">
        <w:rPr>
          <w:b/>
          <w:sz w:val="24"/>
          <w:szCs w:val="24"/>
        </w:rPr>
        <w:t>5 CONSIDERAÇÕES FINAIS</w:t>
      </w:r>
    </w:p>
    <w:p w14:paraId="4B8DCA83" w14:textId="77777777" w:rsidR="00F81864" w:rsidRPr="000512AF" w:rsidRDefault="00F81864" w:rsidP="009D7A75">
      <w:pPr>
        <w:keepNext/>
        <w:rPr>
          <w:sz w:val="24"/>
          <w:szCs w:val="24"/>
        </w:rPr>
      </w:pPr>
    </w:p>
    <w:p w14:paraId="2A583674" w14:textId="77777777" w:rsidR="000512AF" w:rsidRPr="000512AF" w:rsidRDefault="000512AF" w:rsidP="000512AF">
      <w:pPr>
        <w:pStyle w:val="SemEspaamento"/>
        <w:spacing w:line="360" w:lineRule="auto"/>
        <w:ind w:firstLine="709"/>
        <w:jc w:val="both"/>
        <w:rPr>
          <w:rFonts w:ascii="Times New Roman" w:hAnsi="Times New Roman" w:cs="Times New Roman"/>
          <w:sz w:val="24"/>
          <w:szCs w:val="24"/>
        </w:rPr>
      </w:pPr>
      <w:r w:rsidRPr="000512AF">
        <w:rPr>
          <w:rFonts w:ascii="Times New Roman" w:hAnsi="Times New Roman" w:cs="Times New Roman"/>
          <w:sz w:val="24"/>
          <w:szCs w:val="24"/>
        </w:rPr>
        <w:t>A pesquisa mostrou que a Lei Maria da Penha é muito importante para proteger mulheres que sofrem violência doméstica e familiar. As medidas protetivas permitem uma resposta mais rápida quando existe uma situação de risco. Porém, mesmo com essa necessidade de rapidez, é importante que cada caso seja analisado com atenção. O juiz deve considerar as informações apresentadas e fundamentar sua decisão, principalmente porque algumas medidas podem trazer mudanças importantes na vida do investigado.</w:t>
      </w:r>
    </w:p>
    <w:p w14:paraId="08253701" w14:textId="77777777" w:rsidR="000512AF" w:rsidRPr="000512AF" w:rsidRDefault="000512AF" w:rsidP="000512AF">
      <w:pPr>
        <w:pStyle w:val="SemEspaamento"/>
        <w:spacing w:line="360" w:lineRule="auto"/>
        <w:ind w:firstLine="709"/>
        <w:jc w:val="both"/>
        <w:rPr>
          <w:rFonts w:ascii="Times New Roman" w:hAnsi="Times New Roman" w:cs="Times New Roman"/>
          <w:sz w:val="24"/>
          <w:szCs w:val="24"/>
        </w:rPr>
      </w:pPr>
      <w:r w:rsidRPr="000512AF">
        <w:rPr>
          <w:rFonts w:ascii="Times New Roman" w:hAnsi="Times New Roman" w:cs="Times New Roman"/>
          <w:sz w:val="24"/>
          <w:szCs w:val="24"/>
        </w:rPr>
        <w:t>Outro ponto importante encontrado durante o estudo foi a diferença entre uma denúncia que não conseguiu ser comprovada e uma denúncia feita de má-fé. A falta de provas não significa, por si só, que a mulher mentiu ou tentou prejudicar alguém. Para que exista responsabilização por uma falsa acusação, é necessário verificar se houve realmente a intenção de apresentar uma informação falsa para causar prejuízo ao investigado. Essa diferença é importante para evitar injustiças e, ao mesmo tempo, permitir que casos de abuso comprovado sejam responsabilizados.</w:t>
      </w:r>
    </w:p>
    <w:p w14:paraId="3CED38FF" w14:textId="77777777" w:rsidR="000512AF" w:rsidRPr="000512AF" w:rsidRDefault="000512AF" w:rsidP="000512AF">
      <w:pPr>
        <w:pStyle w:val="SemEspaamento"/>
        <w:spacing w:line="360" w:lineRule="auto"/>
        <w:ind w:firstLine="709"/>
        <w:jc w:val="both"/>
        <w:rPr>
          <w:rFonts w:ascii="Times New Roman" w:hAnsi="Times New Roman" w:cs="Times New Roman"/>
          <w:sz w:val="24"/>
          <w:szCs w:val="24"/>
        </w:rPr>
      </w:pPr>
      <w:r w:rsidRPr="000512AF">
        <w:rPr>
          <w:rFonts w:ascii="Times New Roman" w:hAnsi="Times New Roman" w:cs="Times New Roman"/>
          <w:sz w:val="24"/>
          <w:szCs w:val="24"/>
        </w:rPr>
        <w:t>A pesquisa também mostrou que a proteção da mulher e o respeito aos direitos do investigado não precisam ser vistos como situações contrárias. É possível garantir proteção para quem realmente está sofrendo violência e, ao mesmo tempo, respeitar a presunção de inocência e o direito de defesa. O problema está em considerar toda denúncia não comprovada como falsa ou, no outro extremo, ignorar situações em que a utilização da lei de forma abusiva esteja realmente demonstrada.</w:t>
      </w:r>
    </w:p>
    <w:p w14:paraId="370C65B9" w14:textId="42A8A51A" w:rsidR="000512AF" w:rsidRDefault="000512AF" w:rsidP="000512AF">
      <w:pPr>
        <w:pStyle w:val="SemEspaamento"/>
        <w:spacing w:line="360" w:lineRule="auto"/>
        <w:ind w:firstLine="709"/>
        <w:jc w:val="both"/>
        <w:rPr>
          <w:rFonts w:ascii="Times New Roman" w:hAnsi="Times New Roman" w:cs="Times New Roman"/>
          <w:sz w:val="24"/>
          <w:szCs w:val="24"/>
        </w:rPr>
      </w:pPr>
      <w:r w:rsidRPr="000512AF">
        <w:rPr>
          <w:rFonts w:ascii="Times New Roman" w:hAnsi="Times New Roman" w:cs="Times New Roman"/>
          <w:sz w:val="24"/>
          <w:szCs w:val="24"/>
        </w:rPr>
        <w:t xml:space="preserve">Por fim, entende-se que a aplicação da Lei Maria da Penha deve continuar tendo como principal objetivo a proteção das mulheres, mas sempre com atenção às circunstâncias de cada caso. A responsabilização por denúncias feitas de má-fé deve acontecer quando houver elementos que comprovem essa conduta, sem criar medo nas mulheres que precisam procurar </w:t>
      </w:r>
      <w:r w:rsidRPr="000512AF">
        <w:rPr>
          <w:rFonts w:ascii="Times New Roman" w:hAnsi="Times New Roman" w:cs="Times New Roman"/>
          <w:sz w:val="24"/>
          <w:szCs w:val="24"/>
        </w:rPr>
        <w:lastRenderedPageBreak/>
        <w:t>ajuda. Como possibilidade para novos estudos, seria importante analisar decisões dos tribunais sobre denúncias falsas e verificar quais critérios são utilizados pelos juízes para diferenciar a falta de provas de uma acusação feita de forma intencional. Dessa maneira, será possível compreender melhor como proteger as vítimas, evitar abusos e garantir maior segurança jurídica.</w:t>
      </w:r>
    </w:p>
    <w:p w14:paraId="5AD29DB3" w14:textId="77777777" w:rsidR="000512AF" w:rsidRPr="00F81864" w:rsidRDefault="000512AF" w:rsidP="000512AF">
      <w:pPr>
        <w:pStyle w:val="SemEspaamento"/>
        <w:spacing w:line="360" w:lineRule="auto"/>
        <w:ind w:firstLine="709"/>
        <w:jc w:val="both"/>
        <w:rPr>
          <w:rFonts w:ascii="Times New Roman" w:hAnsi="Times New Roman" w:cs="Times New Roman"/>
          <w:sz w:val="24"/>
          <w:szCs w:val="24"/>
        </w:rPr>
      </w:pPr>
    </w:p>
    <w:p w14:paraId="5EDFB96C" w14:textId="77777777" w:rsidR="00F81864" w:rsidRPr="00142AF5" w:rsidRDefault="00F81864" w:rsidP="00692087">
      <w:pPr>
        <w:spacing w:line="360" w:lineRule="auto"/>
        <w:ind w:firstLine="709"/>
        <w:jc w:val="both"/>
        <w:rPr>
          <w:b/>
          <w:bCs/>
          <w:sz w:val="24"/>
          <w:szCs w:val="24"/>
        </w:rPr>
      </w:pPr>
    </w:p>
    <w:p w14:paraId="2279C1D4" w14:textId="656BA88B" w:rsidR="000512AF" w:rsidRPr="000512AF" w:rsidRDefault="00F6458A" w:rsidP="000512AF">
      <w:pPr>
        <w:keepNext/>
        <w:jc w:val="center"/>
        <w:rPr>
          <w:b/>
          <w:bCs/>
          <w:sz w:val="24"/>
          <w:szCs w:val="24"/>
        </w:rPr>
      </w:pPr>
      <w:r>
        <w:rPr>
          <w:b/>
          <w:sz w:val="24"/>
        </w:rPr>
        <w:t>REFERÊNCIAS</w:t>
      </w:r>
    </w:p>
    <w:p w14:paraId="353CE4C7" w14:textId="77777777" w:rsidR="00105D9B" w:rsidRDefault="00105D9B" w:rsidP="00105D9B">
      <w:pPr>
        <w:spacing w:after="80"/>
        <w:rPr>
          <w:sz w:val="24"/>
          <w:szCs w:val="24"/>
          <w:lang w:val="pt-PT"/>
        </w:rPr>
      </w:pPr>
    </w:p>
    <w:p w14:paraId="38DEFAB6" w14:textId="7C218719" w:rsidR="00105D9B" w:rsidRDefault="00105D9B" w:rsidP="00105D9B">
      <w:pPr>
        <w:spacing w:after="80"/>
        <w:rPr>
          <w:sz w:val="24"/>
          <w:szCs w:val="24"/>
          <w:lang w:val="pt-PT"/>
        </w:rPr>
      </w:pPr>
      <w:r w:rsidRPr="000512AF">
        <w:rPr>
          <w:sz w:val="24"/>
          <w:szCs w:val="24"/>
          <w:lang w:val="pt-PT"/>
        </w:rPr>
        <w:t xml:space="preserve">A INSTRUMENTALIZAÇÃO DAS MEDIDAS PROTETIVAS DA LEI MARIA DA PENHA ENTRE A MÁ-FÉ, A DENUNCIAÇÃO CALUNIOSA E A PROTEÇÃO DA MULHER. </w:t>
      </w:r>
      <w:r w:rsidRPr="00105D9B">
        <w:rPr>
          <w:b/>
          <w:bCs/>
          <w:sz w:val="24"/>
          <w:szCs w:val="24"/>
          <w:lang w:val="pt-PT"/>
        </w:rPr>
        <w:t>CIPEEX</w:t>
      </w:r>
      <w:r w:rsidRPr="000512AF">
        <w:rPr>
          <w:sz w:val="24"/>
          <w:szCs w:val="24"/>
          <w:lang w:val="pt-PT"/>
        </w:rPr>
        <w:t>, [S. l.], 2026.</w:t>
      </w:r>
    </w:p>
    <w:p w14:paraId="2D48BDFF" w14:textId="77777777" w:rsidR="00105D9B" w:rsidRPr="000512AF" w:rsidRDefault="00105D9B" w:rsidP="00105D9B">
      <w:pPr>
        <w:spacing w:after="80"/>
        <w:rPr>
          <w:sz w:val="24"/>
          <w:szCs w:val="24"/>
          <w:lang w:val="pt-PT"/>
        </w:rPr>
      </w:pPr>
    </w:p>
    <w:p w14:paraId="5D44DEFF" w14:textId="4D802C31" w:rsidR="00105D9B" w:rsidRDefault="00105D9B" w:rsidP="00105D9B">
      <w:pPr>
        <w:spacing w:after="80"/>
        <w:rPr>
          <w:sz w:val="24"/>
          <w:szCs w:val="24"/>
          <w:lang w:val="pt-PT"/>
        </w:rPr>
      </w:pPr>
      <w:r w:rsidRPr="000512AF">
        <w:rPr>
          <w:sz w:val="24"/>
          <w:szCs w:val="24"/>
          <w:lang w:val="pt-PT"/>
        </w:rPr>
        <w:t>BIANCHINI, Alice, LEI MARIA DA PENHA. LEI Nº11.340/2006 ASPECTOS ASSITENCIAIS, PROTETIVOS E CRIMINAIS DE VIOLENCIA DE GENERO,2º Ed. São</w:t>
      </w:r>
      <w:r>
        <w:rPr>
          <w:sz w:val="24"/>
          <w:szCs w:val="24"/>
          <w:lang w:val="pt-PT"/>
        </w:rPr>
        <w:t xml:space="preserve"> Paulo: Revista dos Tribunais, 2017.</w:t>
      </w:r>
    </w:p>
    <w:p w14:paraId="492C3EB9" w14:textId="77777777" w:rsidR="00105D9B" w:rsidRPr="000512AF" w:rsidRDefault="00105D9B" w:rsidP="00105D9B">
      <w:pPr>
        <w:spacing w:after="80"/>
        <w:rPr>
          <w:sz w:val="24"/>
          <w:szCs w:val="24"/>
          <w:lang w:val="pt-PT"/>
        </w:rPr>
      </w:pPr>
    </w:p>
    <w:p w14:paraId="362BD665" w14:textId="416F20C4" w:rsidR="00105D9B" w:rsidRDefault="00105D9B" w:rsidP="00105D9B">
      <w:pPr>
        <w:spacing w:after="80"/>
        <w:rPr>
          <w:sz w:val="24"/>
          <w:szCs w:val="24"/>
          <w:lang w:val="pt-PT"/>
        </w:rPr>
      </w:pPr>
      <w:r w:rsidRPr="000512AF">
        <w:rPr>
          <w:sz w:val="24"/>
          <w:szCs w:val="24"/>
          <w:lang w:val="pt-PT"/>
        </w:rPr>
        <w:t>BIANCHINI, Alice. Lei Maria da Penha comentada em uma perspectiva jurídico- feminista.</w:t>
      </w:r>
    </w:p>
    <w:p w14:paraId="5F48C5B6" w14:textId="77777777" w:rsidR="00105D9B" w:rsidRPr="000512AF" w:rsidRDefault="00105D9B" w:rsidP="00105D9B">
      <w:pPr>
        <w:spacing w:after="80"/>
        <w:rPr>
          <w:sz w:val="24"/>
          <w:szCs w:val="24"/>
          <w:lang w:val="pt-PT"/>
        </w:rPr>
      </w:pPr>
    </w:p>
    <w:p w14:paraId="4ACCC0E6" w14:textId="05D5AE0A" w:rsidR="00105D9B" w:rsidRDefault="00105D9B" w:rsidP="00105D9B">
      <w:pPr>
        <w:spacing w:after="80"/>
        <w:rPr>
          <w:sz w:val="24"/>
          <w:szCs w:val="24"/>
          <w:lang w:val="pt-PT"/>
        </w:rPr>
      </w:pPr>
      <w:r w:rsidRPr="000512AF">
        <w:rPr>
          <w:sz w:val="24"/>
          <w:szCs w:val="24"/>
          <w:lang w:val="pt-PT"/>
        </w:rPr>
        <w:t>BITENCOURT, Cezar Roberto. Tratado de direito penal. 28. ed. São Paulo :Saraiva,2022.</w:t>
      </w:r>
    </w:p>
    <w:p w14:paraId="71825DB7" w14:textId="77777777" w:rsidR="00105D9B" w:rsidRPr="000512AF" w:rsidRDefault="00105D9B" w:rsidP="00105D9B">
      <w:pPr>
        <w:spacing w:after="80"/>
        <w:rPr>
          <w:sz w:val="24"/>
          <w:szCs w:val="24"/>
          <w:lang w:val="pt-PT"/>
        </w:rPr>
      </w:pPr>
    </w:p>
    <w:p w14:paraId="2C111A16" w14:textId="31523C81" w:rsidR="00105D9B" w:rsidRDefault="00105D9B" w:rsidP="00105D9B">
      <w:pPr>
        <w:spacing w:after="80"/>
        <w:rPr>
          <w:sz w:val="24"/>
          <w:szCs w:val="24"/>
          <w:lang w:val="pt-PT"/>
        </w:rPr>
      </w:pPr>
      <w:r w:rsidRPr="000512AF">
        <w:rPr>
          <w:sz w:val="24"/>
          <w:szCs w:val="24"/>
          <w:lang w:val="pt-PT"/>
        </w:rPr>
        <w:t xml:space="preserve">BRASIL. Lei nº11.340, de 7 de agosto de 2006. Cria </w:t>
      </w:r>
      <w:r w:rsidRPr="00105D9B">
        <w:rPr>
          <w:b/>
          <w:bCs/>
          <w:sz w:val="24"/>
          <w:szCs w:val="24"/>
          <w:lang w:val="pt-PT"/>
        </w:rPr>
        <w:t>mecanismos para coibir a violência doméstica e familiar contra a mulher.</w:t>
      </w:r>
      <w:r w:rsidRPr="000512AF">
        <w:rPr>
          <w:sz w:val="24"/>
          <w:szCs w:val="24"/>
          <w:lang w:val="pt-PT"/>
        </w:rPr>
        <w:t xml:space="preserve"> Brasília, DF: Presidência da República,2006.</w:t>
      </w:r>
    </w:p>
    <w:p w14:paraId="3AE7E0A1" w14:textId="77777777" w:rsidR="00105D9B" w:rsidRDefault="00105D9B" w:rsidP="00105D9B">
      <w:pPr>
        <w:spacing w:after="80"/>
        <w:rPr>
          <w:sz w:val="24"/>
          <w:szCs w:val="24"/>
          <w:lang w:val="pt-PT"/>
        </w:rPr>
      </w:pPr>
    </w:p>
    <w:p w14:paraId="2722925D" w14:textId="6CA14A11" w:rsidR="00105D9B" w:rsidRDefault="00105D9B" w:rsidP="00105D9B">
      <w:pPr>
        <w:spacing w:after="80"/>
        <w:rPr>
          <w:sz w:val="24"/>
          <w:szCs w:val="24"/>
          <w:lang w:val="pt-PT"/>
        </w:rPr>
      </w:pPr>
      <w:r w:rsidRPr="000512AF">
        <w:rPr>
          <w:sz w:val="24"/>
          <w:szCs w:val="24"/>
          <w:lang w:val="pt-PT"/>
        </w:rPr>
        <w:t>BRASIL.Constituição da República Federativa do Brasil de 1988. Brasília, DF: Senado Federal, 1988.</w:t>
      </w:r>
    </w:p>
    <w:p w14:paraId="02A35641" w14:textId="77777777" w:rsidR="00105D9B" w:rsidRPr="000512AF" w:rsidRDefault="00105D9B" w:rsidP="00105D9B">
      <w:pPr>
        <w:spacing w:after="80"/>
        <w:rPr>
          <w:sz w:val="24"/>
          <w:szCs w:val="24"/>
          <w:lang w:val="pt-PT"/>
        </w:rPr>
      </w:pPr>
    </w:p>
    <w:p w14:paraId="7455C17D" w14:textId="4F30BAA1" w:rsidR="00105D9B" w:rsidRDefault="00105D9B" w:rsidP="00105D9B">
      <w:pPr>
        <w:spacing w:after="80"/>
        <w:rPr>
          <w:sz w:val="24"/>
          <w:szCs w:val="24"/>
          <w:lang w:val="pt-PT"/>
        </w:rPr>
      </w:pPr>
      <w:r w:rsidRPr="000512AF">
        <w:rPr>
          <w:sz w:val="24"/>
          <w:szCs w:val="24"/>
          <w:lang w:val="pt-PT"/>
        </w:rPr>
        <w:t xml:space="preserve">CAVALIERI FILHO, Sergio. </w:t>
      </w:r>
      <w:r w:rsidRPr="00105D9B">
        <w:rPr>
          <w:b/>
          <w:bCs/>
          <w:sz w:val="24"/>
          <w:szCs w:val="24"/>
          <w:lang w:val="pt-PT"/>
        </w:rPr>
        <w:t>Programa de responsabilidade civil</w:t>
      </w:r>
      <w:r w:rsidRPr="000512AF">
        <w:rPr>
          <w:sz w:val="24"/>
          <w:szCs w:val="24"/>
          <w:lang w:val="pt-PT"/>
        </w:rPr>
        <w:t>.15.ed. São Paulo :Atlas,2022.</w:t>
      </w:r>
    </w:p>
    <w:p w14:paraId="1B74831E" w14:textId="77777777" w:rsidR="00105D9B" w:rsidRDefault="00105D9B" w:rsidP="00105D9B">
      <w:pPr>
        <w:spacing w:after="80"/>
        <w:rPr>
          <w:sz w:val="24"/>
          <w:szCs w:val="24"/>
          <w:lang w:val="pt-PT"/>
        </w:rPr>
      </w:pPr>
    </w:p>
    <w:p w14:paraId="18ECD219" w14:textId="5FD6CB19" w:rsidR="00105D9B" w:rsidRDefault="00105D9B" w:rsidP="00105D9B">
      <w:pPr>
        <w:spacing w:after="80"/>
        <w:rPr>
          <w:sz w:val="24"/>
          <w:szCs w:val="24"/>
          <w:lang w:val="pt-PT"/>
        </w:rPr>
      </w:pPr>
      <w:r w:rsidRPr="000512AF">
        <w:rPr>
          <w:sz w:val="24"/>
          <w:szCs w:val="24"/>
          <w:lang w:val="pt-PT"/>
        </w:rPr>
        <w:t xml:space="preserve">COSTA, Paula Bajer Martins da. </w:t>
      </w:r>
      <w:r w:rsidRPr="00105D9B">
        <w:rPr>
          <w:b/>
          <w:bCs/>
          <w:sz w:val="24"/>
          <w:szCs w:val="24"/>
          <w:lang w:val="pt-PT"/>
        </w:rPr>
        <w:t>Igualdade no direito processual penal brasileiro.</w:t>
      </w:r>
      <w:r w:rsidRPr="000512AF">
        <w:rPr>
          <w:sz w:val="24"/>
          <w:szCs w:val="24"/>
          <w:lang w:val="pt-PT"/>
        </w:rPr>
        <w:t xml:space="preserve"> Coleção de estudos de processo penal prof. Joaquim Canuto Mendes de Almeida, v.06. São Paulo: Revista dos Tribunais, 2001, p. 10.</w:t>
      </w:r>
    </w:p>
    <w:p w14:paraId="4E3A5692" w14:textId="77777777" w:rsidR="00105D9B" w:rsidRDefault="00105D9B" w:rsidP="00105D9B">
      <w:pPr>
        <w:spacing w:after="80"/>
        <w:rPr>
          <w:sz w:val="24"/>
          <w:szCs w:val="24"/>
          <w:lang w:val="pt-PT"/>
        </w:rPr>
      </w:pPr>
    </w:p>
    <w:p w14:paraId="5044BBF5" w14:textId="77777777" w:rsidR="00105D9B" w:rsidRPr="000512AF" w:rsidRDefault="00105D9B" w:rsidP="00105D9B">
      <w:pPr>
        <w:spacing w:after="80"/>
        <w:rPr>
          <w:sz w:val="24"/>
          <w:szCs w:val="24"/>
          <w:lang w:val="pt-PT"/>
        </w:rPr>
      </w:pPr>
      <w:r w:rsidRPr="000512AF">
        <w:rPr>
          <w:sz w:val="24"/>
          <w:szCs w:val="24"/>
          <w:lang w:val="pt-PT"/>
        </w:rPr>
        <w:t xml:space="preserve">DIAS, Maria Berenice. </w:t>
      </w:r>
      <w:r w:rsidRPr="00105D9B">
        <w:rPr>
          <w:b/>
          <w:bCs/>
          <w:sz w:val="24"/>
          <w:szCs w:val="24"/>
          <w:lang w:val="pt-PT"/>
        </w:rPr>
        <w:t>A Lei Maria da Penha na justiça.</w:t>
      </w:r>
      <w:r w:rsidRPr="000512AF">
        <w:rPr>
          <w:sz w:val="24"/>
          <w:szCs w:val="24"/>
          <w:lang w:val="pt-PT"/>
        </w:rPr>
        <w:t xml:space="preserve"> 7.ed. Salvador: JusPodivm,2021.</w:t>
      </w:r>
    </w:p>
    <w:p w14:paraId="77EB8CA7" w14:textId="2F180CBC" w:rsidR="00105D9B" w:rsidRDefault="00105D9B" w:rsidP="00105D9B">
      <w:pPr>
        <w:spacing w:after="80"/>
        <w:rPr>
          <w:sz w:val="24"/>
          <w:szCs w:val="24"/>
          <w:lang w:val="pt-PT"/>
        </w:rPr>
      </w:pPr>
      <w:r w:rsidRPr="00105D9B">
        <w:rPr>
          <w:b/>
          <w:bCs/>
          <w:sz w:val="24"/>
          <w:szCs w:val="24"/>
          <w:lang w:val="pt-PT"/>
        </w:rPr>
        <w:lastRenderedPageBreak/>
        <w:t>GOMES, Luiz Flávio.</w:t>
      </w:r>
      <w:r w:rsidRPr="000512AF">
        <w:rPr>
          <w:sz w:val="24"/>
          <w:szCs w:val="24"/>
          <w:lang w:val="pt-PT"/>
        </w:rPr>
        <w:t xml:space="preserve"> Presunção de inocência e Lei Maria da Penha: tensões e equilíbrios. Revista de Direito Penal e Criminologia, São Paulo, v. 15, 2015.</w:t>
      </w:r>
    </w:p>
    <w:p w14:paraId="48AD5F23" w14:textId="77777777" w:rsidR="00105D9B" w:rsidRDefault="00105D9B" w:rsidP="00105D9B">
      <w:pPr>
        <w:spacing w:after="80"/>
        <w:rPr>
          <w:sz w:val="24"/>
          <w:szCs w:val="24"/>
          <w:lang w:val="pt-PT"/>
        </w:rPr>
      </w:pPr>
    </w:p>
    <w:p w14:paraId="227FDD07" w14:textId="3E27AF8F" w:rsidR="00105D9B" w:rsidRDefault="00105D9B" w:rsidP="00105D9B">
      <w:pPr>
        <w:spacing w:after="80"/>
        <w:rPr>
          <w:sz w:val="24"/>
          <w:szCs w:val="24"/>
          <w:lang w:val="pt-PT"/>
        </w:rPr>
      </w:pPr>
      <w:r w:rsidRPr="000512AF">
        <w:rPr>
          <w:sz w:val="24"/>
          <w:szCs w:val="24"/>
          <w:lang w:val="pt-PT"/>
        </w:rPr>
        <w:t xml:space="preserve">GRECO, Rogério. </w:t>
      </w:r>
      <w:r w:rsidRPr="00105D9B">
        <w:rPr>
          <w:b/>
          <w:bCs/>
          <w:sz w:val="24"/>
          <w:szCs w:val="24"/>
          <w:lang w:val="pt-PT"/>
        </w:rPr>
        <w:t>Código Penal comentado.</w:t>
      </w:r>
      <w:r w:rsidRPr="000512AF">
        <w:rPr>
          <w:sz w:val="24"/>
          <w:szCs w:val="24"/>
          <w:lang w:val="pt-PT"/>
        </w:rPr>
        <w:t xml:space="preserve"> 22. ed. Rio de Janeiro: Impetus, 2022.</w:t>
      </w:r>
    </w:p>
    <w:p w14:paraId="1386E5BB" w14:textId="77777777" w:rsidR="00105D9B" w:rsidRDefault="00105D9B" w:rsidP="00105D9B">
      <w:pPr>
        <w:spacing w:after="80"/>
        <w:rPr>
          <w:sz w:val="24"/>
          <w:szCs w:val="24"/>
          <w:lang w:val="pt-PT"/>
        </w:rPr>
      </w:pPr>
    </w:p>
    <w:p w14:paraId="1E4F20D9" w14:textId="3927F62C" w:rsidR="00105D9B" w:rsidRDefault="00105D9B" w:rsidP="00105D9B">
      <w:pPr>
        <w:spacing w:after="80"/>
        <w:rPr>
          <w:sz w:val="24"/>
          <w:szCs w:val="24"/>
          <w:lang w:val="pt-PT"/>
        </w:rPr>
      </w:pPr>
      <w:r w:rsidRPr="000512AF">
        <w:rPr>
          <w:sz w:val="24"/>
          <w:szCs w:val="24"/>
          <w:lang w:val="pt-PT"/>
        </w:rPr>
        <w:t xml:space="preserve">KARAM, Maria Lúcia. </w:t>
      </w:r>
      <w:r w:rsidRPr="00105D9B">
        <w:rPr>
          <w:b/>
          <w:bCs/>
          <w:sz w:val="24"/>
          <w:szCs w:val="24"/>
          <w:lang w:val="pt-PT"/>
        </w:rPr>
        <w:t>A lei 11.343/2006 e os repetidos danos do proibicionismo.</w:t>
      </w:r>
      <w:r w:rsidRPr="000512AF">
        <w:rPr>
          <w:sz w:val="24"/>
          <w:szCs w:val="24"/>
          <w:lang w:val="pt-PT"/>
        </w:rPr>
        <w:t xml:space="preserve"> Boletim. IBCCRIM. São Paulo, ano 14, nº 170, jan., 2007</w:t>
      </w:r>
    </w:p>
    <w:p w14:paraId="4D1BDB83" w14:textId="77777777" w:rsidR="00105D9B" w:rsidRDefault="00105D9B" w:rsidP="00105D9B">
      <w:pPr>
        <w:spacing w:after="80"/>
        <w:rPr>
          <w:sz w:val="24"/>
          <w:szCs w:val="24"/>
          <w:lang w:val="pt-PT"/>
        </w:rPr>
      </w:pPr>
    </w:p>
    <w:p w14:paraId="5CABED5C" w14:textId="40C10F26" w:rsidR="00105D9B" w:rsidRDefault="00105D9B" w:rsidP="00105D9B">
      <w:pPr>
        <w:spacing w:after="80"/>
        <w:rPr>
          <w:sz w:val="24"/>
          <w:szCs w:val="24"/>
          <w:lang w:val="pt-PT"/>
        </w:rPr>
      </w:pPr>
      <w:r w:rsidRPr="000512AF">
        <w:rPr>
          <w:sz w:val="24"/>
          <w:szCs w:val="24"/>
          <w:lang w:val="pt-PT"/>
        </w:rPr>
        <w:t>LIMA, Renato Brasileiro de. Manual de processo penal. 11. ed. Salvador :JusPodivm, 2023.</w:t>
      </w:r>
    </w:p>
    <w:p w14:paraId="496F077C" w14:textId="77777777" w:rsidR="00105D9B" w:rsidRDefault="00105D9B" w:rsidP="00105D9B">
      <w:pPr>
        <w:spacing w:after="80"/>
        <w:rPr>
          <w:sz w:val="24"/>
          <w:szCs w:val="24"/>
          <w:lang w:val="pt-PT"/>
        </w:rPr>
      </w:pPr>
    </w:p>
    <w:p w14:paraId="4ABDDC08" w14:textId="437F025A" w:rsidR="00105D9B" w:rsidRDefault="00105D9B" w:rsidP="00105D9B">
      <w:pPr>
        <w:spacing w:after="80"/>
        <w:rPr>
          <w:sz w:val="24"/>
          <w:szCs w:val="24"/>
          <w:lang w:val="pt-PT"/>
        </w:rPr>
      </w:pPr>
      <w:r w:rsidRPr="000512AF">
        <w:rPr>
          <w:sz w:val="24"/>
          <w:szCs w:val="24"/>
          <w:lang w:val="pt-PT"/>
        </w:rPr>
        <w:t xml:space="preserve">LOPESJR., Aury. </w:t>
      </w:r>
      <w:r w:rsidRPr="00105D9B">
        <w:rPr>
          <w:b/>
          <w:bCs/>
          <w:sz w:val="24"/>
          <w:szCs w:val="24"/>
          <w:lang w:val="pt-PT"/>
        </w:rPr>
        <w:t>Direito processual penal.</w:t>
      </w:r>
      <w:r w:rsidRPr="000512AF">
        <w:rPr>
          <w:sz w:val="24"/>
          <w:szCs w:val="24"/>
          <w:lang w:val="pt-PT"/>
        </w:rPr>
        <w:t xml:space="preserve"> 20. ed. SãoPaulo: Saraiva, 2023.</w:t>
      </w:r>
    </w:p>
    <w:p w14:paraId="7A8A1C85" w14:textId="77777777" w:rsidR="00105D9B" w:rsidRPr="000512AF" w:rsidRDefault="00105D9B" w:rsidP="00105D9B">
      <w:pPr>
        <w:spacing w:after="80"/>
        <w:rPr>
          <w:sz w:val="24"/>
          <w:szCs w:val="24"/>
          <w:lang w:val="pt-PT"/>
        </w:rPr>
      </w:pPr>
    </w:p>
    <w:p w14:paraId="70AEF12D" w14:textId="77777777" w:rsidR="00105D9B" w:rsidRPr="000512AF" w:rsidRDefault="00105D9B" w:rsidP="00105D9B">
      <w:pPr>
        <w:spacing w:after="80"/>
        <w:rPr>
          <w:sz w:val="24"/>
          <w:szCs w:val="24"/>
          <w:lang w:val="pt-PT"/>
        </w:rPr>
      </w:pPr>
      <w:r w:rsidRPr="00105D9B">
        <w:rPr>
          <w:b/>
          <w:bCs/>
          <w:sz w:val="24"/>
          <w:szCs w:val="24"/>
          <w:lang w:val="pt-PT"/>
        </w:rPr>
        <w:t>OLIVEIRA, Eugênio Pacelli de.</w:t>
      </w:r>
      <w:r w:rsidRPr="000512AF">
        <w:rPr>
          <w:sz w:val="24"/>
          <w:szCs w:val="24"/>
          <w:lang w:val="pt-PT"/>
        </w:rPr>
        <w:t>Curso de processo penal. 29. ed. São Paulo: Atlas, 2025.</w:t>
      </w:r>
    </w:p>
    <w:p w14:paraId="02673620" w14:textId="1F7514C0" w:rsidR="00105D9B" w:rsidRDefault="00105D9B" w:rsidP="00105D9B">
      <w:pPr>
        <w:spacing w:after="80"/>
        <w:rPr>
          <w:sz w:val="24"/>
          <w:szCs w:val="24"/>
          <w:lang w:val="pt-PT"/>
        </w:rPr>
      </w:pPr>
      <w:r w:rsidRPr="000512AF">
        <w:rPr>
          <w:sz w:val="24"/>
          <w:szCs w:val="24"/>
          <w:lang w:val="pt-PT"/>
        </w:rPr>
        <w:t>Paulo-Editora Saraiva, 2014.</w:t>
      </w:r>
    </w:p>
    <w:p w14:paraId="69A9DC18" w14:textId="77777777" w:rsidR="00105D9B" w:rsidRPr="000512AF" w:rsidRDefault="00105D9B" w:rsidP="00105D9B">
      <w:pPr>
        <w:spacing w:after="80"/>
        <w:rPr>
          <w:sz w:val="24"/>
          <w:szCs w:val="24"/>
          <w:lang w:val="pt-PT"/>
        </w:rPr>
      </w:pPr>
    </w:p>
    <w:p w14:paraId="4C9416F5" w14:textId="346D7676" w:rsidR="00105D9B" w:rsidRDefault="00105D9B" w:rsidP="00105D9B">
      <w:pPr>
        <w:spacing w:after="80"/>
        <w:rPr>
          <w:sz w:val="24"/>
          <w:szCs w:val="24"/>
          <w:lang w:val="pt-PT"/>
        </w:rPr>
      </w:pPr>
      <w:r w:rsidRPr="000512AF">
        <w:rPr>
          <w:sz w:val="24"/>
          <w:szCs w:val="24"/>
          <w:lang w:val="pt-PT"/>
        </w:rPr>
        <w:t xml:space="preserve">SANTOS, Felipe Elber dos; SILVA, Rafael Antônio de Paula. Denúncias infundadas no contexto da Lei Maria da Penha: limites entre proteção da vítima e garantias processuais do acusado. </w:t>
      </w:r>
      <w:r w:rsidRPr="00105D9B">
        <w:rPr>
          <w:b/>
          <w:bCs/>
          <w:sz w:val="24"/>
          <w:szCs w:val="24"/>
          <w:lang w:val="pt-PT"/>
        </w:rPr>
        <w:t>Revista ft,</w:t>
      </w:r>
      <w:r w:rsidRPr="000512AF">
        <w:rPr>
          <w:sz w:val="24"/>
          <w:szCs w:val="24"/>
          <w:lang w:val="pt-PT"/>
        </w:rPr>
        <w:t xml:space="preserve"> [S. l.], v. 30, n. 159, p. 01–22, 2026.</w:t>
      </w:r>
    </w:p>
    <w:p w14:paraId="66665C5D" w14:textId="77777777" w:rsidR="00105D9B" w:rsidRDefault="00105D9B" w:rsidP="00105D9B">
      <w:pPr>
        <w:spacing w:after="80"/>
        <w:rPr>
          <w:sz w:val="24"/>
          <w:szCs w:val="24"/>
          <w:lang w:val="pt-PT"/>
        </w:rPr>
      </w:pPr>
    </w:p>
    <w:p w14:paraId="68418AB9" w14:textId="77777777" w:rsidR="00105D9B" w:rsidRPr="000512AF" w:rsidRDefault="00105D9B" w:rsidP="00105D9B">
      <w:pPr>
        <w:spacing w:after="80"/>
        <w:rPr>
          <w:sz w:val="24"/>
          <w:szCs w:val="24"/>
          <w:lang w:val="pt-PT"/>
        </w:rPr>
      </w:pPr>
      <w:r w:rsidRPr="000512AF">
        <w:rPr>
          <w:sz w:val="24"/>
          <w:szCs w:val="24"/>
          <w:lang w:val="pt-PT"/>
        </w:rPr>
        <w:t>SILVA, José Afonso da.Curso de direito constitucional positivo. 45. ed. São Paulo: Malheiros Editores, 2023.</w:t>
      </w:r>
    </w:p>
    <w:sectPr w:rsidR="00105D9B" w:rsidRPr="000512AF" w:rsidSect="00D90404">
      <w:headerReference w:type="default" r:id="rId7"/>
      <w:footerReference w:type="default" r:id="rId8"/>
      <w:pgSz w:w="11906" w:h="16840"/>
      <w:pgMar w:top="2552" w:right="1134" w:bottom="1134" w:left="1701" w:header="709" w:footer="13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43DC0" w14:textId="77777777" w:rsidR="001A43A6" w:rsidRDefault="001A43A6">
      <w:r>
        <w:separator/>
      </w:r>
    </w:p>
  </w:endnote>
  <w:endnote w:type="continuationSeparator" w:id="0">
    <w:p w14:paraId="6F19DD5F" w14:textId="77777777" w:rsidR="001A43A6" w:rsidRDefault="001A4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E3D75BF-4E80-4E4A-B999-27135727788D}"/>
  </w:font>
  <w:font w:name="Cambria">
    <w:panose1 w:val="02040503050406030204"/>
    <w:charset w:val="00"/>
    <w:family w:val="roman"/>
    <w:pitch w:val="variable"/>
    <w:sig w:usb0="E00006FF" w:usb1="420024FF" w:usb2="02000000" w:usb3="00000000" w:csb0="0000019F" w:csb1="00000000"/>
    <w:embedRegular r:id="rId2" w:fontKey="{CEDCC023-4DB8-43E8-AD26-0C917C6750EE}"/>
    <w:embedBold r:id="rId3" w:fontKey="{E4CE9BA8-F190-429A-8FDC-BD0B111DBF2C}"/>
  </w:font>
  <w:font w:name="Calibri">
    <w:panose1 w:val="020F0502020204030204"/>
    <w:charset w:val="00"/>
    <w:family w:val="swiss"/>
    <w:pitch w:val="variable"/>
    <w:sig w:usb0="E4002EFF" w:usb1="C200247B" w:usb2="00000009" w:usb3="00000000" w:csb0="000001FF" w:csb1="00000000"/>
    <w:embedRegular r:id="rId4" w:fontKey="{CF6DC675-40DD-4207-8ED5-826A73F28F9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9015" w14:textId="77777777" w:rsidR="00D90404" w:rsidRDefault="00D90404">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63360" behindDoc="1" locked="0" layoutInCell="1" hidden="0" allowOverlap="1" wp14:anchorId="4FE9796E" wp14:editId="4AE45703">
          <wp:simplePos x="0" y="0"/>
          <wp:positionH relativeFrom="column">
            <wp:posOffset>-161924</wp:posOffset>
          </wp:positionH>
          <wp:positionV relativeFrom="paragraph">
            <wp:posOffset>0</wp:posOffset>
          </wp:positionV>
          <wp:extent cx="5643037" cy="1037590"/>
          <wp:effectExtent l="0" t="0" r="0" b="0"/>
          <wp:wrapNone/>
          <wp:docPr id="11152162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57B67023" w14:textId="77777777" w:rsidR="00D90404" w:rsidRDefault="00D90404">
    <w:pPr>
      <w:pBdr>
        <w:top w:val="nil"/>
        <w:left w:val="nil"/>
        <w:bottom w:val="nil"/>
        <w:right w:val="nil"/>
        <w:between w:val="nil"/>
      </w:pBdr>
      <w:tabs>
        <w:tab w:val="center" w:pos="4252"/>
        <w:tab w:val="right" w:pos="8504"/>
      </w:tabs>
      <w:ind w:hanging="1418"/>
      <w:rPr>
        <w:color w:val="000000"/>
      </w:rPr>
    </w:pPr>
  </w:p>
  <w:p w14:paraId="0CF8C7F5" w14:textId="77777777" w:rsidR="00D90404" w:rsidRDefault="00D90404">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BEE70" w14:textId="77777777" w:rsidR="001A43A6" w:rsidRDefault="001A43A6">
      <w:r>
        <w:separator/>
      </w:r>
    </w:p>
  </w:footnote>
  <w:footnote w:type="continuationSeparator" w:id="0">
    <w:p w14:paraId="2131984E" w14:textId="77777777" w:rsidR="001A43A6" w:rsidRDefault="001A43A6">
      <w:r>
        <w:continuationSeparator/>
      </w:r>
    </w:p>
  </w:footnote>
  <w:footnote w:id="1">
    <w:p w14:paraId="31FE1894" w14:textId="7209D801" w:rsidR="00695657" w:rsidRDefault="00B16899" w:rsidP="00B16899">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¹ </w:t>
      </w:r>
      <w:r w:rsidR="00695657">
        <w:rPr>
          <w:color w:val="000000"/>
          <w:sz w:val="20"/>
          <w:szCs w:val="20"/>
        </w:rPr>
        <w:t xml:space="preserve">Graduanda em Direito – Centro Universitário </w:t>
      </w:r>
      <w:proofErr w:type="spellStart"/>
      <w:r w:rsidR="00695657">
        <w:rPr>
          <w:color w:val="000000"/>
          <w:sz w:val="20"/>
          <w:szCs w:val="20"/>
        </w:rPr>
        <w:t>Chrisfapi</w:t>
      </w:r>
      <w:proofErr w:type="spellEnd"/>
      <w:r w:rsidR="00881264">
        <w:rPr>
          <w:color w:val="000000"/>
          <w:sz w:val="20"/>
          <w:szCs w:val="20"/>
        </w:rPr>
        <w:t>.</w:t>
      </w:r>
    </w:p>
    <w:p w14:paraId="30105562" w14:textId="2847AC42" w:rsidR="00695657" w:rsidRDefault="00695657" w:rsidP="00B16899">
      <w:pPr>
        <w:pBdr>
          <w:top w:val="nil"/>
          <w:left w:val="nil"/>
          <w:bottom w:val="nil"/>
          <w:right w:val="nil"/>
          <w:between w:val="nil"/>
        </w:pBdr>
        <w:rPr>
          <w:color w:val="000000"/>
          <w:sz w:val="20"/>
          <w:szCs w:val="20"/>
        </w:rPr>
      </w:pPr>
      <w:r>
        <w:rPr>
          <w:color w:val="000000"/>
          <w:sz w:val="20"/>
          <w:szCs w:val="20"/>
        </w:rPr>
        <w:t xml:space="preserve">2 </w:t>
      </w:r>
      <w:r w:rsidRPr="001A10AD">
        <w:rPr>
          <w:color w:val="000000"/>
          <w:sz w:val="20"/>
          <w:szCs w:val="20"/>
          <w:vertAlign w:val="superscript"/>
        </w:rPr>
        <w:t>2</w:t>
      </w:r>
      <w:r>
        <w:rPr>
          <w:color w:val="000000"/>
          <w:sz w:val="20"/>
          <w:szCs w:val="20"/>
          <w:vertAlign w:val="superscript"/>
        </w:rPr>
        <w:t xml:space="preserve"> </w:t>
      </w:r>
      <w:r>
        <w:rPr>
          <w:color w:val="000000"/>
          <w:sz w:val="20"/>
          <w:szCs w:val="20"/>
        </w:rPr>
        <w:t xml:space="preserve">Graduanda em Direito – Centro Universitário </w:t>
      </w:r>
      <w:proofErr w:type="spellStart"/>
      <w:r>
        <w:rPr>
          <w:color w:val="000000"/>
          <w:sz w:val="20"/>
          <w:szCs w:val="20"/>
        </w:rPr>
        <w:t>Chrisfapi</w:t>
      </w:r>
      <w:proofErr w:type="spellEnd"/>
      <w:r w:rsidR="00881264">
        <w:rPr>
          <w:color w:val="000000"/>
          <w:sz w:val="20"/>
          <w:szCs w:val="20"/>
        </w:rPr>
        <w:t>.</w:t>
      </w:r>
    </w:p>
    <w:p w14:paraId="1114075C" w14:textId="16F8A061" w:rsidR="00695657" w:rsidRDefault="00695657" w:rsidP="00B16899">
      <w:pPr>
        <w:pBdr>
          <w:top w:val="nil"/>
          <w:left w:val="nil"/>
          <w:bottom w:val="nil"/>
          <w:right w:val="nil"/>
          <w:between w:val="nil"/>
        </w:pBdr>
        <w:rPr>
          <w:color w:val="000000"/>
          <w:sz w:val="20"/>
          <w:szCs w:val="20"/>
        </w:rPr>
      </w:pPr>
      <w:r>
        <w:t xml:space="preserve">3 </w:t>
      </w:r>
      <w:r w:rsidRPr="001A10AD">
        <w:rPr>
          <w:vertAlign w:val="superscript"/>
        </w:rPr>
        <w:t>3</w:t>
      </w:r>
      <w:r w:rsidR="008D2895">
        <w:rPr>
          <w:vertAlign w:val="superscript"/>
        </w:rPr>
        <w:t xml:space="preserve"> </w:t>
      </w:r>
      <w:r>
        <w:rPr>
          <w:color w:val="000000"/>
          <w:sz w:val="20"/>
          <w:szCs w:val="20"/>
        </w:rPr>
        <w:t>Graduand</w:t>
      </w:r>
      <w:r w:rsidR="00D56E94">
        <w:rPr>
          <w:color w:val="000000"/>
          <w:sz w:val="20"/>
          <w:szCs w:val="20"/>
        </w:rPr>
        <w:t>a</w:t>
      </w:r>
      <w:r>
        <w:rPr>
          <w:color w:val="000000"/>
          <w:sz w:val="20"/>
          <w:szCs w:val="20"/>
        </w:rPr>
        <w:t xml:space="preserve"> em Direito </w:t>
      </w:r>
      <w:r w:rsidR="000C0B49">
        <w:t>–</w:t>
      </w:r>
      <w:r>
        <w:rPr>
          <w:color w:val="000000"/>
          <w:sz w:val="20"/>
          <w:szCs w:val="20"/>
        </w:rPr>
        <w:t xml:space="preserve"> Centro Universitário </w:t>
      </w:r>
      <w:proofErr w:type="spellStart"/>
      <w:r>
        <w:rPr>
          <w:color w:val="000000"/>
          <w:sz w:val="20"/>
          <w:szCs w:val="20"/>
        </w:rPr>
        <w:t>Chrisfapi</w:t>
      </w:r>
      <w:proofErr w:type="spellEnd"/>
      <w:r w:rsidR="00881264">
        <w:rPr>
          <w:color w:val="000000"/>
          <w:sz w:val="20"/>
          <w:szCs w:val="20"/>
        </w:rPr>
        <w:t>.</w:t>
      </w:r>
    </w:p>
    <w:p w14:paraId="2B520F49" w14:textId="2877E23D" w:rsidR="00695657" w:rsidRDefault="00695657" w:rsidP="00B16899">
      <w:pPr>
        <w:pBdr>
          <w:top w:val="nil"/>
          <w:left w:val="nil"/>
          <w:bottom w:val="nil"/>
          <w:right w:val="nil"/>
          <w:between w:val="nil"/>
        </w:pBdr>
        <w:rPr>
          <w:color w:val="000000"/>
          <w:sz w:val="20"/>
          <w:szCs w:val="20"/>
        </w:rPr>
      </w:pPr>
      <w:bookmarkStart w:id="0" w:name="_Hlk239762956"/>
      <w:r>
        <w:t xml:space="preserve">4 </w:t>
      </w:r>
      <w:bookmarkEnd w:id="0"/>
      <w:r>
        <w:rPr>
          <w:vertAlign w:val="superscript"/>
        </w:rPr>
        <w:t>4</w:t>
      </w:r>
      <w:r w:rsidR="008D2895">
        <w:rPr>
          <w:vertAlign w:val="superscript"/>
        </w:rPr>
        <w:t xml:space="preserve"> </w:t>
      </w:r>
      <w:r w:rsidR="008D2895" w:rsidRPr="00157993">
        <w:rPr>
          <w:sz w:val="20"/>
          <w:szCs w:val="20"/>
        </w:rPr>
        <w:t>Especialista em Direito</w:t>
      </w:r>
      <w:r w:rsidR="000C0B49" w:rsidRPr="00157993">
        <w:rPr>
          <w:sz w:val="20"/>
          <w:szCs w:val="20"/>
        </w:rPr>
        <w:t xml:space="preserve"> </w:t>
      </w:r>
      <w:r w:rsidR="00D56E94" w:rsidRPr="00157993">
        <w:rPr>
          <w:sz w:val="20"/>
          <w:szCs w:val="20"/>
        </w:rPr>
        <w:t>Penal</w:t>
      </w:r>
      <w:r w:rsidR="008D2895" w:rsidRPr="00157993">
        <w:rPr>
          <w:sz w:val="20"/>
          <w:szCs w:val="20"/>
        </w:rPr>
        <w:t>, Docente d</w:t>
      </w:r>
      <w:r w:rsidR="000C0B49" w:rsidRPr="00157993">
        <w:rPr>
          <w:sz w:val="20"/>
          <w:szCs w:val="20"/>
        </w:rPr>
        <w:t xml:space="preserve">o Centro Universitário </w:t>
      </w:r>
      <w:proofErr w:type="spellStart"/>
      <w:r w:rsidR="000C0B49" w:rsidRPr="00157993">
        <w:rPr>
          <w:sz w:val="20"/>
          <w:szCs w:val="20"/>
        </w:rPr>
        <w:t>Chrisfapi</w:t>
      </w:r>
      <w:proofErr w:type="spellEnd"/>
      <w:r w:rsidR="00881264">
        <w:t>.</w:t>
      </w:r>
    </w:p>
    <w:p w14:paraId="3D4E0F7B" w14:textId="3EA2FCDF" w:rsidR="00695657" w:rsidRDefault="00695657" w:rsidP="00B16899">
      <w:pPr>
        <w:pBdr>
          <w:top w:val="nil"/>
          <w:left w:val="nil"/>
          <w:bottom w:val="nil"/>
          <w:right w:val="nil"/>
          <w:between w:val="nil"/>
        </w:pBdr>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AD916" w14:textId="77777777" w:rsidR="00D90404" w:rsidRDefault="00D90404" w:rsidP="00976489">
    <w:pPr>
      <w:pBdr>
        <w:top w:val="nil"/>
        <w:left w:val="nil"/>
        <w:bottom w:val="nil"/>
        <w:right w:val="nil"/>
        <w:between w:val="nil"/>
      </w:pBdr>
      <w:tabs>
        <w:tab w:val="center" w:pos="4252"/>
        <w:tab w:val="right" w:pos="8504"/>
        <w:tab w:val="left" w:pos="2595"/>
        <w:tab w:val="left" w:pos="7670"/>
      </w:tabs>
      <w:rPr>
        <w:color w:val="000000"/>
      </w:rPr>
    </w:pPr>
    <w:r>
      <w:rPr>
        <w:noProof/>
      </w:rPr>
      <w:drawing>
        <wp:anchor distT="0" distB="0" distL="0" distR="0" simplePos="0" relativeHeight="251661312" behindDoc="1" locked="0" layoutInCell="1" hidden="0" allowOverlap="1" wp14:anchorId="69C40C1A" wp14:editId="211124F4">
          <wp:simplePos x="0" y="0"/>
          <wp:positionH relativeFrom="page">
            <wp:align>left</wp:align>
          </wp:positionH>
          <wp:positionV relativeFrom="paragraph">
            <wp:posOffset>-450215</wp:posOffset>
          </wp:positionV>
          <wp:extent cx="7573010" cy="1066800"/>
          <wp:effectExtent l="0" t="0" r="8890" b="0"/>
          <wp:wrapNone/>
          <wp:docPr id="88196005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010" cy="1066800"/>
                  </a:xfrm>
                  <a:prstGeom prst="rect">
                    <a:avLst/>
                  </a:prstGeom>
                  <a:ln/>
                </pic:spPr>
              </pic:pic>
            </a:graphicData>
          </a:graphic>
          <wp14:sizeRelH relativeFrom="margin">
            <wp14:pctWidth>0</wp14:pctWidth>
          </wp14:sizeRelH>
          <wp14:sizeRelV relativeFrom="margin">
            <wp14:pctHeight>0</wp14:pctHeight>
          </wp14:sizeRelV>
        </wp:anchor>
      </w:drawing>
    </w:r>
    <w:r>
      <w:rPr>
        <w:color w:val="000000"/>
      </w:rPr>
      <w:tab/>
    </w:r>
    <w:r>
      <w:rPr>
        <w:color w:val="00000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3BB"/>
    <w:rsid w:val="00027F9E"/>
    <w:rsid w:val="000512AF"/>
    <w:rsid w:val="000C0B49"/>
    <w:rsid w:val="0010146C"/>
    <w:rsid w:val="00105D9B"/>
    <w:rsid w:val="00142AF5"/>
    <w:rsid w:val="00157993"/>
    <w:rsid w:val="001A43A6"/>
    <w:rsid w:val="001C5211"/>
    <w:rsid w:val="00201129"/>
    <w:rsid w:val="0024734B"/>
    <w:rsid w:val="00247AF0"/>
    <w:rsid w:val="00287AC8"/>
    <w:rsid w:val="002B49E0"/>
    <w:rsid w:val="002F3F38"/>
    <w:rsid w:val="00315E69"/>
    <w:rsid w:val="00321AE9"/>
    <w:rsid w:val="00364F62"/>
    <w:rsid w:val="004478DD"/>
    <w:rsid w:val="004D795F"/>
    <w:rsid w:val="004E40BD"/>
    <w:rsid w:val="005366C6"/>
    <w:rsid w:val="00573D0B"/>
    <w:rsid w:val="005A269B"/>
    <w:rsid w:val="005A4E68"/>
    <w:rsid w:val="005B0941"/>
    <w:rsid w:val="005E578F"/>
    <w:rsid w:val="005F4CBE"/>
    <w:rsid w:val="00607519"/>
    <w:rsid w:val="006171BA"/>
    <w:rsid w:val="00692087"/>
    <w:rsid w:val="00695657"/>
    <w:rsid w:val="00695812"/>
    <w:rsid w:val="007C0408"/>
    <w:rsid w:val="008200EB"/>
    <w:rsid w:val="00881264"/>
    <w:rsid w:val="008D0E3E"/>
    <w:rsid w:val="008D2895"/>
    <w:rsid w:val="008E77F8"/>
    <w:rsid w:val="00956E6B"/>
    <w:rsid w:val="00967586"/>
    <w:rsid w:val="00976489"/>
    <w:rsid w:val="009D7A75"/>
    <w:rsid w:val="00A00ED3"/>
    <w:rsid w:val="00A455D0"/>
    <w:rsid w:val="00A774DD"/>
    <w:rsid w:val="00AA2735"/>
    <w:rsid w:val="00AD2086"/>
    <w:rsid w:val="00AF4BCD"/>
    <w:rsid w:val="00B03641"/>
    <w:rsid w:val="00B16899"/>
    <w:rsid w:val="00B3293C"/>
    <w:rsid w:val="00B848FE"/>
    <w:rsid w:val="00C00FA8"/>
    <w:rsid w:val="00D240A9"/>
    <w:rsid w:val="00D56E94"/>
    <w:rsid w:val="00D90404"/>
    <w:rsid w:val="00D913BB"/>
    <w:rsid w:val="00DC6C14"/>
    <w:rsid w:val="00E45C5A"/>
    <w:rsid w:val="00E76787"/>
    <w:rsid w:val="00E95F27"/>
    <w:rsid w:val="00ED71B7"/>
    <w:rsid w:val="00EE72A9"/>
    <w:rsid w:val="00F6458A"/>
    <w:rsid w:val="00F74B4A"/>
    <w:rsid w:val="00F81864"/>
    <w:rsid w:val="00FE66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31FCE1"/>
  <w15:docId w15:val="{59ECC1A4-2F3B-4F96-B98D-5DADB25C7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abealho">
    <w:name w:val="header"/>
    <w:basedOn w:val="Normal"/>
    <w:link w:val="CabealhoChar"/>
    <w:uiPriority w:val="99"/>
    <w:unhideWhenUsed/>
    <w:rsid w:val="00A455D0"/>
    <w:pPr>
      <w:tabs>
        <w:tab w:val="center" w:pos="4252"/>
        <w:tab w:val="right" w:pos="8504"/>
      </w:tabs>
    </w:pPr>
  </w:style>
  <w:style w:type="character" w:customStyle="1" w:styleId="CabealhoChar">
    <w:name w:val="Cabeçalho Char"/>
    <w:basedOn w:val="Fontepargpadro"/>
    <w:link w:val="Cabealho"/>
    <w:uiPriority w:val="99"/>
    <w:rsid w:val="00A455D0"/>
  </w:style>
  <w:style w:type="paragraph" w:styleId="Rodap">
    <w:name w:val="footer"/>
    <w:basedOn w:val="Normal"/>
    <w:link w:val="RodapChar"/>
    <w:uiPriority w:val="99"/>
    <w:unhideWhenUsed/>
    <w:rsid w:val="00A455D0"/>
    <w:pPr>
      <w:tabs>
        <w:tab w:val="center" w:pos="4252"/>
        <w:tab w:val="right" w:pos="8504"/>
      </w:tabs>
    </w:pPr>
  </w:style>
  <w:style w:type="character" w:customStyle="1" w:styleId="RodapChar">
    <w:name w:val="Rodapé Char"/>
    <w:basedOn w:val="Fontepargpadro"/>
    <w:link w:val="Rodap"/>
    <w:uiPriority w:val="99"/>
    <w:rsid w:val="00A455D0"/>
  </w:style>
  <w:style w:type="character" w:styleId="Hyperlink">
    <w:name w:val="Hyperlink"/>
    <w:basedOn w:val="Fontepargpadro"/>
    <w:uiPriority w:val="99"/>
    <w:unhideWhenUsed/>
    <w:rsid w:val="009D7A75"/>
    <w:rPr>
      <w:color w:val="0000FF" w:themeColor="hyperlink"/>
      <w:u w:val="single"/>
    </w:rPr>
  </w:style>
  <w:style w:type="character" w:styleId="MenoPendente">
    <w:name w:val="Unresolved Mention"/>
    <w:basedOn w:val="Fontepargpadro"/>
    <w:uiPriority w:val="99"/>
    <w:semiHidden/>
    <w:unhideWhenUsed/>
    <w:rsid w:val="009D7A75"/>
    <w:rPr>
      <w:color w:val="605E5C"/>
      <w:shd w:val="clear" w:color="auto" w:fill="E1DFDD"/>
    </w:rPr>
  </w:style>
  <w:style w:type="paragraph" w:styleId="NormalWeb">
    <w:name w:val="Normal (Web)"/>
    <w:basedOn w:val="Normal"/>
    <w:uiPriority w:val="99"/>
    <w:semiHidden/>
    <w:unhideWhenUsed/>
    <w:rsid w:val="004478DD"/>
    <w:rPr>
      <w:sz w:val="24"/>
      <w:szCs w:val="24"/>
    </w:rPr>
  </w:style>
  <w:style w:type="paragraph" w:styleId="SemEspaamento">
    <w:name w:val="No Spacing"/>
    <w:uiPriority w:val="1"/>
    <w:qFormat/>
    <w:rsid w:val="005366C6"/>
    <w:rPr>
      <w:rFonts w:asciiTheme="minorHAnsi" w:eastAsiaTheme="minorHAnsi" w:hAnsiTheme="minorHAnsi" w:cstheme="minorBidi"/>
      <w:lang w:eastAsia="en-US"/>
    </w:rPr>
  </w:style>
  <w:style w:type="character" w:styleId="Forte">
    <w:name w:val="Strong"/>
    <w:basedOn w:val="Fontepargpadro"/>
    <w:uiPriority w:val="22"/>
    <w:qFormat/>
    <w:rsid w:val="00F81864"/>
    <w:rPr>
      <w:b/>
      <w:bCs/>
    </w:rPr>
  </w:style>
  <w:style w:type="paragraph" w:styleId="Textodenotaderodap">
    <w:name w:val="footnote text"/>
    <w:basedOn w:val="Normal"/>
    <w:link w:val="TextodenotaderodapChar"/>
    <w:uiPriority w:val="99"/>
    <w:semiHidden/>
    <w:unhideWhenUsed/>
    <w:rsid w:val="00F81864"/>
    <w:rPr>
      <w:sz w:val="20"/>
      <w:szCs w:val="20"/>
    </w:rPr>
  </w:style>
  <w:style w:type="character" w:customStyle="1" w:styleId="TextodenotaderodapChar">
    <w:name w:val="Texto de nota de rodapé Char"/>
    <w:basedOn w:val="Fontepargpadro"/>
    <w:link w:val="Textodenotaderodap"/>
    <w:uiPriority w:val="99"/>
    <w:semiHidden/>
    <w:rsid w:val="00F81864"/>
    <w:rPr>
      <w:sz w:val="20"/>
      <w:szCs w:val="20"/>
    </w:rPr>
  </w:style>
  <w:style w:type="character" w:styleId="Refdenotaderodap">
    <w:name w:val="footnote reference"/>
    <w:basedOn w:val="Fontepargpadro"/>
    <w:uiPriority w:val="99"/>
    <w:semiHidden/>
    <w:unhideWhenUsed/>
    <w:rsid w:val="00F81864"/>
    <w:rPr>
      <w:vertAlign w:val="superscript"/>
    </w:rPr>
  </w:style>
  <w:style w:type="paragraph" w:customStyle="1" w:styleId="isselectedend">
    <w:name w:val="isselectedend"/>
    <w:basedOn w:val="Normal"/>
    <w:rsid w:val="00967586"/>
    <w:pPr>
      <w:spacing w:before="100" w:beforeAutospacing="1" w:after="100" w:afterAutospacing="1"/>
    </w:pPr>
    <w:rPr>
      <w:sz w:val="24"/>
      <w:szCs w:val="24"/>
    </w:rPr>
  </w:style>
  <w:style w:type="paragraph" w:styleId="Corpodetexto">
    <w:name w:val="Body Text"/>
    <w:basedOn w:val="Normal"/>
    <w:link w:val="CorpodetextoChar"/>
    <w:uiPriority w:val="1"/>
    <w:qFormat/>
    <w:rsid w:val="000512AF"/>
    <w:pPr>
      <w:widowControl w:val="0"/>
      <w:autoSpaceDE w:val="0"/>
      <w:autoSpaceDN w:val="0"/>
    </w:pPr>
    <w:rPr>
      <w:sz w:val="24"/>
      <w:szCs w:val="24"/>
      <w:lang w:val="pt-PT" w:eastAsia="en-US"/>
    </w:rPr>
  </w:style>
  <w:style w:type="character" w:customStyle="1" w:styleId="CorpodetextoChar">
    <w:name w:val="Corpo de texto Char"/>
    <w:basedOn w:val="Fontepargpadro"/>
    <w:link w:val="Corpodetexto"/>
    <w:uiPriority w:val="1"/>
    <w:rsid w:val="000512AF"/>
    <w:rPr>
      <w:sz w:val="24"/>
      <w:szCs w:val="24"/>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256588">
      <w:bodyDiv w:val="1"/>
      <w:marLeft w:val="0"/>
      <w:marRight w:val="0"/>
      <w:marTop w:val="0"/>
      <w:marBottom w:val="0"/>
      <w:divBdr>
        <w:top w:val="none" w:sz="0" w:space="0" w:color="auto"/>
        <w:left w:val="none" w:sz="0" w:space="0" w:color="auto"/>
        <w:bottom w:val="none" w:sz="0" w:space="0" w:color="auto"/>
        <w:right w:val="none" w:sz="0" w:space="0" w:color="auto"/>
      </w:divBdr>
    </w:div>
    <w:div w:id="1026637142">
      <w:bodyDiv w:val="1"/>
      <w:marLeft w:val="0"/>
      <w:marRight w:val="0"/>
      <w:marTop w:val="0"/>
      <w:marBottom w:val="0"/>
      <w:divBdr>
        <w:top w:val="none" w:sz="0" w:space="0" w:color="auto"/>
        <w:left w:val="none" w:sz="0" w:space="0" w:color="auto"/>
        <w:bottom w:val="none" w:sz="0" w:space="0" w:color="auto"/>
        <w:right w:val="none" w:sz="0" w:space="0" w:color="auto"/>
      </w:divBdr>
    </w:div>
    <w:div w:id="1495687255">
      <w:bodyDiv w:val="1"/>
      <w:marLeft w:val="0"/>
      <w:marRight w:val="0"/>
      <w:marTop w:val="0"/>
      <w:marBottom w:val="0"/>
      <w:divBdr>
        <w:top w:val="none" w:sz="0" w:space="0" w:color="auto"/>
        <w:left w:val="none" w:sz="0" w:space="0" w:color="auto"/>
        <w:bottom w:val="none" w:sz="0" w:space="0" w:color="auto"/>
        <w:right w:val="none" w:sz="0" w:space="0" w:color="auto"/>
      </w:divBdr>
    </w:div>
    <w:div w:id="1699351851">
      <w:bodyDiv w:val="1"/>
      <w:marLeft w:val="0"/>
      <w:marRight w:val="0"/>
      <w:marTop w:val="0"/>
      <w:marBottom w:val="0"/>
      <w:divBdr>
        <w:top w:val="none" w:sz="0" w:space="0" w:color="auto"/>
        <w:left w:val="none" w:sz="0" w:space="0" w:color="auto"/>
        <w:bottom w:val="none" w:sz="0" w:space="0" w:color="auto"/>
        <w:right w:val="none" w:sz="0" w:space="0" w:color="auto"/>
      </w:divBdr>
    </w:div>
    <w:div w:id="1850634880">
      <w:bodyDiv w:val="1"/>
      <w:marLeft w:val="0"/>
      <w:marRight w:val="0"/>
      <w:marTop w:val="0"/>
      <w:marBottom w:val="0"/>
      <w:divBdr>
        <w:top w:val="none" w:sz="0" w:space="0" w:color="auto"/>
        <w:left w:val="none" w:sz="0" w:space="0" w:color="auto"/>
        <w:bottom w:val="none" w:sz="0" w:space="0" w:color="auto"/>
        <w:right w:val="none" w:sz="0" w:space="0" w:color="auto"/>
      </w:divBdr>
    </w:div>
    <w:div w:id="21452715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77DEE-EAAD-4315-BB12-0C6A70D2F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2806</Words>
  <Characters>15154</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Violência patrimonial contra a pessoa idosa e mecanismos de proteção</vt:lpstr>
    </vt:vector>
  </TitlesOfParts>
  <Company/>
  <LinksUpToDate>false</LinksUpToDate>
  <CharactersWithSpaces>17925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Violência patrimonial contra a pessoa idosa e mecanismos de proteção</dc:title>
  <dc:subject>Artigo científico - violência patrimonial e financeira contra a pessoa idosa</dc:subject>
  <dc:creator>kaioviniciusvasconcelos321@gmail.com</dc:creator>
  <cp:keywords/>
  <dc:description/>
  <cp:lastModifiedBy>Eduarda Duarte</cp:lastModifiedBy>
  <cp:revision>2</cp:revision>
  <cp:lastPrinted>2026-09-08T15:36:00Z</cp:lastPrinted>
  <dcterms:created xsi:type="dcterms:W3CDTF">2026-09-11T15:22:00Z</dcterms:created>
  <dcterms:modified xsi:type="dcterms:W3CDTF">2026-09-11T15:22:00Z</dcterms:modified>
</cp:coreProperties>
</file>