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681124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5825" y="2948925"/>
                          <a:ext cx="7560309" cy="1681124"/>
                          <a:chOff x="1565825" y="2948925"/>
                          <a:chExt cx="7560350" cy="1662150"/>
                        </a:xfrm>
                      </wpg:grpSpPr>
                      <wpg:grpSp>
                        <wpg:cNvGrpSpPr/>
                        <wpg:grpSpPr>
                          <a:xfrm>
                            <a:off x="1565846" y="2948936"/>
                            <a:ext cx="7560309" cy="1662128"/>
                            <a:chOff x="1565825" y="3005900"/>
                            <a:chExt cx="7560350" cy="16118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65825" y="3005900"/>
                              <a:ext cx="7560350" cy="161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5846" y="3005923"/>
                              <a:ext cx="7560309" cy="1548154"/>
                              <a:chOff x="1565825" y="3066875"/>
                              <a:chExt cx="7560350" cy="1497525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1565825" y="3066875"/>
                                <a:ext cx="7560350" cy="149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65846" y="3066895"/>
                                <a:ext cx="7560309" cy="1426200"/>
                                <a:chOff x="0" y="0"/>
                                <a:chExt cx="7560309" cy="1426200"/>
                              </a:xfrm>
                            </wpg:grpSpPr>
                            <wps:wsp>
                              <wps:cNvSpPr/>
                              <wps:cNvPr id="15" name="Shape 15"/>
                              <wps:spPr>
                                <a:xfrm>
                                  <a:off x="0" y="0"/>
                                  <a:ext cx="7560300" cy="142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6" name="Shape 16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560309" cy="1364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7" name="Shape 17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83259" y="171450"/>
                                  <a:ext cx="922007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7560300" cy="142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3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819.0000152587891" w:right="819.0000152587891" w:firstLine="2456.999969482422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II CONGRESSO NACIONAL DE SAÚDE DA MULHER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819.0000152587891" w:right="819.0000152587891" w:firstLine="2457.0001220703125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814.0000152587891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                 VULNERABILIDADES E ACESSO À SAÚDE PARA MULHERES EM    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814.0000152587891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                                                SITUAÇÃO DE VIOLÊNCIA DOMÉSTICA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681124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09" cy="16811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Eduarda de Almeida Nascimento </w:t>
      </w:r>
    </w:p>
    <w:p w:rsidR="00000000" w:rsidDel="00000000" w:rsidP="00000000" w:rsidRDefault="00000000" w:rsidRPr="00000000" w14:paraId="00000011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Evangélica de Goiás - UniEVANGÉLICA, Anápolis - 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Sarah Maria Justino Silva </w:t>
      </w:r>
    </w:p>
    <w:p w:rsidR="00000000" w:rsidDel="00000000" w:rsidP="00000000" w:rsidRDefault="00000000" w:rsidRPr="00000000" w14:paraId="00000013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de Rio verde - Unirv, Campus Aparecida de Goiânia - GO</w:t>
      </w:r>
    </w:p>
    <w:p w:rsidR="00000000" w:rsidDel="00000000" w:rsidP="00000000" w:rsidRDefault="00000000" w:rsidRPr="00000000" w14:paraId="00000014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Fernanda Ferreira Jorge</w:t>
      </w:r>
    </w:p>
    <w:p w:rsidR="00000000" w:rsidDel="00000000" w:rsidP="00000000" w:rsidRDefault="00000000" w:rsidRPr="00000000" w14:paraId="00000015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de Rio verde - Unirv, Campus Goianésia - GO</w:t>
      </w:r>
    </w:p>
    <w:p w:rsidR="00000000" w:rsidDel="00000000" w:rsidP="00000000" w:rsidRDefault="00000000" w:rsidRPr="00000000" w14:paraId="00000016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Thiaggo Nunes Dias Barbosa</w:t>
      </w:r>
    </w:p>
    <w:p w:rsidR="00000000" w:rsidDel="00000000" w:rsidP="00000000" w:rsidRDefault="00000000" w:rsidRPr="00000000" w14:paraId="00000017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de Rio verde - Unirv, Campus Goianésia - GO</w:t>
      </w:r>
    </w:p>
    <w:p w:rsidR="00000000" w:rsidDel="00000000" w:rsidP="00000000" w:rsidRDefault="00000000" w:rsidRPr="00000000" w14:paraId="00000018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Paolla Santiago Queiroz Lopes </w:t>
      </w:r>
    </w:p>
    <w:p w:rsidR="00000000" w:rsidDel="00000000" w:rsidP="00000000" w:rsidRDefault="00000000" w:rsidRPr="00000000" w14:paraId="00000019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Evangélica de Goiás - UniEVANGÉLICA, Anápolis - GO</w:t>
      </w:r>
    </w:p>
    <w:p w:rsidR="00000000" w:rsidDel="00000000" w:rsidP="00000000" w:rsidRDefault="00000000" w:rsidRPr="00000000" w14:paraId="0000001A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Marcos Júnior Queiroz Leão </w:t>
      </w:r>
    </w:p>
    <w:p w:rsidR="00000000" w:rsidDel="00000000" w:rsidP="00000000" w:rsidRDefault="00000000" w:rsidRPr="00000000" w14:paraId="0000001B">
      <w:pPr>
        <w:spacing w:before="0" w:lineRule="auto"/>
        <w:ind w:left="1136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Médico pelo Instituto Tocantinense Presidente Antônio Carlos - ITPAC, Porto Nacional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ind w:left="1136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6" w:right="1129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violência doméstica é uma barreira de saúde pública que afeta diversas mulheres, gerando consequências maléficas para seu bem-estar psicológico e físico. Mulheres em situação de violência doméstica sofrem vulnerabilidades consideráveis, como problemas no acesso aos serviços de saúde. Essas dificuldades incluem fatores socioeconômicos, assim como o medo das vítimas em denunciar o agressor, uma vez que as mesmas em determinadas situações passam por problemas psicológicos, como dependência emocional, limitando o acesso aos serviços de saúde. Sendo assim, a avaliação do acesso à saúde dessas mulheres é crucial para identificar falhas no sistema de atendimento e propor soluções que garantam um cuidado integral e seguro. Dessa forma, o enfoque desta análise é compreender como os serviços de saúde podem ser melhorados para atender de forma eficaz essa população, garantindo a identificação precoce da violência e oferecendo suporte psicológico, social e médico adequado, contribuindo para a proteção e identificação das vítimas.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Avaliar a dificuldade e a vulnerabilidade do acesso à saúde para mulheres em situação de violência doméstica.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integrativa de literatura, baseada em 5 artigos, com busca na base de dados Biblioteca Virtual em Saúde (BVS), Google Acadêmico, PubMed e Scientific Electronic Library Online (SciELO), e realizada durante o ano de 2024. Os Descritores em Ciências da Saúde (DeCS) foram: “Mulher”, “Saúde”, "Vulnerabilidade” e “Violência Doméstica". Os critérios de inclusão foram artigos com publicação entre 2019 e 2024, disponíveis em inglês e português e que atendiam ao objetivo de pesquisa. Foram excluídos os artigos publicados anteriores ao ano de 2019 e que tratavam os descritores de maneira isolada.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Os cinco artigos abordam diferentes aspectos da violência doméstica e seu impacto sobre as mulheres. Em geral, os estudos indicam que intervenções direcionadas aumentam a probabilidade de acesso aos serviços de apoio, especialmente para minorias étnicas e homens. A violência é descrita como multifacetada, envolvendo fatores simbólicos, estruturais e interpessoais, que afetam negativamente a saúde das mulheres. A violência por parceiro íntimo ocorre em uma alta porcentagem de mulheres, incluindo gestantes, o que ressalta a necessidade de triagem e apoio contínuos por parte dos profissionais de saúde. Esses achados destacam a importância de políticas públicas robustas e específicas para mulheres vítimas de violência doméstica.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CONSIDERAÇÕES FINAIS: </w:t>
      </w:r>
      <w:r w:rsidDel="00000000" w:rsidR="00000000" w:rsidRPr="00000000">
        <w:rPr>
          <w:sz w:val="24"/>
          <w:szCs w:val="24"/>
          <w:rtl w:val="0"/>
        </w:rPr>
        <w:t xml:space="preserve">A violência doméstica é um desafio de saúde pública que demanda atenção prioritária dos serviços de saúde. Os estudos analisados reforçam que intervenções eficazes aumentam o acesso das vítimas aos serviços de apoio, especialmente para grupos minoritários. É essencial que os profissionais de saúde estejam capacitados para identificar sinais de violência e fornecer suporte contínuo. O aprimoramento de políticas públicas e diretrizes específicas para a proteção das vítimas pode contribuir para a criação de um ambiente mais seguro e acolhedor, favorecendo a recuperação física, emocional e social dessas mulheres.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6" w:right="112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Mulheres; Violência Doméstica; Vulnerabilidade em Saúde.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443677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5825" y="3058150"/>
                          <a:ext cx="7560309" cy="1443677"/>
                          <a:chOff x="1565825" y="3058150"/>
                          <a:chExt cx="7560350" cy="1443700"/>
                        </a:xfrm>
                      </wpg:grpSpPr>
                      <wpg:grpSp>
                        <wpg:cNvGrpSpPr/>
                        <wpg:grpSpPr>
                          <a:xfrm>
                            <a:off x="1565846" y="3058162"/>
                            <a:ext cx="7560309" cy="1443677"/>
                            <a:chOff x="1565825" y="3058150"/>
                            <a:chExt cx="7560350" cy="1443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65825" y="3058150"/>
                              <a:ext cx="7560350" cy="144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5846" y="3058162"/>
                              <a:ext cx="7560309" cy="1443677"/>
                              <a:chOff x="1565825" y="3066875"/>
                              <a:chExt cx="7560350" cy="14262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565825" y="3066875"/>
                                <a:ext cx="7560350" cy="142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65846" y="3066895"/>
                                <a:ext cx="7560309" cy="1426210"/>
                                <a:chOff x="0" y="0"/>
                                <a:chExt cx="7560309" cy="142621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7560300" cy="142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560309" cy="1364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83259" y="171450"/>
                                  <a:ext cx="922007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7560309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3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819.0000152587891" w:right="814.0000152587891" w:firstLine="2457.0001220703125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819.0000152587891" w:right="814.0000152587891" w:firstLine="2457.0001220703125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443677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09" cy="14436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BRIGNONE, L.; GOMEZ, A. M. Access to domestic violence advocacy by race, ethnicity and gender: The impact of a digital warm handoff from the emergency department. </w:t>
      </w:r>
      <w:r w:rsidDel="00000000" w:rsidR="00000000" w:rsidRPr="00000000">
        <w:rPr>
          <w:b w:val="1"/>
          <w:sz w:val="16"/>
          <w:szCs w:val="16"/>
          <w:rtl w:val="0"/>
        </w:rPr>
        <w:t xml:space="preserve">PloS one</w:t>
      </w:r>
      <w:r w:rsidDel="00000000" w:rsidR="00000000" w:rsidRPr="00000000">
        <w:rPr>
          <w:sz w:val="16"/>
          <w:szCs w:val="16"/>
          <w:rtl w:val="0"/>
        </w:rPr>
        <w:t xml:space="preserve">, v. 17, n. 3, p. e0264814, 2022.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BURKE, E. et al. Is addressing violence against women prioritised in health policies? Findings from a WHO policies database. </w:t>
      </w:r>
      <w:r w:rsidDel="00000000" w:rsidR="00000000" w:rsidRPr="00000000">
        <w:rPr>
          <w:b w:val="1"/>
          <w:sz w:val="16"/>
          <w:szCs w:val="16"/>
          <w:rtl w:val="0"/>
        </w:rPr>
        <w:t xml:space="preserve">PLOS global public health</w:t>
      </w:r>
      <w:r w:rsidDel="00000000" w:rsidR="00000000" w:rsidRPr="00000000">
        <w:rPr>
          <w:sz w:val="16"/>
          <w:szCs w:val="16"/>
          <w:rtl w:val="0"/>
        </w:rPr>
        <w:t xml:space="preserve">, v. 4, n. 2, p. e0002504, 2024.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LUTGENDORF, M. A. Intimate partner violence and women’s health. </w:t>
      </w:r>
      <w:r w:rsidDel="00000000" w:rsidR="00000000" w:rsidRPr="00000000">
        <w:rPr>
          <w:b w:val="1"/>
          <w:sz w:val="16"/>
          <w:szCs w:val="16"/>
          <w:rtl w:val="0"/>
        </w:rPr>
        <w:t xml:space="preserve">Obstetrics and gynecology</w:t>
      </w:r>
      <w:r w:rsidDel="00000000" w:rsidR="00000000" w:rsidRPr="00000000">
        <w:rPr>
          <w:sz w:val="16"/>
          <w:szCs w:val="16"/>
          <w:rtl w:val="0"/>
        </w:rPr>
        <w:t xml:space="preserve">, v. 134, n. 3, p. 470–480, 2019.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MONTESANTI, S. R.; THURSTON, W. E. Mapping the role of structural and interpersonal violence in the lives of women: implications for public health interventions and policy. </w:t>
      </w:r>
      <w:r w:rsidDel="00000000" w:rsidR="00000000" w:rsidRPr="00000000">
        <w:rPr>
          <w:b w:val="1"/>
          <w:sz w:val="16"/>
          <w:szCs w:val="16"/>
          <w:rtl w:val="0"/>
        </w:rPr>
        <w:t xml:space="preserve">BMC women’s health</w:t>
      </w:r>
      <w:r w:rsidDel="00000000" w:rsidR="00000000" w:rsidRPr="00000000">
        <w:rPr>
          <w:sz w:val="16"/>
          <w:szCs w:val="16"/>
          <w:rtl w:val="0"/>
        </w:rPr>
        <w:t xml:space="preserve">, v. 15, n. 1, 2015.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SÁNCHEZ, O. DEL R. et al. Domestic violence: A cross‐sectional study among pregnant and postpartum women. </w:t>
      </w:r>
      <w:r w:rsidDel="00000000" w:rsidR="00000000" w:rsidRPr="00000000">
        <w:rPr>
          <w:b w:val="1"/>
          <w:sz w:val="16"/>
          <w:szCs w:val="16"/>
          <w:rtl w:val="0"/>
        </w:rPr>
        <w:t xml:space="preserve">Journal of advanced nursing</w:t>
      </w:r>
      <w:r w:rsidDel="00000000" w:rsidR="00000000" w:rsidRPr="00000000">
        <w:rPr>
          <w:sz w:val="16"/>
          <w:szCs w:val="16"/>
          <w:rtl w:val="0"/>
        </w:rPr>
        <w:t xml:space="preserve">, v. 79, n. 4, p. 1525–1539, 2023.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0" w:top="0" w:left="0" w:right="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4zA0jATb83Vy/kIUzecunbn3A==">CgMxLjA4AHIhMVRrc2E4bTdoUnRNVmZhQjJnSjljelBsUTFqUVNSMDdE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2024-10-24T16:38:38Z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2024-04-29T00:00:00Z</vt:lpwstr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lpwstr>2024-04-29T00:00:00Z</vt:lpwstr>
  </property>
</Properties>
</file>