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B4E2D5" w14:textId="7362731D" w:rsidR="00F17E83" w:rsidRDefault="00F17E83" w:rsidP="002C562C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F17E83">
        <w:rPr>
          <w:b/>
          <w:bCs/>
          <w:sz w:val="24"/>
          <w:szCs w:val="24"/>
        </w:rPr>
        <w:t xml:space="preserve"> RENDIMENTO</w:t>
      </w:r>
      <w:r w:rsidR="00A64681">
        <w:rPr>
          <w:b/>
          <w:bCs/>
          <w:sz w:val="24"/>
          <w:szCs w:val="24"/>
        </w:rPr>
        <w:t>,</w:t>
      </w:r>
      <w:r w:rsidRPr="00F17E83">
        <w:rPr>
          <w:b/>
          <w:bCs/>
          <w:sz w:val="24"/>
          <w:szCs w:val="24"/>
        </w:rPr>
        <w:t xml:space="preserve"> PERFIL QUÍMICO </w:t>
      </w:r>
      <w:r w:rsidR="00A64681">
        <w:rPr>
          <w:b/>
          <w:bCs/>
          <w:sz w:val="24"/>
          <w:szCs w:val="24"/>
        </w:rPr>
        <w:t>E CITOTOXICIDADE DO</w:t>
      </w:r>
      <w:r w:rsidRPr="00F17E83">
        <w:rPr>
          <w:b/>
          <w:bCs/>
          <w:sz w:val="24"/>
          <w:szCs w:val="24"/>
        </w:rPr>
        <w:t> ÓLEO ESSENCIAL D</w:t>
      </w:r>
      <w:r w:rsidR="00A64681">
        <w:rPr>
          <w:b/>
          <w:bCs/>
          <w:sz w:val="24"/>
          <w:szCs w:val="24"/>
        </w:rPr>
        <w:t>E</w:t>
      </w:r>
      <w:r w:rsidRPr="00F17E83">
        <w:rPr>
          <w:b/>
          <w:bCs/>
          <w:i/>
          <w:sz w:val="24"/>
          <w:szCs w:val="24"/>
        </w:rPr>
        <w:t xml:space="preserve"> </w:t>
      </w:r>
      <w:r w:rsidR="00247420" w:rsidRPr="00F17E83">
        <w:rPr>
          <w:b/>
          <w:bCs/>
          <w:i/>
          <w:sz w:val="24"/>
          <w:szCs w:val="24"/>
        </w:rPr>
        <w:t xml:space="preserve">Aniba </w:t>
      </w:r>
      <w:r w:rsidR="00247420">
        <w:rPr>
          <w:b/>
          <w:bCs/>
          <w:i/>
          <w:sz w:val="24"/>
          <w:szCs w:val="24"/>
        </w:rPr>
        <w:t>p</w:t>
      </w:r>
      <w:r w:rsidR="00247420" w:rsidRPr="00F17E83">
        <w:rPr>
          <w:b/>
          <w:bCs/>
          <w:i/>
          <w:sz w:val="24"/>
          <w:szCs w:val="24"/>
        </w:rPr>
        <w:t>arviflora</w:t>
      </w:r>
      <w:r w:rsidR="00247420" w:rsidRPr="00F17E83">
        <w:rPr>
          <w:b/>
          <w:bCs/>
          <w:sz w:val="24"/>
          <w:szCs w:val="24"/>
        </w:rPr>
        <w:t xml:space="preserve"> </w:t>
      </w:r>
      <w:r w:rsidRPr="00F17E83">
        <w:rPr>
          <w:b/>
          <w:bCs/>
          <w:sz w:val="24"/>
          <w:szCs w:val="24"/>
        </w:rPr>
        <w:t>CULTIVADA NO PARQUE ZOOBOTÂNICO DO MPEG, BELÉM-PA</w:t>
      </w:r>
    </w:p>
    <w:p w14:paraId="13DCD9D0" w14:textId="77777777" w:rsidR="00F17E83" w:rsidRPr="00F17E83" w:rsidRDefault="00F17E83" w:rsidP="002C562C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2D75A996" w14:textId="6F129712" w:rsidR="00FD46AA" w:rsidRDefault="00F17E83" w:rsidP="002C562C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Lívia Dantas do Amaral Ramos</w:t>
      </w:r>
      <w:r w:rsidR="009C13EE">
        <w:rPr>
          <w:sz w:val="24"/>
          <w:szCs w:val="24"/>
        </w:rPr>
        <w:t xml:space="preserve"> 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Pr="00F17E83">
        <w:rPr>
          <w:sz w:val="24"/>
          <w:szCs w:val="24"/>
          <w:u w:val="single"/>
        </w:rPr>
        <w:t>Eloisa Helena de Aguiar Andrade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  <w:vertAlign w:val="superscript"/>
        </w:rPr>
        <w:t>2</w:t>
      </w:r>
    </w:p>
    <w:p w14:paraId="558DE1DC" w14:textId="77777777" w:rsidR="00F17E83" w:rsidRPr="00F17E83" w:rsidRDefault="00F17E83" w:rsidP="002C562C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35E6E80F" w:rsidR="007830E4" w:rsidRDefault="009C13EE" w:rsidP="002C562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F17E83">
        <w:rPr>
          <w:sz w:val="24"/>
          <w:szCs w:val="24"/>
        </w:rPr>
        <w:t>Graduanda em Ciências Biológicas</w:t>
      </w:r>
      <w:r w:rsidR="00426A8B">
        <w:rPr>
          <w:sz w:val="24"/>
          <w:szCs w:val="24"/>
        </w:rPr>
        <w:t>/Bacharelado</w:t>
      </w:r>
      <w:r w:rsidR="00FD19C3">
        <w:rPr>
          <w:sz w:val="24"/>
          <w:szCs w:val="24"/>
        </w:rPr>
        <w:t>.</w:t>
      </w:r>
      <w:r w:rsidR="00F17E83">
        <w:rPr>
          <w:sz w:val="24"/>
          <w:szCs w:val="24"/>
        </w:rPr>
        <w:t xml:space="preserve"> Universidade Federal do Pará</w:t>
      </w:r>
      <w:r>
        <w:rPr>
          <w:sz w:val="24"/>
          <w:szCs w:val="24"/>
        </w:rPr>
        <w:t>.</w:t>
      </w:r>
      <w:r w:rsidR="00F17E83">
        <w:rPr>
          <w:sz w:val="24"/>
          <w:szCs w:val="24"/>
        </w:rPr>
        <w:t xml:space="preserve"> livi.dantamaral@gmail.com</w:t>
      </w:r>
      <w:r>
        <w:rPr>
          <w:sz w:val="24"/>
          <w:szCs w:val="24"/>
        </w:rPr>
        <w:t>.</w:t>
      </w:r>
    </w:p>
    <w:p w14:paraId="388B92C9" w14:textId="0FDAF56E" w:rsidR="00F17E83" w:rsidRDefault="009C13EE" w:rsidP="002C562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2B5257">
        <w:rPr>
          <w:sz w:val="24"/>
          <w:szCs w:val="24"/>
        </w:rPr>
        <w:t>Doutorado em Química</w:t>
      </w:r>
      <w:r>
        <w:rPr>
          <w:sz w:val="24"/>
          <w:szCs w:val="24"/>
        </w:rPr>
        <w:t>.</w:t>
      </w:r>
      <w:r w:rsidR="002B5257">
        <w:rPr>
          <w:sz w:val="24"/>
          <w:szCs w:val="24"/>
        </w:rPr>
        <w:t xml:space="preserve"> Universidade Federal do Pará</w:t>
      </w:r>
      <w:r w:rsidR="00A64681">
        <w:rPr>
          <w:sz w:val="24"/>
          <w:szCs w:val="24"/>
        </w:rPr>
        <w:t>/Museu Paraense Emilio Goeldi</w:t>
      </w:r>
      <w:r w:rsidR="00A62F3B">
        <w:rPr>
          <w:sz w:val="24"/>
          <w:szCs w:val="24"/>
        </w:rPr>
        <w:t>.</w:t>
      </w:r>
    </w:p>
    <w:p w14:paraId="33B9F666" w14:textId="77777777" w:rsidR="00F17E83" w:rsidRPr="00F17E83" w:rsidRDefault="00F17E83" w:rsidP="002C562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2C562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B1DC168" w14:textId="77777777" w:rsidR="002C562C" w:rsidRDefault="002C562C" w:rsidP="002C562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F613161" w14:textId="77777777" w:rsidR="00A62F3B" w:rsidRPr="007148FB" w:rsidRDefault="00A62F3B" w:rsidP="002C562C">
      <w:pPr>
        <w:jc w:val="both"/>
        <w:rPr>
          <w:sz w:val="24"/>
          <w:szCs w:val="24"/>
        </w:rPr>
      </w:pPr>
      <w:r w:rsidRPr="007460B6">
        <w:rPr>
          <w:sz w:val="24"/>
          <w:szCs w:val="24"/>
        </w:rPr>
        <w:t>A região amazônica possui uma grande variedade de plantas nativas das quais podemos obter, entre outr</w:t>
      </w:r>
      <w:r>
        <w:rPr>
          <w:sz w:val="24"/>
          <w:szCs w:val="24"/>
        </w:rPr>
        <w:t>os</w:t>
      </w:r>
      <w:r w:rsidRPr="007460B6">
        <w:rPr>
          <w:sz w:val="24"/>
          <w:szCs w:val="24"/>
        </w:rPr>
        <w:t>, óleos essenciais que possuem efeito terapêutico.</w:t>
      </w:r>
      <w:r w:rsidRPr="00997A26">
        <w:rPr>
          <w:sz w:val="24"/>
          <w:szCs w:val="24"/>
        </w:rPr>
        <w:t xml:space="preserve"> </w:t>
      </w:r>
      <w:r w:rsidRPr="00055BF3">
        <w:rPr>
          <w:sz w:val="24"/>
          <w:szCs w:val="24"/>
        </w:rPr>
        <w:t xml:space="preserve">A família Lauraceae é constituída por cerca de 30 gêneros, com distribuição marcadamente tropical e subtropical em todo o mundo. </w:t>
      </w:r>
      <w:r>
        <w:rPr>
          <w:sz w:val="24"/>
          <w:szCs w:val="24"/>
        </w:rPr>
        <w:t>E p</w:t>
      </w:r>
      <w:r w:rsidRPr="00055BF3">
        <w:rPr>
          <w:sz w:val="24"/>
          <w:szCs w:val="24"/>
        </w:rPr>
        <w:t>ossui considerável importância econômica, com espécies madeireiras, frutíferas, oleaginosas e fornecedoras de óleo essencial e de condimentos</w:t>
      </w:r>
      <w:r>
        <w:rPr>
          <w:sz w:val="24"/>
          <w:szCs w:val="24"/>
        </w:rPr>
        <w:t>.</w:t>
      </w:r>
      <w:r w:rsidRPr="00997A26">
        <w:t xml:space="preserve"> </w:t>
      </w:r>
      <w:r w:rsidRPr="00997A26">
        <w:rPr>
          <w:sz w:val="24"/>
          <w:szCs w:val="24"/>
        </w:rPr>
        <w:t xml:space="preserve">As espécies aromáticas de Lauraceae estão compreendidas principalmente entre os gêneros </w:t>
      </w:r>
      <w:r w:rsidRPr="00997A26">
        <w:rPr>
          <w:i/>
          <w:iCs/>
          <w:sz w:val="24"/>
          <w:szCs w:val="24"/>
        </w:rPr>
        <w:t>Aniba</w:t>
      </w:r>
      <w:r w:rsidRPr="00997A26">
        <w:rPr>
          <w:sz w:val="24"/>
          <w:szCs w:val="24"/>
        </w:rPr>
        <w:t xml:space="preserve">, </w:t>
      </w:r>
      <w:r w:rsidRPr="00997A26">
        <w:rPr>
          <w:i/>
          <w:iCs/>
          <w:sz w:val="24"/>
          <w:szCs w:val="24"/>
        </w:rPr>
        <w:t>Nectandra</w:t>
      </w:r>
      <w:r w:rsidRPr="00997A26">
        <w:rPr>
          <w:sz w:val="24"/>
          <w:szCs w:val="24"/>
        </w:rPr>
        <w:t xml:space="preserve">, </w:t>
      </w:r>
      <w:r w:rsidRPr="00997A26">
        <w:rPr>
          <w:i/>
          <w:iCs/>
          <w:sz w:val="24"/>
          <w:szCs w:val="24"/>
        </w:rPr>
        <w:t>Ocotea</w:t>
      </w:r>
      <w:r w:rsidRPr="00997A26">
        <w:rPr>
          <w:sz w:val="24"/>
          <w:szCs w:val="24"/>
        </w:rPr>
        <w:t xml:space="preserve">, </w:t>
      </w:r>
      <w:r w:rsidRPr="00997A26">
        <w:rPr>
          <w:i/>
          <w:iCs/>
          <w:sz w:val="24"/>
          <w:szCs w:val="24"/>
        </w:rPr>
        <w:t>Licaria</w:t>
      </w:r>
      <w:r w:rsidRPr="00997A26">
        <w:rPr>
          <w:sz w:val="24"/>
          <w:szCs w:val="24"/>
        </w:rPr>
        <w:t xml:space="preserve"> e </w:t>
      </w:r>
      <w:r w:rsidRPr="00997A26">
        <w:rPr>
          <w:i/>
          <w:iCs/>
          <w:sz w:val="24"/>
          <w:szCs w:val="24"/>
        </w:rPr>
        <w:t>Dicypellium</w:t>
      </w:r>
      <w:r w:rsidRPr="00997A26">
        <w:rPr>
          <w:sz w:val="24"/>
          <w:szCs w:val="24"/>
        </w:rPr>
        <w:t>. O elevado potencial da flora odorífera da Amazônia apresenta-se como a fonte renovável mais apropriada para a produção de essências aromáticas</w:t>
      </w:r>
      <w:r>
        <w:rPr>
          <w:sz w:val="24"/>
          <w:szCs w:val="24"/>
        </w:rPr>
        <w:t xml:space="preserve">. </w:t>
      </w:r>
      <w:r w:rsidRPr="0055216B">
        <w:rPr>
          <w:sz w:val="24"/>
          <w:szCs w:val="24"/>
        </w:rPr>
        <w:t>Por causa d</w:t>
      </w:r>
      <w:r>
        <w:rPr>
          <w:sz w:val="24"/>
          <w:szCs w:val="24"/>
        </w:rPr>
        <w:t>a</w:t>
      </w:r>
      <w:r w:rsidRPr="0055216B">
        <w:rPr>
          <w:sz w:val="24"/>
          <w:szCs w:val="24"/>
        </w:rPr>
        <w:t xml:space="preserve"> semelhança</w:t>
      </w:r>
      <w:r>
        <w:rPr>
          <w:sz w:val="24"/>
          <w:szCs w:val="24"/>
        </w:rPr>
        <w:t xml:space="preserve"> </w:t>
      </w:r>
      <w:r w:rsidRPr="0055216B">
        <w:rPr>
          <w:sz w:val="24"/>
          <w:szCs w:val="24"/>
        </w:rPr>
        <w:t xml:space="preserve">morfológica, </w:t>
      </w:r>
      <w:r>
        <w:rPr>
          <w:sz w:val="24"/>
          <w:szCs w:val="24"/>
        </w:rPr>
        <w:t xml:space="preserve">a espécie </w:t>
      </w:r>
      <w:r w:rsidRPr="0055216B">
        <w:rPr>
          <w:i/>
          <w:iCs/>
          <w:sz w:val="24"/>
          <w:szCs w:val="24"/>
        </w:rPr>
        <w:t>A</w:t>
      </w:r>
      <w:r>
        <w:rPr>
          <w:i/>
          <w:iCs/>
          <w:sz w:val="24"/>
          <w:szCs w:val="24"/>
        </w:rPr>
        <w:t>niba</w:t>
      </w:r>
      <w:r w:rsidRPr="0055216B">
        <w:rPr>
          <w:i/>
          <w:iCs/>
          <w:sz w:val="24"/>
          <w:szCs w:val="24"/>
        </w:rPr>
        <w:t xml:space="preserve"> parviflora</w:t>
      </w:r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conhecida como macacaporanga, </w:t>
      </w:r>
      <w:r w:rsidRPr="0055216B">
        <w:rPr>
          <w:sz w:val="24"/>
          <w:szCs w:val="24"/>
        </w:rPr>
        <w:t xml:space="preserve">é confundida com </w:t>
      </w:r>
      <w:r w:rsidRPr="0055216B">
        <w:rPr>
          <w:i/>
          <w:iCs/>
          <w:sz w:val="24"/>
          <w:szCs w:val="24"/>
        </w:rPr>
        <w:t>A. rosiodora</w:t>
      </w:r>
      <w:r>
        <w:rPr>
          <w:i/>
          <w:iCs/>
          <w:sz w:val="24"/>
          <w:szCs w:val="24"/>
        </w:rPr>
        <w:t xml:space="preserve"> </w:t>
      </w:r>
      <w:r w:rsidRPr="007148FB">
        <w:rPr>
          <w:sz w:val="24"/>
          <w:szCs w:val="24"/>
        </w:rPr>
        <w:t>(pau-rosa)</w:t>
      </w:r>
      <w:r>
        <w:rPr>
          <w:sz w:val="24"/>
          <w:szCs w:val="24"/>
        </w:rPr>
        <w:t xml:space="preserve">. </w:t>
      </w:r>
      <w:r w:rsidRPr="0055216B">
        <w:rPr>
          <w:sz w:val="24"/>
          <w:szCs w:val="24"/>
        </w:rPr>
        <w:t>No setor de fitocosmético, o óleo essencial de macacaporanga pode ser utilizado para</w:t>
      </w:r>
      <w:r>
        <w:rPr>
          <w:sz w:val="24"/>
          <w:szCs w:val="24"/>
        </w:rPr>
        <w:t xml:space="preserve"> </w:t>
      </w:r>
      <w:r w:rsidRPr="0055216B">
        <w:rPr>
          <w:sz w:val="24"/>
          <w:szCs w:val="24"/>
        </w:rPr>
        <w:t>fabricação de perfumes, cosméticos, e material de limpeza</w:t>
      </w:r>
      <w:r>
        <w:rPr>
          <w:sz w:val="24"/>
          <w:szCs w:val="24"/>
        </w:rPr>
        <w:t xml:space="preserve">. </w:t>
      </w:r>
      <w:r w:rsidRPr="007148FB">
        <w:rPr>
          <w:sz w:val="24"/>
          <w:szCs w:val="24"/>
        </w:rPr>
        <w:t xml:space="preserve">A madeira (lenho) e ramos de </w:t>
      </w:r>
      <w:r w:rsidRPr="007148FB">
        <w:rPr>
          <w:i/>
          <w:iCs/>
          <w:sz w:val="24"/>
          <w:szCs w:val="24"/>
        </w:rPr>
        <w:t>A. parviflora</w:t>
      </w:r>
      <w:r w:rsidRPr="007148FB">
        <w:rPr>
          <w:sz w:val="24"/>
          <w:szCs w:val="24"/>
        </w:rPr>
        <w:t>, quando secos e transformados em pó, são</w:t>
      </w:r>
    </w:p>
    <w:p w14:paraId="0EB03720" w14:textId="77777777" w:rsidR="00A62F3B" w:rsidRDefault="00A62F3B" w:rsidP="002C562C">
      <w:pPr>
        <w:jc w:val="both"/>
        <w:rPr>
          <w:sz w:val="24"/>
          <w:szCs w:val="24"/>
        </w:rPr>
      </w:pPr>
      <w:r w:rsidRPr="007148FB">
        <w:rPr>
          <w:sz w:val="24"/>
          <w:szCs w:val="24"/>
        </w:rPr>
        <w:t>utilizados como sachês aromatizantes vendidos em lojas de artesanato na cidade de Belém</w:t>
      </w:r>
      <w:r>
        <w:rPr>
          <w:sz w:val="24"/>
          <w:szCs w:val="24"/>
        </w:rPr>
        <w:t xml:space="preserve"> </w:t>
      </w:r>
      <w:r w:rsidRPr="007148FB">
        <w:rPr>
          <w:sz w:val="24"/>
          <w:szCs w:val="24"/>
        </w:rPr>
        <w:t>(PA)</w:t>
      </w:r>
      <w:r>
        <w:rPr>
          <w:sz w:val="24"/>
          <w:szCs w:val="24"/>
        </w:rPr>
        <w:t>.</w:t>
      </w:r>
    </w:p>
    <w:p w14:paraId="193F74C9" w14:textId="7B72A5D2" w:rsidR="00A62F3B" w:rsidRDefault="00A62F3B" w:rsidP="002C56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</w:t>
      </w:r>
      <w:r w:rsidRPr="007460B6">
        <w:rPr>
          <w:sz w:val="24"/>
          <w:szCs w:val="24"/>
        </w:rPr>
        <w:t xml:space="preserve">este trabalho teve como objetivo </w:t>
      </w:r>
      <w:r>
        <w:rPr>
          <w:sz w:val="24"/>
          <w:szCs w:val="24"/>
        </w:rPr>
        <w:t>a</w:t>
      </w:r>
      <w:r w:rsidRPr="001A14E4">
        <w:rPr>
          <w:sz w:val="24"/>
          <w:szCs w:val="24"/>
        </w:rPr>
        <w:t>valiar o rendimento</w:t>
      </w:r>
      <w:r>
        <w:rPr>
          <w:sz w:val="24"/>
          <w:szCs w:val="24"/>
        </w:rPr>
        <w:t>,</w:t>
      </w:r>
      <w:r w:rsidRPr="001A14E4">
        <w:rPr>
          <w:sz w:val="24"/>
          <w:szCs w:val="24"/>
        </w:rPr>
        <w:t xml:space="preserve"> composição química</w:t>
      </w:r>
      <w:r>
        <w:rPr>
          <w:sz w:val="24"/>
          <w:szCs w:val="24"/>
        </w:rPr>
        <w:t xml:space="preserve"> e cito</w:t>
      </w:r>
      <w:r w:rsidRPr="001A14E4">
        <w:rPr>
          <w:sz w:val="24"/>
          <w:szCs w:val="24"/>
        </w:rPr>
        <w:t>toxicidade</w:t>
      </w:r>
      <w:r w:rsidRPr="00DC488F">
        <w:rPr>
          <w:sz w:val="24"/>
          <w:szCs w:val="24"/>
        </w:rPr>
        <w:t xml:space="preserve"> preliminar</w:t>
      </w:r>
      <w:r w:rsidRPr="007460B6">
        <w:rPr>
          <w:sz w:val="24"/>
          <w:szCs w:val="24"/>
        </w:rPr>
        <w:t xml:space="preserve"> </w:t>
      </w:r>
      <w:r w:rsidRPr="001A14E4">
        <w:rPr>
          <w:sz w:val="24"/>
          <w:szCs w:val="24"/>
        </w:rPr>
        <w:t>do óleo essencial (OE) das folhas secas de</w:t>
      </w:r>
      <w:r>
        <w:rPr>
          <w:sz w:val="24"/>
          <w:szCs w:val="24"/>
        </w:rPr>
        <w:t xml:space="preserve"> um espécime </w:t>
      </w:r>
      <w:r w:rsidRPr="001A14E4">
        <w:rPr>
          <w:sz w:val="24"/>
          <w:szCs w:val="24"/>
        </w:rPr>
        <w:t xml:space="preserve">de </w:t>
      </w:r>
      <w:r>
        <w:rPr>
          <w:i/>
          <w:iCs/>
          <w:sz w:val="24"/>
          <w:szCs w:val="24"/>
        </w:rPr>
        <w:t>Aniba parviflora</w:t>
      </w:r>
      <w:r w:rsidRPr="001A14E4">
        <w:rPr>
          <w:sz w:val="24"/>
          <w:szCs w:val="24"/>
        </w:rPr>
        <w:t xml:space="preserve"> </w:t>
      </w:r>
      <w:r w:rsidRPr="00305A4C">
        <w:rPr>
          <w:sz w:val="24"/>
          <w:szCs w:val="24"/>
        </w:rPr>
        <w:t>(Meisn.) Mez</w:t>
      </w:r>
      <w:r>
        <w:rPr>
          <w:sz w:val="24"/>
          <w:szCs w:val="24"/>
        </w:rPr>
        <w:t xml:space="preserve">. </w:t>
      </w:r>
      <w:r w:rsidRPr="00A62F3B">
        <w:rPr>
          <w:sz w:val="24"/>
          <w:szCs w:val="24"/>
        </w:rPr>
        <w:t>cultivado no Parque Zoobotânico do Museu Emilio Goeldi, Belém, Pará. A extração do óleo essencial foi feita por hidrodestilação, utilizando extratores de vidro tipo Clevenger modificado.</w:t>
      </w:r>
      <w:r>
        <w:t xml:space="preserve"> </w:t>
      </w:r>
      <w:r w:rsidRPr="00A62F3B">
        <w:rPr>
          <w:sz w:val="24"/>
          <w:szCs w:val="24"/>
        </w:rPr>
        <w:t xml:space="preserve">A composição química foi analisada por cromatografia de fase gasosa acoplada à espectrometria de massas (CG-EM), </w:t>
      </w:r>
      <w:r w:rsidRPr="00A62F3B">
        <w:rPr>
          <w:bCs/>
          <w:color w:val="000000"/>
          <w:sz w:val="24"/>
          <w:szCs w:val="24"/>
        </w:rPr>
        <w:t xml:space="preserve">em sistema SHIMADZU QP-2010 PLUS equipado com coluna capilar de sílica DB-5MS (30 m x 0,25 mm; 0,25 m de espessura do filme). A citotoxicidade preliminar do OE foi testada frente às larvas do microcrustáceo </w:t>
      </w:r>
      <w:r w:rsidRPr="00A62F3B">
        <w:rPr>
          <w:bCs/>
          <w:i/>
          <w:color w:val="000000"/>
          <w:sz w:val="24"/>
          <w:szCs w:val="24"/>
        </w:rPr>
        <w:t>Artemia salina</w:t>
      </w:r>
      <w:r w:rsidRPr="00A62F3B">
        <w:rPr>
          <w:bCs/>
          <w:color w:val="000000"/>
          <w:sz w:val="24"/>
          <w:szCs w:val="24"/>
        </w:rPr>
        <w:t xml:space="preserve"> (camarão de salmoura).</w:t>
      </w:r>
      <w:r w:rsidRPr="00A62F3B">
        <w:rPr>
          <w:sz w:val="24"/>
          <w:szCs w:val="24"/>
        </w:rPr>
        <w:t xml:space="preserve"> As coletas de </w:t>
      </w:r>
      <w:r w:rsidRPr="00A62F3B">
        <w:rPr>
          <w:i/>
          <w:iCs/>
          <w:sz w:val="24"/>
          <w:szCs w:val="24"/>
        </w:rPr>
        <w:t>A. parviflora</w:t>
      </w:r>
      <w:r w:rsidRPr="00A62F3B">
        <w:rPr>
          <w:sz w:val="24"/>
          <w:szCs w:val="24"/>
        </w:rPr>
        <w:t xml:space="preserve"> foram realizadas nos meses de setembro/2023 (verão amazônico) e fevereiro/2024 (inverno amazônico), no período da manhã (08 h).</w:t>
      </w:r>
      <w:r>
        <w:rPr>
          <w:sz w:val="24"/>
          <w:szCs w:val="24"/>
        </w:rPr>
        <w:t xml:space="preserve"> Os rendimentos de óleos essenciais variaram de 0,89% (inverno amazônico) a 1,74% (verão amazônico). Um total de 48 constituintes foram identificados nos óleos das amostras analisadas. </w:t>
      </w:r>
      <w:r>
        <w:rPr>
          <w:color w:val="000000"/>
          <w:sz w:val="24"/>
          <w:szCs w:val="24"/>
        </w:rPr>
        <w:t>O</w:t>
      </w:r>
      <w:r w:rsidRPr="00FD130C">
        <w:rPr>
          <w:color w:val="000000"/>
          <w:sz w:val="24"/>
          <w:szCs w:val="24"/>
        </w:rPr>
        <w:t xml:space="preserve">s monoterpenos </w:t>
      </w:r>
      <w:r>
        <w:rPr>
          <w:color w:val="000000"/>
          <w:sz w:val="24"/>
          <w:szCs w:val="24"/>
        </w:rPr>
        <w:t>predominaram nos OEs nos</w:t>
      </w:r>
      <w:r w:rsidRPr="00C700F7">
        <w:rPr>
          <w:color w:val="000000"/>
          <w:sz w:val="24"/>
          <w:szCs w:val="24"/>
        </w:rPr>
        <w:t xml:space="preserve"> dois </w:t>
      </w:r>
      <w:r>
        <w:rPr>
          <w:color w:val="000000"/>
          <w:sz w:val="24"/>
          <w:szCs w:val="24"/>
        </w:rPr>
        <w:t>períodos de coletas</w:t>
      </w:r>
      <w:r w:rsidRPr="00C700F7">
        <w:rPr>
          <w:color w:val="000000"/>
          <w:sz w:val="24"/>
          <w:szCs w:val="24"/>
        </w:rPr>
        <w:t>,</w:t>
      </w:r>
      <w:r w:rsidRPr="00FD13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</w:t>
      </w:r>
      <w:r w:rsidRPr="00FD130C">
        <w:rPr>
          <w:color w:val="000000"/>
          <w:sz w:val="24"/>
          <w:szCs w:val="24"/>
        </w:rPr>
        <w:t xml:space="preserve"> valores de 89,38% (verão) e 84,31% </w:t>
      </w:r>
      <w:r>
        <w:rPr>
          <w:color w:val="000000"/>
          <w:sz w:val="24"/>
          <w:szCs w:val="24"/>
        </w:rPr>
        <w:t xml:space="preserve">(inverno), tendo o monoterpeno oxigenado linalol como constituinte principal, </w:t>
      </w:r>
      <w:r w:rsidRPr="00FD130C">
        <w:rPr>
          <w:color w:val="000000"/>
          <w:sz w:val="24"/>
          <w:szCs w:val="24"/>
        </w:rPr>
        <w:t>com 34,87% no verão e 30,51% no inverno</w:t>
      </w:r>
      <w:r>
        <w:rPr>
          <w:color w:val="000000"/>
          <w:sz w:val="24"/>
          <w:szCs w:val="24"/>
        </w:rPr>
        <w:t xml:space="preserve">, seguido de </w:t>
      </w:r>
      <w:r w:rsidRPr="00E1645E">
        <w:rPr>
          <w:i/>
          <w:iCs/>
          <w:color w:val="000000"/>
          <w:sz w:val="24"/>
          <w:szCs w:val="24"/>
        </w:rPr>
        <w:t>α</w:t>
      </w:r>
      <w:r w:rsidRPr="00FD130C">
        <w:rPr>
          <w:color w:val="000000"/>
          <w:sz w:val="24"/>
          <w:szCs w:val="24"/>
        </w:rPr>
        <w:t>-felandreno</w:t>
      </w:r>
      <w:r>
        <w:rPr>
          <w:color w:val="000000"/>
          <w:sz w:val="24"/>
          <w:szCs w:val="24"/>
        </w:rPr>
        <w:t xml:space="preserve"> com 27,37% (verão) e 22,63% (inverno), e </w:t>
      </w:r>
      <w:r w:rsidRPr="00FB44C7">
        <w:rPr>
          <w:i/>
          <w:iCs/>
          <w:color w:val="000000"/>
          <w:sz w:val="24"/>
          <w:szCs w:val="24"/>
        </w:rPr>
        <w:t>para</w:t>
      </w:r>
      <w:r>
        <w:rPr>
          <w:color w:val="000000"/>
          <w:sz w:val="24"/>
          <w:szCs w:val="24"/>
        </w:rPr>
        <w:t xml:space="preserve">-cimeno com 13,96% (verão) e 12,4% (inverno). </w:t>
      </w:r>
      <w:r>
        <w:rPr>
          <w:rFonts w:eastAsia="Calibri"/>
        </w:rPr>
        <w:t xml:space="preserve">O óleo essencial de </w:t>
      </w:r>
      <w:r>
        <w:rPr>
          <w:rFonts w:eastAsia="Calibri"/>
          <w:i/>
        </w:rPr>
        <w:t xml:space="preserve">A. parviflora </w:t>
      </w:r>
      <w:r>
        <w:rPr>
          <w:rFonts w:eastAsia="Calibri"/>
        </w:rPr>
        <w:t xml:space="preserve">apresentou </w:t>
      </w:r>
      <w:r w:rsidRPr="00F17E83">
        <w:rPr>
          <w:sz w:val="24"/>
          <w:szCs w:val="24"/>
          <w:lang w:val="en-US"/>
        </w:rPr>
        <w:t xml:space="preserve">concentração letal média </w:t>
      </w:r>
      <w:r>
        <w:rPr>
          <w:sz w:val="24"/>
          <w:szCs w:val="24"/>
          <w:lang w:val="en-US"/>
        </w:rPr>
        <w:t>(</w:t>
      </w:r>
      <w:r>
        <w:rPr>
          <w:rFonts w:eastAsia="Calibri"/>
        </w:rPr>
        <w:t>CL</w:t>
      </w:r>
      <w:r>
        <w:rPr>
          <w:rFonts w:eastAsia="Calibri"/>
          <w:vertAlign w:val="subscript"/>
        </w:rPr>
        <w:t>50</w:t>
      </w:r>
      <w:r>
        <w:rPr>
          <w:rFonts w:eastAsia="Calibri"/>
        </w:rPr>
        <w:t xml:space="preserve">) de </w:t>
      </w:r>
      <w:r w:rsidRPr="00F17E83">
        <w:rPr>
          <w:sz w:val="24"/>
          <w:szCs w:val="24"/>
          <w:lang w:val="en-US"/>
        </w:rPr>
        <w:t xml:space="preserve">43,27± 0,0 </w:t>
      </w:r>
      <w:r>
        <w:rPr>
          <w:rFonts w:eastAsia="Calibri"/>
        </w:rPr>
        <w:t>µ</w:t>
      </w:r>
      <w:r w:rsidR="002C562C" w:rsidRPr="002962A9">
        <w:rPr>
          <w:rFonts w:eastAsia="Calibri"/>
        </w:rPr>
        <w:t>g. mL</w:t>
      </w:r>
      <w:r w:rsidRPr="00395BF7">
        <w:rPr>
          <w:rFonts w:eastAsia="Calibri"/>
          <w:vertAlign w:val="superscript"/>
        </w:rPr>
        <w:t>-1</w:t>
      </w:r>
      <w:r w:rsidRPr="00857C0E">
        <w:rPr>
          <w:rFonts w:eastAsia="Calibri"/>
        </w:rPr>
        <w:t>,</w:t>
      </w:r>
      <w:r>
        <w:rPr>
          <w:rFonts w:eastAsia="Calibri"/>
        </w:rPr>
        <w:t xml:space="preserve"> podendo ser considerado tóxico. </w:t>
      </w:r>
      <w:r>
        <w:rPr>
          <w:sz w:val="24"/>
          <w:szCs w:val="24"/>
        </w:rPr>
        <w:t xml:space="preserve">O maior rendimento de óleo essencial das folhas secas de </w:t>
      </w:r>
      <w:r w:rsidRPr="00857C0E">
        <w:rPr>
          <w:i/>
          <w:iCs/>
          <w:sz w:val="24"/>
          <w:szCs w:val="24"/>
        </w:rPr>
        <w:t>A. parviflora</w:t>
      </w:r>
      <w:r>
        <w:rPr>
          <w:sz w:val="24"/>
          <w:szCs w:val="24"/>
        </w:rPr>
        <w:t xml:space="preserve"> foi obtido no inverno amazônico, ou seja, o dobro do teor da coleta de verão. Com relação ao perfil químico não houve grandes variações entre os períodos de coleta. </w:t>
      </w:r>
    </w:p>
    <w:p w14:paraId="24D5F693" w14:textId="77777777" w:rsidR="00A62F3B" w:rsidRDefault="00A62F3B" w:rsidP="002C562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407BDED7" w14:textId="77777777" w:rsidR="00D91DC5" w:rsidRDefault="009C13EE" w:rsidP="002C562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Palavras-chave</w:t>
      </w:r>
      <w:r w:rsidRPr="00A62F3B">
        <w:rPr>
          <w:b/>
          <w:sz w:val="24"/>
          <w:szCs w:val="24"/>
        </w:rPr>
        <w:t xml:space="preserve">: </w:t>
      </w:r>
      <w:r w:rsidR="00917295" w:rsidRPr="00A62F3B">
        <w:rPr>
          <w:rFonts w:eastAsia="Cambria"/>
        </w:rPr>
        <w:t xml:space="preserve">Lauraceae. </w:t>
      </w:r>
      <w:r w:rsidR="0091108A" w:rsidRPr="00A62F3B">
        <w:rPr>
          <w:rFonts w:eastAsia="Cambria"/>
        </w:rPr>
        <w:t>Hidrodestilação,</w:t>
      </w:r>
      <w:r w:rsidR="00917295" w:rsidRPr="00A62F3B">
        <w:rPr>
          <w:rFonts w:eastAsia="Cambria"/>
        </w:rPr>
        <w:t xml:space="preserve"> Sazonalidade</w:t>
      </w:r>
      <w:r w:rsidR="00917295" w:rsidRPr="00A62F3B">
        <w:rPr>
          <w:sz w:val="24"/>
          <w:szCs w:val="24"/>
        </w:rPr>
        <w:t>.</w:t>
      </w:r>
    </w:p>
    <w:p w14:paraId="410B4B96" w14:textId="77777777" w:rsidR="002C562C" w:rsidRDefault="002C562C" w:rsidP="002C562C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74BAA916" w14:textId="3B48E50D" w:rsidR="00997A26" w:rsidRDefault="0048607D" w:rsidP="002C562C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 w:rsidR="00917295">
        <w:rPr>
          <w:sz w:val="24"/>
          <w:szCs w:val="24"/>
        </w:rPr>
        <w:t xml:space="preserve"> </w:t>
      </w:r>
      <w:r w:rsidR="002C562C" w:rsidRPr="002C562C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2C562C">
        <w:rPr>
          <w:sz w:val="24"/>
          <w:szCs w:val="24"/>
        </w:rPr>
        <w:t>.</w:t>
      </w:r>
    </w:p>
    <w:p w14:paraId="3A066A95" w14:textId="2A9F65C0" w:rsidR="0055216B" w:rsidRDefault="00A64681" w:rsidP="00857C0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55216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0C846" w14:textId="77777777" w:rsidR="00B439BF" w:rsidRDefault="00B439BF">
      <w:r>
        <w:separator/>
      </w:r>
    </w:p>
  </w:endnote>
  <w:endnote w:type="continuationSeparator" w:id="0">
    <w:p w14:paraId="210C8123" w14:textId="77777777" w:rsidR="00B439BF" w:rsidRDefault="00B43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B02FB" w14:textId="77777777" w:rsidR="00B439BF" w:rsidRDefault="00B439BF">
      <w:r>
        <w:separator/>
      </w:r>
    </w:p>
  </w:footnote>
  <w:footnote w:type="continuationSeparator" w:id="0">
    <w:p w14:paraId="589011AB" w14:textId="77777777" w:rsidR="00B439BF" w:rsidRDefault="00B43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87C75"/>
    <w:rsid w:val="00247420"/>
    <w:rsid w:val="00267048"/>
    <w:rsid w:val="002B5257"/>
    <w:rsid w:val="002C562C"/>
    <w:rsid w:val="002E717D"/>
    <w:rsid w:val="00305A4C"/>
    <w:rsid w:val="00362A1E"/>
    <w:rsid w:val="003A6125"/>
    <w:rsid w:val="003D52AF"/>
    <w:rsid w:val="004034AF"/>
    <w:rsid w:val="00426A8B"/>
    <w:rsid w:val="004339F5"/>
    <w:rsid w:val="0048607D"/>
    <w:rsid w:val="004B29FF"/>
    <w:rsid w:val="00543D75"/>
    <w:rsid w:val="0055216B"/>
    <w:rsid w:val="005D1EA6"/>
    <w:rsid w:val="005F1507"/>
    <w:rsid w:val="007148FB"/>
    <w:rsid w:val="0072629F"/>
    <w:rsid w:val="007331C9"/>
    <w:rsid w:val="007830E4"/>
    <w:rsid w:val="0085128A"/>
    <w:rsid w:val="00857C0E"/>
    <w:rsid w:val="0091108A"/>
    <w:rsid w:val="00917295"/>
    <w:rsid w:val="00922504"/>
    <w:rsid w:val="009423CF"/>
    <w:rsid w:val="00957BE7"/>
    <w:rsid w:val="00973447"/>
    <w:rsid w:val="00997A26"/>
    <w:rsid w:val="009B66E7"/>
    <w:rsid w:val="009C13EE"/>
    <w:rsid w:val="00A62F3B"/>
    <w:rsid w:val="00A64681"/>
    <w:rsid w:val="00A86693"/>
    <w:rsid w:val="00A96F9A"/>
    <w:rsid w:val="00B26E21"/>
    <w:rsid w:val="00B439BF"/>
    <w:rsid w:val="00B826D9"/>
    <w:rsid w:val="00B846AF"/>
    <w:rsid w:val="00C413B5"/>
    <w:rsid w:val="00C44530"/>
    <w:rsid w:val="00C64DF0"/>
    <w:rsid w:val="00CA440E"/>
    <w:rsid w:val="00D91DC5"/>
    <w:rsid w:val="00DD2E68"/>
    <w:rsid w:val="00E161EB"/>
    <w:rsid w:val="00E1645E"/>
    <w:rsid w:val="00EB1834"/>
    <w:rsid w:val="00F17E83"/>
    <w:rsid w:val="00F902DE"/>
    <w:rsid w:val="00FB44C7"/>
    <w:rsid w:val="00FD19C3"/>
    <w:rsid w:val="00FD24A5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57C0E"/>
    <w:pPr>
      <w:widowControl/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57C0E"/>
    <w:rPr>
      <w:rFonts w:ascii="Calibri" w:eastAsia="Calibri" w:hAnsi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562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Gomes</dc:creator>
  <cp:lastModifiedBy>Marcos Vinicius Afonso Cabral</cp:lastModifiedBy>
  <cp:revision>6</cp:revision>
  <dcterms:created xsi:type="dcterms:W3CDTF">2024-10-30T14:13:00Z</dcterms:created>
  <dcterms:modified xsi:type="dcterms:W3CDTF">2024-11-30T00:20:00Z</dcterms:modified>
</cp:coreProperties>
</file>