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AF" w:rsidRPr="0020157C" w:rsidRDefault="0020157C" w:rsidP="00D01EFF">
      <w:pPr>
        <w:jc w:val="center"/>
        <w:rPr>
          <w:rFonts w:ascii="Arial" w:hAnsi="Arial" w:cs="Arial"/>
          <w:b/>
          <w:sz w:val="20"/>
          <w:szCs w:val="20"/>
        </w:rPr>
      </w:pPr>
      <w:r w:rsidRPr="0020157C">
        <w:rPr>
          <w:rFonts w:ascii="Arial" w:hAnsi="Arial" w:cs="Arial"/>
          <w:b/>
          <w:sz w:val="20"/>
          <w:szCs w:val="20"/>
        </w:rPr>
        <w:t xml:space="preserve">XADREZ E A INTELIGÊNCIA: UMA ANÁLISE </w:t>
      </w:r>
      <w:r>
        <w:rPr>
          <w:rFonts w:ascii="Arial" w:hAnsi="Arial" w:cs="Arial"/>
          <w:b/>
          <w:sz w:val="20"/>
          <w:szCs w:val="20"/>
        </w:rPr>
        <w:t>PELO EXPERIMENTO IDEAL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 w:rsidRPr="0020157C">
        <w:rPr>
          <w:rFonts w:ascii="Arial" w:hAnsi="Arial" w:cs="Arial"/>
          <w:b/>
          <w:sz w:val="20"/>
          <w:szCs w:val="20"/>
        </w:rPr>
        <w:t xml:space="preserve"> </w:t>
      </w:r>
    </w:p>
    <w:p w:rsidR="00D01EFF" w:rsidRPr="001958C6" w:rsidRDefault="00D01EFF" w:rsidP="00D01EFF">
      <w:pPr>
        <w:jc w:val="right"/>
        <w:rPr>
          <w:rFonts w:ascii="Arial" w:hAnsi="Arial" w:cs="Arial"/>
          <w:sz w:val="20"/>
          <w:szCs w:val="20"/>
        </w:rPr>
      </w:pPr>
      <w:proofErr w:type="gramEnd"/>
      <w:r w:rsidRPr="001958C6">
        <w:rPr>
          <w:rFonts w:ascii="Arial" w:hAnsi="Arial" w:cs="Arial"/>
          <w:sz w:val="20"/>
          <w:szCs w:val="20"/>
        </w:rPr>
        <w:t xml:space="preserve">Cleiton Marino Santana </w:t>
      </w:r>
    </w:p>
    <w:p w:rsidR="00D01EFF" w:rsidRPr="001958C6" w:rsidRDefault="001958C6" w:rsidP="00D01EFF">
      <w:pPr>
        <w:jc w:val="right"/>
        <w:rPr>
          <w:rFonts w:ascii="Arial" w:hAnsi="Arial" w:cs="Arial"/>
          <w:sz w:val="20"/>
          <w:szCs w:val="20"/>
        </w:rPr>
      </w:pPr>
      <w:r w:rsidRPr="001958C6">
        <w:rPr>
          <w:rFonts w:ascii="Arial" w:hAnsi="Arial" w:cs="Arial"/>
          <w:sz w:val="20"/>
          <w:szCs w:val="20"/>
        </w:rPr>
        <w:t>Gabriel José Corrêa Mograbi</w:t>
      </w:r>
    </w:p>
    <w:p w:rsidR="0020157C" w:rsidRPr="0020157C" w:rsidRDefault="0020157C" w:rsidP="0020157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157C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0157C">
        <w:rPr>
          <w:rFonts w:ascii="Arial" w:hAnsi="Arial" w:cs="Arial"/>
          <w:sz w:val="24"/>
          <w:szCs w:val="24"/>
        </w:rPr>
        <w:t>Nos últimos anos, ensino de xadrez, instrução musical e treinamento em memória de trabalho foram reivindicados como sendo capazes de treinar habilidades de domínio geral (por exemplo, raciocínio fluído/ inteligência)</w:t>
      </w:r>
      <w:r>
        <w:rPr>
          <w:rFonts w:ascii="Arial" w:hAnsi="Arial" w:cs="Arial"/>
          <w:sz w:val="24"/>
          <w:szCs w:val="24"/>
        </w:rPr>
        <w:t xml:space="preserve">. </w:t>
      </w:r>
      <w:r w:rsidRPr="0020157C">
        <w:rPr>
          <w:rFonts w:ascii="Arial" w:hAnsi="Arial" w:cs="Arial"/>
          <w:sz w:val="24"/>
          <w:szCs w:val="24"/>
        </w:rPr>
        <w:t xml:space="preserve"> </w:t>
      </w:r>
      <w:r w:rsidRPr="0020157C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</w:t>
      </w:r>
      <w:r w:rsidRPr="0020157C">
        <w:rPr>
          <w:rFonts w:ascii="Arial" w:hAnsi="Arial" w:cs="Arial"/>
          <w:sz w:val="24"/>
          <w:szCs w:val="24"/>
        </w:rPr>
        <w:t>Assim, o objetivo desse trabalho é verificar o impacto do xadrez sobre as habilidades cognitivas de crianças de 8 a 10 anos, do 3º e 5º ano, por meio de escala de inteligência “Wechsler para crianças – Quarta Edição”. Foram selecionados 45 alunos de 8 a 10 anos, cursando do 3º ao 5º ano do ensino fundamental. Os alunos foram divididos aleatoriamente em três grupos: “Grupo Xadrez”, “Grupo Jogos</w:t>
      </w:r>
      <w:r>
        <w:rPr>
          <w:rFonts w:ascii="Arial" w:hAnsi="Arial" w:cs="Arial"/>
          <w:sz w:val="24"/>
          <w:szCs w:val="24"/>
        </w:rPr>
        <w:t>” (</w:t>
      </w:r>
      <w:r w:rsidRPr="0020157C">
        <w:rPr>
          <w:rFonts w:ascii="Arial" w:hAnsi="Arial" w:cs="Arial"/>
          <w:sz w:val="24"/>
          <w:szCs w:val="24"/>
        </w:rPr>
        <w:t>ludo, dama, batalha naval, reversi e gamão</w:t>
      </w:r>
      <w:r>
        <w:rPr>
          <w:rFonts w:ascii="Arial" w:hAnsi="Arial" w:cs="Arial"/>
          <w:sz w:val="24"/>
          <w:szCs w:val="24"/>
        </w:rPr>
        <w:t xml:space="preserve">) </w:t>
      </w:r>
      <w:r w:rsidRPr="0020157C">
        <w:rPr>
          <w:rFonts w:ascii="Arial" w:hAnsi="Arial" w:cs="Arial"/>
          <w:sz w:val="24"/>
          <w:szCs w:val="24"/>
        </w:rPr>
        <w:t>e “Grupo Sem intervenção</w:t>
      </w:r>
      <w:r>
        <w:rPr>
          <w:rFonts w:ascii="Arial" w:hAnsi="Arial" w:cs="Arial"/>
          <w:sz w:val="24"/>
          <w:szCs w:val="24"/>
        </w:rPr>
        <w:t>”, todos receberam 34 horas de intervenção. A</w:t>
      </w:r>
      <w:r w:rsidRPr="0020157C">
        <w:rPr>
          <w:rFonts w:ascii="Arial" w:hAnsi="Arial" w:cs="Arial"/>
          <w:sz w:val="24"/>
          <w:szCs w:val="24"/>
        </w:rPr>
        <w:t xml:space="preserve"> pesquisa se baseou no método “experimento ideal” descrito por Gobet e Campitelli (2006)</w:t>
      </w:r>
      <w:r>
        <w:rPr>
          <w:rFonts w:ascii="Arial" w:hAnsi="Arial" w:cs="Arial"/>
          <w:sz w:val="24"/>
          <w:szCs w:val="24"/>
        </w:rPr>
        <w:t xml:space="preserve">. </w:t>
      </w:r>
      <w:r w:rsidRPr="0020157C">
        <w:rPr>
          <w:rFonts w:ascii="Arial" w:hAnsi="Arial" w:cs="Arial"/>
          <w:sz w:val="24"/>
          <w:szCs w:val="24"/>
        </w:rPr>
        <w:t>, que propõe cuidados específicos, quanto à</w:t>
      </w:r>
      <w:r>
        <w:rPr>
          <w:rFonts w:ascii="Arial" w:hAnsi="Arial" w:cs="Arial"/>
          <w:sz w:val="24"/>
          <w:szCs w:val="24"/>
        </w:rPr>
        <w:t xml:space="preserve"> organização aleatória dos. Resultados: </w:t>
      </w:r>
      <w:r w:rsidRPr="0020157C">
        <w:rPr>
          <w:rFonts w:ascii="Arial" w:hAnsi="Arial" w:cs="Arial"/>
          <w:sz w:val="24"/>
          <w:szCs w:val="24"/>
        </w:rPr>
        <w:t xml:space="preserve">Os resultados mostraram que não houve evolução média geral no QI Total no “Grupo Xadrez” e no “Grupo Jogos” contrariando a hipótese inicial. Porém, quando analisados individualmente, os subtestes, notam-se algumas diferenças positivas significativas: o “Grupo Xadrez” apresentou resultados significativos nos subtestes “Cancelamento” e “Códigos”, confirmando parcialmente nossa hipótese. “O Grupo Xadrez” revelou resultados significativos superiores ao Grupo Sem intervenção no índice IOP </w:t>
      </w:r>
      <w:r w:rsidRPr="0020157C">
        <w:rPr>
          <w:rFonts w:ascii="Arial" w:hAnsi="Arial" w:cs="Arial"/>
          <w:iCs/>
          <w:sz w:val="24"/>
          <w:szCs w:val="24"/>
        </w:rPr>
        <w:t>e</w:t>
      </w:r>
      <w:r w:rsidRPr="0020157C">
        <w:rPr>
          <w:rFonts w:ascii="Arial" w:hAnsi="Arial" w:cs="Arial"/>
          <w:i/>
          <w:sz w:val="24"/>
          <w:szCs w:val="24"/>
        </w:rPr>
        <w:t xml:space="preserve"> </w:t>
      </w:r>
      <w:r w:rsidRPr="0020157C">
        <w:rPr>
          <w:rFonts w:ascii="Arial" w:hAnsi="Arial" w:cs="Arial"/>
          <w:sz w:val="24"/>
          <w:szCs w:val="24"/>
        </w:rPr>
        <w:t xml:space="preserve">nos subtestes de Raciocínio Matricial na análise </w:t>
      </w:r>
      <w:r w:rsidRPr="0020157C">
        <w:rPr>
          <w:rFonts w:ascii="Arial" w:hAnsi="Arial" w:cs="Arial"/>
          <w:i/>
          <w:iCs/>
          <w:sz w:val="24"/>
          <w:szCs w:val="24"/>
        </w:rPr>
        <w:t>Two-way</w:t>
      </w:r>
      <w:r w:rsidRPr="0020157C">
        <w:rPr>
          <w:rFonts w:ascii="Arial" w:hAnsi="Arial" w:cs="Arial"/>
          <w:sz w:val="24"/>
          <w:szCs w:val="24"/>
        </w:rPr>
        <w:t xml:space="preserve"> - </w:t>
      </w:r>
      <w:r w:rsidRPr="0020157C">
        <w:rPr>
          <w:rFonts w:ascii="Arial" w:hAnsi="Arial" w:cs="Arial"/>
          <w:i/>
          <w:sz w:val="24"/>
          <w:szCs w:val="24"/>
        </w:rPr>
        <w:t xml:space="preserve">U de Mann-Whitney; d de Cohen, </w:t>
      </w:r>
      <w:r w:rsidRPr="0020157C">
        <w:rPr>
          <w:rFonts w:ascii="Arial" w:hAnsi="Arial" w:cs="Arial"/>
          <w:iCs/>
          <w:sz w:val="24"/>
          <w:szCs w:val="24"/>
        </w:rPr>
        <w:t>também, corroborando parcialmente nossa hipótese</w:t>
      </w:r>
      <w:r w:rsidRPr="0020157C">
        <w:rPr>
          <w:rFonts w:ascii="Arial" w:hAnsi="Arial" w:cs="Arial"/>
          <w:i/>
          <w:sz w:val="24"/>
          <w:szCs w:val="24"/>
        </w:rPr>
        <w:t xml:space="preserve">. </w:t>
      </w:r>
      <w:r w:rsidRPr="0020157C">
        <w:rPr>
          <w:rFonts w:ascii="Arial" w:hAnsi="Arial" w:cs="Arial"/>
          <w:sz w:val="24"/>
          <w:szCs w:val="24"/>
        </w:rPr>
        <w:t xml:space="preserve">O “Grupo Xadrez” apresentou resultados significativos superiores ao “Grupo Jogos” nos: índices IVP na análise </w:t>
      </w:r>
      <w:r w:rsidRPr="0020157C">
        <w:rPr>
          <w:rFonts w:ascii="Arial" w:hAnsi="Arial" w:cs="Arial"/>
          <w:i/>
          <w:iCs/>
          <w:sz w:val="24"/>
          <w:szCs w:val="24"/>
        </w:rPr>
        <w:t>Three-Way-</w:t>
      </w:r>
      <w:r w:rsidRPr="0020157C">
        <w:rPr>
          <w:rFonts w:ascii="Arial" w:hAnsi="Arial" w:cs="Arial"/>
          <w:sz w:val="24"/>
          <w:szCs w:val="24"/>
        </w:rPr>
        <w:t xml:space="preserve">ANOVA e nos índices IOP e IVP na análise </w:t>
      </w:r>
      <w:r w:rsidRPr="0020157C">
        <w:rPr>
          <w:rFonts w:ascii="Arial" w:hAnsi="Arial" w:cs="Arial"/>
          <w:i/>
          <w:iCs/>
          <w:sz w:val="24"/>
          <w:szCs w:val="24"/>
        </w:rPr>
        <w:t xml:space="preserve">Two-way-Mann-Withney: d de Cohen </w:t>
      </w:r>
      <w:r w:rsidRPr="0020157C">
        <w:rPr>
          <w:rFonts w:ascii="Arial" w:hAnsi="Arial" w:cs="Arial"/>
          <w:iCs/>
          <w:sz w:val="24"/>
          <w:szCs w:val="24"/>
        </w:rPr>
        <w:t>nos</w:t>
      </w:r>
      <w:r w:rsidRPr="0020157C">
        <w:rPr>
          <w:rFonts w:ascii="Arial" w:hAnsi="Arial" w:cs="Arial"/>
          <w:sz w:val="24"/>
          <w:szCs w:val="24"/>
        </w:rPr>
        <w:t xml:space="preserve"> subtestes de “Conceitos Figurativos” e Procurar Símbolos na análise </w:t>
      </w:r>
      <w:r w:rsidRPr="0020157C">
        <w:rPr>
          <w:rFonts w:ascii="Arial" w:hAnsi="Arial" w:cs="Arial"/>
          <w:i/>
          <w:iCs/>
          <w:sz w:val="24"/>
          <w:szCs w:val="24"/>
        </w:rPr>
        <w:t>Three-Way</w:t>
      </w:r>
      <w:r w:rsidRPr="0020157C">
        <w:rPr>
          <w:rFonts w:ascii="Arial" w:hAnsi="Arial" w:cs="Arial"/>
          <w:sz w:val="24"/>
          <w:szCs w:val="24"/>
        </w:rPr>
        <w:t xml:space="preserve">-ANOVA e nos subtestes de “Conceitos Figurativos”, “Aritmética”, “Completar Figuras”, “Semelhanças”, “Informação”, “Procurar Símbolos” e “Raciocínio Matricial” na análise </w:t>
      </w:r>
      <w:r w:rsidRPr="0020157C">
        <w:rPr>
          <w:rFonts w:ascii="Arial" w:hAnsi="Arial" w:cs="Arial"/>
          <w:i/>
          <w:iCs/>
          <w:sz w:val="24"/>
          <w:szCs w:val="24"/>
        </w:rPr>
        <w:t xml:space="preserve">Two-way </w:t>
      </w:r>
      <w:r w:rsidRPr="0020157C">
        <w:rPr>
          <w:rFonts w:ascii="Arial" w:hAnsi="Arial" w:cs="Arial"/>
          <w:i/>
          <w:sz w:val="24"/>
          <w:szCs w:val="24"/>
        </w:rPr>
        <w:t xml:space="preserve">U de Mann-Whitney; d de Cohen, </w:t>
      </w:r>
      <w:proofErr w:type="gramStart"/>
      <w:r w:rsidRPr="0020157C">
        <w:rPr>
          <w:rFonts w:ascii="Arial" w:hAnsi="Arial" w:cs="Arial"/>
          <w:iCs/>
          <w:sz w:val="24"/>
          <w:szCs w:val="24"/>
        </w:rPr>
        <w:t>outrossim</w:t>
      </w:r>
      <w:proofErr w:type="gramEnd"/>
      <w:r w:rsidRPr="0020157C">
        <w:rPr>
          <w:rFonts w:ascii="Arial" w:hAnsi="Arial" w:cs="Arial"/>
          <w:iCs/>
          <w:sz w:val="24"/>
          <w:szCs w:val="24"/>
        </w:rPr>
        <w:t>, vindicando parcialmente nossa hipótese</w:t>
      </w:r>
      <w:r w:rsidRPr="0020157C">
        <w:rPr>
          <w:rFonts w:ascii="Arial" w:hAnsi="Arial" w:cs="Arial"/>
          <w:i/>
          <w:sz w:val="24"/>
          <w:szCs w:val="24"/>
        </w:rPr>
        <w:t xml:space="preserve">. </w:t>
      </w:r>
      <w:r w:rsidRPr="0020157C">
        <w:rPr>
          <w:rFonts w:ascii="Arial" w:hAnsi="Arial" w:cs="Arial"/>
          <w:b/>
          <w:sz w:val="24"/>
          <w:szCs w:val="24"/>
        </w:rPr>
        <w:t>Conclusão: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0157C">
        <w:rPr>
          <w:rFonts w:ascii="Arial" w:hAnsi="Arial" w:cs="Arial"/>
          <w:sz w:val="24"/>
          <w:szCs w:val="24"/>
        </w:rPr>
        <w:t xml:space="preserve">Apesar de o estudo apresentar algumas limitações devidas às vicissitudes do ambiente escolar e à pandemia do covid-19, o “experimento ideal”, ainda com nossas melhorias, confirmou-se como um forte instrumento metodológico de pesquisa e os resultados confirmaram várias hipóteses iniciais de que o xadrez pode contribuir para desenvolver habilidades cognitivas. </w:t>
      </w:r>
    </w:p>
    <w:p w:rsidR="00D01EFF" w:rsidRPr="00D01EFF" w:rsidRDefault="00760133" w:rsidP="00D40BD7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Palavras – chave: Xadrez, Inteligência, alunos</w:t>
      </w:r>
      <w:bookmarkEnd w:id="0"/>
      <w:r>
        <w:rPr>
          <w:rFonts w:ascii="Arial" w:hAnsi="Arial" w:cs="Arial"/>
        </w:rPr>
        <w:t xml:space="preserve">. </w:t>
      </w:r>
    </w:p>
    <w:sectPr w:rsidR="00D01EFF" w:rsidRPr="00D01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FF"/>
    <w:rsid w:val="001958C6"/>
    <w:rsid w:val="0020157C"/>
    <w:rsid w:val="00393AEC"/>
    <w:rsid w:val="005736FE"/>
    <w:rsid w:val="00760133"/>
    <w:rsid w:val="00A51652"/>
    <w:rsid w:val="00D01EFF"/>
    <w:rsid w:val="00D40BD7"/>
    <w:rsid w:val="00EA4CAF"/>
    <w:rsid w:val="00EA5EEB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1958C6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1958C6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2020-12-13T03:32:00Z</dcterms:created>
  <dcterms:modified xsi:type="dcterms:W3CDTF">2020-12-13T04:03:00Z</dcterms:modified>
</cp:coreProperties>
</file>