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622D" w14:textId="77777777" w:rsidR="00D46468" w:rsidRDefault="00D46468" w:rsidP="003949CE">
      <w:pPr>
        <w:pBdr>
          <w:bottom w:val="none" w:sz="0" w:space="8" w:color="000000"/>
        </w:pBdr>
        <w:shd w:val="clear" w:color="auto" w:fill="FFFFFF"/>
        <w:tabs>
          <w:tab w:val="left" w:pos="2500"/>
        </w:tabs>
        <w:jc w:val="center"/>
        <w:rPr>
          <w:b/>
          <w:sz w:val="24"/>
          <w:szCs w:val="24"/>
        </w:rPr>
      </w:pPr>
    </w:p>
    <w:p w14:paraId="43C9847F" w14:textId="6E63C199" w:rsidR="003949CE" w:rsidRDefault="00D46468" w:rsidP="003949CE">
      <w:pPr>
        <w:pBdr>
          <w:bottom w:val="none" w:sz="0" w:space="8" w:color="000000"/>
        </w:pBdr>
        <w:shd w:val="clear" w:color="auto" w:fill="FFFFFF"/>
        <w:tabs>
          <w:tab w:val="left" w:pos="2500"/>
        </w:tabs>
        <w:jc w:val="center"/>
        <w:rPr>
          <w:b/>
          <w:sz w:val="24"/>
          <w:szCs w:val="24"/>
        </w:rPr>
      </w:pPr>
      <w:r w:rsidRPr="00D46468">
        <w:rPr>
          <w:b/>
          <w:sz w:val="24"/>
          <w:szCs w:val="24"/>
        </w:rPr>
        <w:t>RENDIMENTO VOLUMÉTRICO DE MADEIRAS AMAZÔNICAS DESDOBRADAS NO NORDESTE PARAENSE</w:t>
      </w:r>
    </w:p>
    <w:p w14:paraId="2F212F3E" w14:textId="2C9521C6" w:rsidR="003949CE" w:rsidRDefault="00D46468" w:rsidP="003949CE">
      <w:pPr>
        <w:shd w:val="clear" w:color="auto" w:fill="FFFFFF"/>
        <w:tabs>
          <w:tab w:val="left" w:pos="2500"/>
        </w:tabs>
        <w:jc w:val="center"/>
        <w:rPr>
          <w:color w:val="FF0000"/>
          <w:sz w:val="24"/>
          <w:szCs w:val="24"/>
        </w:rPr>
      </w:pPr>
      <w:r>
        <w:rPr>
          <w:sz w:val="24"/>
          <w:szCs w:val="24"/>
        </w:rPr>
        <w:t>Beatriz Almeida Lima</w:t>
      </w:r>
      <w:r w:rsidR="003949CE">
        <w:rPr>
          <w:sz w:val="24"/>
          <w:szCs w:val="24"/>
          <w:vertAlign w:val="superscript"/>
        </w:rPr>
        <w:t>1</w:t>
      </w:r>
      <w:r w:rsidR="003949CE">
        <w:rPr>
          <w:sz w:val="24"/>
          <w:szCs w:val="24"/>
        </w:rPr>
        <w:t>;</w:t>
      </w:r>
      <w:r w:rsidRPr="00D46468">
        <w:t xml:space="preserve"> </w:t>
      </w:r>
      <w:r w:rsidR="00267849" w:rsidRPr="00267849">
        <w:rPr>
          <w:sz w:val="24"/>
          <w:szCs w:val="24"/>
        </w:rPr>
        <w:t>Elder Iarllen Chaves Elias</w:t>
      </w:r>
      <w:r w:rsidR="00267849" w:rsidRPr="00267849">
        <w:rPr>
          <w:sz w:val="24"/>
          <w:szCs w:val="24"/>
          <w:vertAlign w:val="superscript"/>
        </w:rPr>
        <w:t>2</w:t>
      </w:r>
      <w:r w:rsidR="004713D9">
        <w:rPr>
          <w:sz w:val="24"/>
          <w:szCs w:val="24"/>
        </w:rPr>
        <w:t>; Ri</w:t>
      </w:r>
      <w:r w:rsidRPr="00D46468">
        <w:rPr>
          <w:sz w:val="24"/>
          <w:szCs w:val="24"/>
        </w:rPr>
        <w:t>cardo Moraes de Melo</w:t>
      </w:r>
      <w:r w:rsidR="00267849">
        <w:rPr>
          <w:sz w:val="24"/>
          <w:szCs w:val="24"/>
          <w:vertAlign w:val="superscript"/>
        </w:rPr>
        <w:t>3</w:t>
      </w:r>
      <w:r w:rsidR="003949CE">
        <w:rPr>
          <w:sz w:val="24"/>
          <w:szCs w:val="24"/>
        </w:rPr>
        <w:t xml:space="preserve">; </w:t>
      </w:r>
      <w:r w:rsidR="00DA057E" w:rsidRPr="00DA057E">
        <w:rPr>
          <w:sz w:val="24"/>
          <w:szCs w:val="24"/>
        </w:rPr>
        <w:t>Maria Isabele Tavares da Silva Araujo</w:t>
      </w:r>
      <w:r w:rsidR="00DA057E" w:rsidRPr="00DA057E">
        <w:rPr>
          <w:sz w:val="24"/>
          <w:szCs w:val="24"/>
          <w:vertAlign w:val="superscript"/>
        </w:rPr>
        <w:t>4</w:t>
      </w:r>
      <w:r w:rsidR="00DA057E" w:rsidRPr="00112FD0">
        <w:rPr>
          <w:sz w:val="24"/>
          <w:szCs w:val="24"/>
        </w:rPr>
        <w:t>;</w:t>
      </w:r>
      <w:r w:rsidR="00112FD0">
        <w:rPr>
          <w:sz w:val="24"/>
          <w:szCs w:val="24"/>
        </w:rPr>
        <w:t xml:space="preserve"> </w:t>
      </w:r>
      <w:r w:rsidR="00F15FCE" w:rsidRPr="00F15FCE">
        <w:rPr>
          <w:sz w:val="24"/>
          <w:szCs w:val="24"/>
        </w:rPr>
        <w:t>Ana Clara Rollemberg Rocha</w:t>
      </w:r>
      <w:r w:rsidR="00F15FCE" w:rsidRPr="00F15FCE">
        <w:rPr>
          <w:sz w:val="24"/>
          <w:szCs w:val="24"/>
          <w:vertAlign w:val="superscript"/>
        </w:rPr>
        <w:t>5</w:t>
      </w:r>
      <w:r w:rsidR="00F15FCE">
        <w:rPr>
          <w:sz w:val="24"/>
          <w:szCs w:val="24"/>
        </w:rPr>
        <w:t xml:space="preserve">; </w:t>
      </w:r>
      <w:r w:rsidR="00FE5E50">
        <w:rPr>
          <w:sz w:val="24"/>
          <w:szCs w:val="24"/>
        </w:rPr>
        <w:t xml:space="preserve"> </w:t>
      </w:r>
      <w:r w:rsidR="00F15FCE" w:rsidRPr="00F15FCE">
        <w:rPr>
          <w:sz w:val="24"/>
          <w:szCs w:val="24"/>
        </w:rPr>
        <w:t>Mileny Barros Pessoa</w:t>
      </w:r>
      <w:r w:rsidR="00F15FCE" w:rsidRPr="00F15FCE">
        <w:rPr>
          <w:sz w:val="24"/>
          <w:szCs w:val="24"/>
          <w:vertAlign w:val="superscript"/>
        </w:rPr>
        <w:t>6</w:t>
      </w:r>
      <w:r w:rsidR="00F15FCE">
        <w:rPr>
          <w:sz w:val="24"/>
          <w:szCs w:val="24"/>
        </w:rPr>
        <w:t xml:space="preserve">; </w:t>
      </w:r>
      <w:r w:rsidR="00112FD0">
        <w:rPr>
          <w:sz w:val="24"/>
          <w:szCs w:val="24"/>
          <w:u w:val="single"/>
        </w:rPr>
        <w:t>I</w:t>
      </w:r>
      <w:r w:rsidRPr="00D46468">
        <w:rPr>
          <w:sz w:val="24"/>
          <w:szCs w:val="24"/>
          <w:u w:val="single"/>
        </w:rPr>
        <w:t>êdo Souza Santos</w:t>
      </w:r>
      <w:r w:rsidR="00F15FCE">
        <w:rPr>
          <w:sz w:val="24"/>
          <w:szCs w:val="24"/>
          <w:u w:val="single"/>
          <w:vertAlign w:val="superscript"/>
        </w:rPr>
        <w:t>7</w:t>
      </w:r>
    </w:p>
    <w:p w14:paraId="488A52A5" w14:textId="77777777" w:rsidR="003949CE" w:rsidRDefault="003949CE" w:rsidP="00267849">
      <w:pPr>
        <w:shd w:val="clear" w:color="auto" w:fill="FFFFFF"/>
        <w:tabs>
          <w:tab w:val="left" w:pos="2500"/>
        </w:tabs>
        <w:rPr>
          <w:b/>
          <w:color w:val="FF0000"/>
          <w:sz w:val="24"/>
          <w:szCs w:val="24"/>
        </w:rPr>
      </w:pPr>
    </w:p>
    <w:p w14:paraId="7D915DB4" w14:textId="15C05C23" w:rsidR="003949CE" w:rsidRDefault="003949CE" w:rsidP="0027231C">
      <w:pPr>
        <w:keepLines/>
        <w:shd w:val="clear" w:color="auto" w:fill="FFFFFF"/>
        <w:tabs>
          <w:tab w:val="left" w:pos="2500"/>
        </w:tabs>
        <w:jc w:val="center"/>
        <w:rPr>
          <w:sz w:val="24"/>
          <w:szCs w:val="24"/>
        </w:rPr>
      </w:pPr>
      <w:r>
        <w:rPr>
          <w:sz w:val="24"/>
          <w:szCs w:val="24"/>
          <w:vertAlign w:val="superscript"/>
        </w:rPr>
        <w:t xml:space="preserve">1 </w:t>
      </w:r>
      <w:bookmarkStart w:id="0" w:name="_Hlk215081061"/>
      <w:r w:rsidR="00D46468">
        <w:rPr>
          <w:sz w:val="24"/>
          <w:szCs w:val="24"/>
        </w:rPr>
        <w:t xml:space="preserve">Graduanda </w:t>
      </w:r>
      <w:r w:rsidR="002117BF">
        <w:rPr>
          <w:sz w:val="24"/>
          <w:szCs w:val="24"/>
        </w:rPr>
        <w:t xml:space="preserve">de Bacharelado em </w:t>
      </w:r>
      <w:r w:rsidR="00D46468">
        <w:rPr>
          <w:sz w:val="24"/>
          <w:szCs w:val="24"/>
        </w:rPr>
        <w:t>Engenharia Florestal</w:t>
      </w:r>
      <w:r>
        <w:rPr>
          <w:sz w:val="24"/>
          <w:szCs w:val="24"/>
        </w:rPr>
        <w:t>.</w:t>
      </w:r>
      <w:r w:rsidR="00D46468">
        <w:rPr>
          <w:sz w:val="24"/>
          <w:szCs w:val="24"/>
        </w:rPr>
        <w:t xml:space="preserve"> Universidade do Estado do Pará</w:t>
      </w:r>
      <w:r>
        <w:rPr>
          <w:sz w:val="24"/>
          <w:szCs w:val="24"/>
        </w:rPr>
        <w:t>.</w:t>
      </w:r>
      <w:r w:rsidR="00D46468">
        <w:rPr>
          <w:sz w:val="24"/>
          <w:szCs w:val="24"/>
        </w:rPr>
        <w:t xml:space="preserve"> </w:t>
      </w:r>
      <w:bookmarkEnd w:id="0"/>
      <w:r w:rsidR="00D46468">
        <w:rPr>
          <w:sz w:val="24"/>
          <w:szCs w:val="24"/>
        </w:rPr>
        <w:t>Beatriz.alima@aluno.uepa,br</w:t>
      </w:r>
      <w:r>
        <w:rPr>
          <w:sz w:val="24"/>
          <w:szCs w:val="24"/>
        </w:rPr>
        <w:t>.</w:t>
      </w:r>
    </w:p>
    <w:p w14:paraId="21B66EFA" w14:textId="263124A9" w:rsidR="004C491E" w:rsidRDefault="004C491E" w:rsidP="0027231C">
      <w:pPr>
        <w:keepLines/>
        <w:pBdr>
          <w:bottom w:val="none" w:sz="0" w:space="8" w:color="000000"/>
        </w:pBdr>
        <w:shd w:val="clear" w:color="auto" w:fill="FFFFFF"/>
        <w:tabs>
          <w:tab w:val="left" w:pos="2500"/>
        </w:tabs>
        <w:jc w:val="center"/>
        <w:rPr>
          <w:sz w:val="24"/>
          <w:szCs w:val="24"/>
        </w:rPr>
      </w:pPr>
      <w:r w:rsidRPr="004D62A9">
        <w:rPr>
          <w:sz w:val="24"/>
          <w:szCs w:val="24"/>
          <w:vertAlign w:val="superscript"/>
        </w:rPr>
        <w:t>2</w:t>
      </w:r>
      <w:r w:rsidR="004D62A9">
        <w:rPr>
          <w:sz w:val="24"/>
          <w:szCs w:val="24"/>
        </w:rPr>
        <w:t xml:space="preserve"> </w:t>
      </w:r>
      <w:bookmarkStart w:id="1" w:name="_Hlk215080557"/>
      <w:r w:rsidRPr="004C491E">
        <w:rPr>
          <w:sz w:val="24"/>
          <w:szCs w:val="24"/>
        </w:rPr>
        <w:t>Graduando de Bacharelado em Engenharia Florestal. Universidade do Estado do Pará.</w:t>
      </w:r>
      <w:bookmarkEnd w:id="1"/>
    </w:p>
    <w:p w14:paraId="7B0DC087" w14:textId="1BBBF97B" w:rsidR="0006451A" w:rsidRDefault="007D721F" w:rsidP="0027231C">
      <w:pPr>
        <w:keepLines/>
        <w:pBdr>
          <w:bottom w:val="none" w:sz="0" w:space="8" w:color="000000"/>
        </w:pBdr>
        <w:shd w:val="clear" w:color="auto" w:fill="FFFFFF"/>
        <w:tabs>
          <w:tab w:val="left" w:pos="2500"/>
        </w:tabs>
        <w:jc w:val="center"/>
        <w:rPr>
          <w:sz w:val="24"/>
          <w:szCs w:val="24"/>
        </w:rPr>
      </w:pPr>
      <w:r w:rsidRPr="00A6707E">
        <w:rPr>
          <w:sz w:val="24"/>
          <w:szCs w:val="24"/>
          <w:vertAlign w:val="superscript"/>
        </w:rPr>
        <w:t>3</w:t>
      </w:r>
      <w:r w:rsidR="00614295">
        <w:rPr>
          <w:sz w:val="24"/>
          <w:szCs w:val="24"/>
        </w:rPr>
        <w:t xml:space="preserve"> </w:t>
      </w:r>
      <w:r w:rsidR="0006451A" w:rsidRPr="004C491E">
        <w:rPr>
          <w:sz w:val="24"/>
          <w:szCs w:val="24"/>
        </w:rPr>
        <w:t>Bacharel em Engenharia Florestal. Universidade do Estado do Pará.</w:t>
      </w:r>
    </w:p>
    <w:p w14:paraId="1AD20835" w14:textId="0A8A47D8" w:rsidR="00A6707E" w:rsidRDefault="006515FD" w:rsidP="0027231C">
      <w:pPr>
        <w:keepLines/>
        <w:pBdr>
          <w:bottom w:val="none" w:sz="0" w:space="8" w:color="000000"/>
        </w:pBdr>
        <w:shd w:val="clear" w:color="auto" w:fill="FFFFFF"/>
        <w:tabs>
          <w:tab w:val="left" w:pos="2500"/>
        </w:tabs>
        <w:jc w:val="center"/>
        <w:rPr>
          <w:sz w:val="24"/>
          <w:szCs w:val="24"/>
        </w:rPr>
      </w:pPr>
      <w:r w:rsidRPr="006515FD">
        <w:rPr>
          <w:sz w:val="24"/>
          <w:szCs w:val="24"/>
          <w:vertAlign w:val="superscript"/>
        </w:rPr>
        <w:t>4</w:t>
      </w:r>
      <w:r w:rsidR="00614295">
        <w:rPr>
          <w:sz w:val="24"/>
          <w:szCs w:val="24"/>
          <w:vertAlign w:val="superscript"/>
        </w:rPr>
        <w:t xml:space="preserve"> </w:t>
      </w:r>
      <w:r w:rsidR="00D01409" w:rsidRPr="00D01409">
        <w:rPr>
          <w:sz w:val="24"/>
          <w:szCs w:val="24"/>
        </w:rPr>
        <w:t>Mestranda</w:t>
      </w:r>
      <w:r w:rsidR="00F04243" w:rsidRPr="00F04243">
        <w:t xml:space="preserve"> </w:t>
      </w:r>
      <w:r w:rsidR="00F04243" w:rsidRPr="00F04243">
        <w:rPr>
          <w:sz w:val="24"/>
          <w:szCs w:val="24"/>
        </w:rPr>
        <w:t>em Tecnologia, Recursos Naturais e Sustentabilidade na Amazônia</w:t>
      </w:r>
      <w:r w:rsidR="005B030E">
        <w:rPr>
          <w:sz w:val="24"/>
          <w:szCs w:val="24"/>
        </w:rPr>
        <w:t xml:space="preserve">. </w:t>
      </w:r>
      <w:r>
        <w:rPr>
          <w:sz w:val="24"/>
          <w:szCs w:val="24"/>
        </w:rPr>
        <w:t>Universidade do Estado do Pará</w:t>
      </w:r>
      <w:r w:rsidR="00CC6CAD">
        <w:rPr>
          <w:sz w:val="24"/>
          <w:szCs w:val="24"/>
        </w:rPr>
        <w:t>.</w:t>
      </w:r>
    </w:p>
    <w:p w14:paraId="524B2182" w14:textId="72260362" w:rsidR="00CC6CAD" w:rsidRDefault="00614295" w:rsidP="0027231C">
      <w:pPr>
        <w:keepLines/>
        <w:pBdr>
          <w:bottom w:val="none" w:sz="0" w:space="8" w:color="000000"/>
        </w:pBdr>
        <w:shd w:val="clear" w:color="auto" w:fill="FFFFFF"/>
        <w:tabs>
          <w:tab w:val="left" w:pos="2500"/>
        </w:tabs>
        <w:jc w:val="center"/>
        <w:rPr>
          <w:sz w:val="24"/>
          <w:szCs w:val="24"/>
        </w:rPr>
      </w:pPr>
      <w:r w:rsidRPr="00614295">
        <w:rPr>
          <w:sz w:val="24"/>
          <w:szCs w:val="24"/>
          <w:vertAlign w:val="superscript"/>
        </w:rPr>
        <w:t>5</w:t>
      </w:r>
      <w:r>
        <w:rPr>
          <w:sz w:val="24"/>
          <w:szCs w:val="24"/>
          <w:vertAlign w:val="superscript"/>
        </w:rPr>
        <w:t xml:space="preserve"> </w:t>
      </w:r>
      <w:r w:rsidR="00CC6CAD" w:rsidRPr="00CC6CAD">
        <w:rPr>
          <w:sz w:val="24"/>
          <w:szCs w:val="24"/>
        </w:rPr>
        <w:t>Graduanda de Bacharelado em Engenharia Florestal. Universidade do Estado do Pará.</w:t>
      </w:r>
    </w:p>
    <w:p w14:paraId="552B2CE9" w14:textId="375CB964" w:rsidR="00CC6CAD" w:rsidRDefault="00614295" w:rsidP="0027231C">
      <w:pPr>
        <w:keepLines/>
        <w:pBdr>
          <w:bottom w:val="none" w:sz="0" w:space="8" w:color="000000"/>
        </w:pBdr>
        <w:shd w:val="clear" w:color="auto" w:fill="FFFFFF"/>
        <w:tabs>
          <w:tab w:val="left" w:pos="2500"/>
        </w:tabs>
        <w:jc w:val="center"/>
        <w:rPr>
          <w:sz w:val="24"/>
          <w:szCs w:val="24"/>
        </w:rPr>
      </w:pPr>
      <w:r w:rsidRPr="00614295">
        <w:rPr>
          <w:sz w:val="24"/>
          <w:szCs w:val="24"/>
          <w:vertAlign w:val="superscript"/>
        </w:rPr>
        <w:t>6</w:t>
      </w:r>
      <w:r>
        <w:rPr>
          <w:sz w:val="24"/>
          <w:szCs w:val="24"/>
          <w:vertAlign w:val="superscript"/>
        </w:rPr>
        <w:t xml:space="preserve"> </w:t>
      </w:r>
      <w:r w:rsidR="00CC6CAD" w:rsidRPr="00CC6CAD">
        <w:rPr>
          <w:sz w:val="24"/>
          <w:szCs w:val="24"/>
        </w:rPr>
        <w:t>Graduanda de Bacharelado em Engenharia Florestal. Universidade do Estado do Pará.</w:t>
      </w:r>
    </w:p>
    <w:p w14:paraId="50A45DCF" w14:textId="36492D26" w:rsidR="004C491E" w:rsidRDefault="00CC6CAD" w:rsidP="0027231C">
      <w:pPr>
        <w:keepLines/>
        <w:pBdr>
          <w:bottom w:val="none" w:sz="0" w:space="8" w:color="000000"/>
        </w:pBdr>
        <w:shd w:val="clear" w:color="auto" w:fill="FFFFFF"/>
        <w:tabs>
          <w:tab w:val="left" w:pos="2500"/>
        </w:tabs>
        <w:jc w:val="center"/>
        <w:rPr>
          <w:sz w:val="24"/>
          <w:szCs w:val="24"/>
        </w:rPr>
      </w:pPr>
      <w:r>
        <w:rPr>
          <w:sz w:val="24"/>
          <w:szCs w:val="24"/>
          <w:vertAlign w:val="superscript"/>
        </w:rPr>
        <w:t>7</w:t>
      </w:r>
      <w:r w:rsidR="00614295">
        <w:rPr>
          <w:sz w:val="24"/>
          <w:szCs w:val="24"/>
        </w:rPr>
        <w:t xml:space="preserve"> </w:t>
      </w:r>
      <w:r w:rsidR="004D62A9">
        <w:rPr>
          <w:sz w:val="24"/>
          <w:szCs w:val="24"/>
        </w:rPr>
        <w:t>Doutor em</w:t>
      </w:r>
      <w:r w:rsidR="006F1061" w:rsidRPr="006F1061">
        <w:rPr>
          <w:sz w:val="24"/>
          <w:szCs w:val="24"/>
        </w:rPr>
        <w:t xml:space="preserve"> Engenharia da Produção</w:t>
      </w:r>
      <w:r w:rsidR="006F1061">
        <w:rPr>
          <w:sz w:val="24"/>
          <w:szCs w:val="24"/>
        </w:rPr>
        <w:t>. Universidade do Estado do Pará.</w:t>
      </w:r>
    </w:p>
    <w:p w14:paraId="59295633" w14:textId="77777777" w:rsidR="009D0B0A" w:rsidRDefault="009D0B0A" w:rsidP="003949CE">
      <w:pPr>
        <w:pBdr>
          <w:bottom w:val="none" w:sz="0" w:space="8" w:color="000000"/>
        </w:pBdr>
        <w:shd w:val="clear" w:color="auto" w:fill="FFFFFF"/>
        <w:tabs>
          <w:tab w:val="left" w:pos="2500"/>
        </w:tabs>
        <w:jc w:val="center"/>
        <w:rPr>
          <w:b/>
          <w:sz w:val="24"/>
          <w:szCs w:val="24"/>
          <w:u w:val="single"/>
        </w:rPr>
      </w:pPr>
    </w:p>
    <w:p w14:paraId="1EA4B476" w14:textId="3A33329C"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327F2901" w14:textId="2FB49A31" w:rsidR="00340764" w:rsidRDefault="009773FD" w:rsidP="009059DA">
      <w:pPr>
        <w:shd w:val="clear" w:color="auto" w:fill="FFFFFF"/>
        <w:tabs>
          <w:tab w:val="left" w:pos="2500"/>
        </w:tabs>
        <w:jc w:val="both"/>
        <w:rPr>
          <w:sz w:val="24"/>
          <w:szCs w:val="24"/>
        </w:rPr>
      </w:pPr>
      <w:r w:rsidRPr="009773FD">
        <w:rPr>
          <w:sz w:val="24"/>
          <w:szCs w:val="24"/>
        </w:rPr>
        <w:t>O setor madeireiro amazônico desempenha um papel fundamental na economia regional, porém enfrenta desafios relacionados ao baixo aproveitamento da matéria-prima e à elevada geração de resíduos durante o beneficiamento. Nesse contexto, o coeficiente de rendimento volumétrico (CRV) configura-se como um indicador essencial para avaliar a eficiência do processo de desdobro. Este estudo teve como objetivo avaliar o CRV de espécies madeireiras nativas beneficiadas em serrarias localizadas no município de São Miguel do Guamá, nordeste do Pará, comparando os valores obtidos com o limite estabelecido pela Resolução CONAMA nº 484/2018. As coletas foram realizadas em cinco serrarias de pequeno e médio porte. O volume das toras foi determinado pelo método de Smalian, e o rendimento foi calculado a partir da relação entre o volume de madeira serrada e o volume total das toras processadas. Foram analisadas nove espécies: Angelim-pedra, Angelim-vermelho, Copaíba, Cupiúba, Maçaranduba, Mururé, Piquiá, Tatajuba e Tauari. Os resultados mostraram que o Angelim-pedra apresentou o maior rendimento médio (52,55%), enquanto o Mururé obteve o menor (32,51%). A média geral de rendimento foi de 44,34%, valor próximo ao limite de 45% fixado pela legislação vigente. Apenas Angelim-pedra, Cupiúba e Tatajuba superaram o valor de referência, demonstrando melhor eficiência no aproveitamento da matéria-prima. Observou que a qualidade e as características anatômicas das toras influenciam diretamente o rendimento do desdobro.Os resultados reforçam a necessidade de padronização das toras por classes diamétricas e melhorias tecnológicas nas serrarias, visando otimizar o aproveitamento da madeira e reduzir perdas, contribuindo para a sustentabilidade do setor florestal amazônico.</w:t>
      </w:r>
    </w:p>
    <w:p w14:paraId="61EC03BE" w14:textId="77777777" w:rsidR="009773FD" w:rsidRPr="009773FD" w:rsidRDefault="009773FD" w:rsidP="009059DA">
      <w:pPr>
        <w:shd w:val="clear" w:color="auto" w:fill="FFFFFF"/>
        <w:tabs>
          <w:tab w:val="left" w:pos="2500"/>
        </w:tabs>
        <w:jc w:val="both"/>
        <w:rPr>
          <w:sz w:val="24"/>
          <w:szCs w:val="24"/>
        </w:rPr>
      </w:pPr>
    </w:p>
    <w:p w14:paraId="71340687" w14:textId="65E43C9E" w:rsidR="003949CE" w:rsidRDefault="003949CE" w:rsidP="004061A6">
      <w:pPr>
        <w:shd w:val="clear" w:color="auto" w:fill="FFFFFF"/>
        <w:tabs>
          <w:tab w:val="left" w:pos="2500"/>
        </w:tabs>
        <w:rPr>
          <w:sz w:val="24"/>
          <w:szCs w:val="24"/>
        </w:rPr>
      </w:pPr>
      <w:r>
        <w:rPr>
          <w:b/>
          <w:sz w:val="24"/>
          <w:szCs w:val="24"/>
        </w:rPr>
        <w:t xml:space="preserve">Palavras-chave: </w:t>
      </w:r>
      <w:r w:rsidR="004061A6" w:rsidRPr="004061A6">
        <w:rPr>
          <w:bCs/>
          <w:sz w:val="24"/>
          <w:szCs w:val="24"/>
        </w:rPr>
        <w:t>eficiência industrial</w:t>
      </w:r>
      <w:r w:rsidR="004061A6">
        <w:rPr>
          <w:bCs/>
          <w:sz w:val="24"/>
          <w:szCs w:val="24"/>
        </w:rPr>
        <w:t xml:space="preserve">. </w:t>
      </w:r>
      <w:r w:rsidR="004061A6" w:rsidRPr="004061A6">
        <w:rPr>
          <w:bCs/>
          <w:sz w:val="24"/>
          <w:szCs w:val="24"/>
        </w:rPr>
        <w:t>espécies nativas</w:t>
      </w:r>
      <w:r w:rsidR="004061A6">
        <w:rPr>
          <w:bCs/>
          <w:sz w:val="24"/>
          <w:szCs w:val="24"/>
        </w:rPr>
        <w:t xml:space="preserve">. </w:t>
      </w:r>
      <w:r w:rsidR="004061A6" w:rsidRPr="004061A6">
        <w:rPr>
          <w:bCs/>
          <w:sz w:val="24"/>
          <w:szCs w:val="24"/>
        </w:rPr>
        <w:t>processamento madeireiro</w:t>
      </w:r>
      <w:r w:rsidR="004061A6">
        <w:rPr>
          <w:bCs/>
          <w:sz w:val="24"/>
          <w:szCs w:val="24"/>
        </w:rPr>
        <w:t>.</w:t>
      </w:r>
    </w:p>
    <w:p w14:paraId="2A092422" w14:textId="77777777" w:rsidR="0027231C" w:rsidRDefault="0027231C" w:rsidP="004061A6">
      <w:pPr>
        <w:shd w:val="clear" w:color="auto" w:fill="FFFFFF"/>
        <w:tabs>
          <w:tab w:val="left" w:pos="2500"/>
        </w:tabs>
        <w:rPr>
          <w:sz w:val="24"/>
          <w:szCs w:val="24"/>
        </w:rPr>
      </w:pPr>
    </w:p>
    <w:p w14:paraId="45B27B6B" w14:textId="4A1BEB89" w:rsidR="003949CE" w:rsidRDefault="003949CE" w:rsidP="009D0B0A">
      <w:pPr>
        <w:shd w:val="clear" w:color="auto" w:fill="FFFFFF"/>
        <w:tabs>
          <w:tab w:val="left" w:pos="2500"/>
        </w:tabs>
        <w:rPr>
          <w:b/>
          <w:color w:val="0000FF"/>
          <w:sz w:val="24"/>
          <w:szCs w:val="24"/>
          <w:u w:val="single"/>
        </w:rPr>
      </w:pPr>
      <w:r>
        <w:rPr>
          <w:b/>
          <w:sz w:val="24"/>
          <w:szCs w:val="24"/>
        </w:rPr>
        <w:t>Área de Interesse do Simpósio</w:t>
      </w:r>
      <w:r>
        <w:rPr>
          <w:sz w:val="24"/>
          <w:szCs w:val="24"/>
        </w:rPr>
        <w:t xml:space="preserve">: </w:t>
      </w:r>
      <w:r w:rsidR="008464D2">
        <w:rPr>
          <w:sz w:val="24"/>
          <w:szCs w:val="24"/>
        </w:rPr>
        <w:t>Engenharias.</w:t>
      </w:r>
    </w:p>
    <w:p w14:paraId="0F1D0F6E" w14:textId="77777777" w:rsidR="009D0B0A" w:rsidRPr="009D0B0A" w:rsidRDefault="009D0B0A" w:rsidP="009D0B0A">
      <w:pPr>
        <w:shd w:val="clear" w:color="auto" w:fill="FFFFFF"/>
        <w:tabs>
          <w:tab w:val="left" w:pos="2500"/>
        </w:tabs>
        <w:rPr>
          <w:b/>
          <w:color w:val="0000FF"/>
          <w:sz w:val="24"/>
          <w:szCs w:val="24"/>
          <w:u w:val="single"/>
        </w:rPr>
      </w:pPr>
    </w:p>
    <w:p w14:paraId="6B35A14B" w14:textId="164F4655" w:rsidR="003949CE" w:rsidRDefault="003949CE" w:rsidP="003949CE">
      <w:pPr>
        <w:pBdr>
          <w:bottom w:val="none" w:sz="0" w:space="18" w:color="000000"/>
        </w:pBdr>
        <w:shd w:val="clear" w:color="auto" w:fill="FFFFFF"/>
        <w:tabs>
          <w:tab w:val="left" w:pos="2500"/>
        </w:tabs>
        <w:spacing w:line="360" w:lineRule="auto"/>
        <w:jc w:val="both"/>
        <w:rPr>
          <w:color w:val="FF0000"/>
          <w:sz w:val="24"/>
          <w:szCs w:val="24"/>
        </w:rPr>
      </w:pPr>
      <w:r>
        <w:rPr>
          <w:b/>
          <w:sz w:val="24"/>
          <w:szCs w:val="24"/>
        </w:rPr>
        <w:lastRenderedPageBreak/>
        <w:t xml:space="preserve">1. INTRODUÇÃO </w:t>
      </w:r>
    </w:p>
    <w:p w14:paraId="031F672C" w14:textId="77777777" w:rsidR="00DF7765" w:rsidRPr="00CD7BAB" w:rsidRDefault="003949CE" w:rsidP="00DC4CAB">
      <w:pPr>
        <w:pBdr>
          <w:bottom w:val="none" w:sz="0" w:space="8" w:color="000000"/>
        </w:pBdr>
        <w:shd w:val="clear" w:color="auto" w:fill="FFFFFF"/>
        <w:tabs>
          <w:tab w:val="left" w:pos="699"/>
        </w:tabs>
        <w:spacing w:line="360" w:lineRule="auto"/>
        <w:jc w:val="both"/>
        <w:rPr>
          <w:sz w:val="24"/>
          <w:szCs w:val="24"/>
        </w:rPr>
      </w:pPr>
      <w:r>
        <w:rPr>
          <w:sz w:val="24"/>
          <w:szCs w:val="24"/>
        </w:rPr>
        <w:tab/>
      </w:r>
      <w:r w:rsidR="00DF7765" w:rsidRPr="00CD7BAB">
        <w:rPr>
          <w:sz w:val="24"/>
          <w:szCs w:val="24"/>
        </w:rPr>
        <w:t>O setor madeireiro representa uma das atividades econômicas mais relevantes da Amazônia brasileira, desempenhando papel fundamental na geração de emprego e renda, além de contribuir para o desenvolvimento regional. Entretanto, o processo de beneficiamento da madeira ainda apresenta baixo índice de aproveitamento da matéria-prima, resultando em significativa geração de resíduos sólidos. Essa realidade está associada principalmente ao baixo nível de automação do maquinário, insuficiência de mão de obra qualificada e o pouco conhecimento técnico sobre as características anatômicas e tecnológicas das espécies utilizadas (Surdi, 2015).</w:t>
      </w:r>
    </w:p>
    <w:p w14:paraId="02347961" w14:textId="36173367" w:rsidR="00021F44" w:rsidRPr="00CD7BAB" w:rsidRDefault="00DC4CAB" w:rsidP="00DF7765">
      <w:pPr>
        <w:pBdr>
          <w:bottom w:val="none" w:sz="0" w:space="8" w:color="000000"/>
        </w:pBdr>
        <w:shd w:val="clear" w:color="auto" w:fill="FFFFFF"/>
        <w:tabs>
          <w:tab w:val="left" w:pos="699"/>
        </w:tabs>
        <w:spacing w:line="360" w:lineRule="auto"/>
        <w:ind w:firstLine="709"/>
        <w:jc w:val="both"/>
        <w:rPr>
          <w:sz w:val="24"/>
          <w:szCs w:val="24"/>
        </w:rPr>
      </w:pPr>
      <w:r w:rsidRPr="00CD7BAB">
        <w:rPr>
          <w:sz w:val="24"/>
          <w:szCs w:val="24"/>
        </w:rPr>
        <w:t xml:space="preserve">O coeficiente de rendimento volumétrico (CRV), ou porcentagem de aproveitamento </w:t>
      </w:r>
      <w:r w:rsidR="00DF7765" w:rsidRPr="00CD7BAB">
        <w:rPr>
          <w:sz w:val="24"/>
          <w:szCs w:val="24"/>
        </w:rPr>
        <w:t>surge como um indicador essencial para avaliar a eficiência do processo de desdobro</w:t>
      </w:r>
      <w:r w:rsidR="00021F44" w:rsidRPr="00CD7BAB">
        <w:rPr>
          <w:sz w:val="24"/>
          <w:szCs w:val="24"/>
        </w:rPr>
        <w:t>.</w:t>
      </w:r>
      <w:r w:rsidR="00021F44" w:rsidRPr="00CD7BAB">
        <w:t xml:space="preserve"> </w:t>
      </w:r>
      <w:r w:rsidR="00021F44" w:rsidRPr="00CD7BAB">
        <w:rPr>
          <w:sz w:val="24"/>
          <w:szCs w:val="24"/>
        </w:rPr>
        <w:t>O CRV é definido pela relação entre o volume de madeira serrada obtido e o volume da tora original antes do processamento, expressando, em termos percentuais, o grau de aproveitamento da matéria-prima (Rocha, 2002). Quanto maior o valor desse coeficiente, menor será a exploração de florestas para a produção de um determinado volume de madeira, favorecendo o uso sustentável dos recursos naturais e a redução de perdas industriais.</w:t>
      </w:r>
    </w:p>
    <w:p w14:paraId="28129640" w14:textId="2577A0BC" w:rsidR="00021F44" w:rsidRPr="00CD7BAB" w:rsidRDefault="00021F44" w:rsidP="00021F44">
      <w:pPr>
        <w:pBdr>
          <w:bottom w:val="none" w:sz="0" w:space="8" w:color="000000"/>
        </w:pBdr>
        <w:shd w:val="clear" w:color="auto" w:fill="FFFFFF"/>
        <w:tabs>
          <w:tab w:val="left" w:pos="699"/>
        </w:tabs>
        <w:spacing w:line="360" w:lineRule="auto"/>
        <w:ind w:firstLine="709"/>
        <w:jc w:val="both"/>
        <w:rPr>
          <w:sz w:val="24"/>
          <w:szCs w:val="24"/>
        </w:rPr>
      </w:pPr>
      <w:r w:rsidRPr="00CD7BAB">
        <w:rPr>
          <w:sz w:val="24"/>
          <w:szCs w:val="24"/>
        </w:rPr>
        <w:t>Diversos fatores influenciam diretamente o rendimento do desdobro, como a conicidade, tortuosidade, presença de nós, rachaduras, tensões de crescimento e defeitos naturais das toras, além do tipo de serra, do layout da serraria e da metodologia adotada no processamento (Marchesan, 2012</w:t>
      </w:r>
      <w:r w:rsidR="00231454" w:rsidRPr="00CD7BAB">
        <w:rPr>
          <w:sz w:val="24"/>
          <w:szCs w:val="24"/>
        </w:rPr>
        <w:t>).</w:t>
      </w:r>
      <w:r w:rsidRPr="00CD7BAB">
        <w:rPr>
          <w:sz w:val="24"/>
          <w:szCs w:val="24"/>
        </w:rPr>
        <w:t>Em serrarias de pequeno e médio porte, a ausência de otimização e automação tecnológica tende a agravar essas perdas, o que repercute em baixos índices de rendimento volumétrico e aumento dos impactos ambientais provenientes do desperdício de matéria-prima florestal.</w:t>
      </w:r>
    </w:p>
    <w:p w14:paraId="1EC3FDE3" w14:textId="79AB74D3" w:rsidR="00021F44" w:rsidRPr="00CD7BAB" w:rsidRDefault="00021F44" w:rsidP="00021F44">
      <w:pPr>
        <w:pBdr>
          <w:bottom w:val="none" w:sz="0" w:space="8" w:color="000000"/>
        </w:pBdr>
        <w:shd w:val="clear" w:color="auto" w:fill="FFFFFF"/>
        <w:tabs>
          <w:tab w:val="left" w:pos="699"/>
        </w:tabs>
        <w:spacing w:line="360" w:lineRule="auto"/>
        <w:ind w:firstLine="709"/>
        <w:jc w:val="both"/>
        <w:rPr>
          <w:sz w:val="24"/>
          <w:szCs w:val="24"/>
        </w:rPr>
      </w:pPr>
      <w:r w:rsidRPr="00CD7BAB">
        <w:rPr>
          <w:sz w:val="24"/>
          <w:szCs w:val="24"/>
        </w:rPr>
        <w:t>O nordeste paraense é considerado como uma das principais regiões produtoras de madeira serrada do estado do Pará. O município de São Miguel do Guamá, em particular, consolidou-se como importante polo madeireiro, em função de sua localização estratégica às margens da Rodovia Belém–Brasília, que facilita o escoamento da produção e atrai indústrias do setor (S</w:t>
      </w:r>
      <w:r w:rsidR="00F264D1" w:rsidRPr="00CD7BAB">
        <w:rPr>
          <w:sz w:val="24"/>
          <w:szCs w:val="24"/>
        </w:rPr>
        <w:t>ilva</w:t>
      </w:r>
      <w:r w:rsidRPr="00CD7BAB">
        <w:rPr>
          <w:sz w:val="24"/>
          <w:szCs w:val="24"/>
        </w:rPr>
        <w:t xml:space="preserve"> et al., 2012). Entretanto, as atividades locais são marcadas pela baixa eficiência produtiva e pelo caráter seletivo da exploração florestal, predominantemente voltada a espécies </w:t>
      </w:r>
      <w:r w:rsidRPr="00CD7BAB">
        <w:rPr>
          <w:sz w:val="24"/>
          <w:szCs w:val="24"/>
        </w:rPr>
        <w:lastRenderedPageBreak/>
        <w:t>de alto valor comercial. Esse cenário reforça a necessidade de estudos técnicos que avaliem o rendimento real das espécies amazônicas processadas na região e suas implicações para o manejo sustentável.</w:t>
      </w:r>
    </w:p>
    <w:p w14:paraId="57BE7060" w14:textId="1497DE1F" w:rsidR="00F264D1" w:rsidRDefault="00816D7C" w:rsidP="00816D7C">
      <w:pPr>
        <w:pBdr>
          <w:bottom w:val="none" w:sz="0" w:space="8" w:color="000000"/>
        </w:pBdr>
        <w:shd w:val="clear" w:color="auto" w:fill="FFFFFF"/>
        <w:tabs>
          <w:tab w:val="left" w:pos="699"/>
        </w:tabs>
        <w:spacing w:line="360" w:lineRule="auto"/>
        <w:ind w:firstLine="709"/>
        <w:jc w:val="both"/>
        <w:rPr>
          <w:sz w:val="24"/>
          <w:szCs w:val="24"/>
        </w:rPr>
      </w:pPr>
      <w:r w:rsidRPr="00CD7BAB">
        <w:rPr>
          <w:sz w:val="24"/>
          <w:szCs w:val="24"/>
        </w:rPr>
        <w:t>Além disso, as normas legais vigentes, como a Resolução CONAMA nº 484/2018, fixam provisoriamente o coeficiente de rendimento volumétrico em até 45% para o processamento de toras e toretes em madeira serrada (BRASIL, 2018). Assim, a análise do rendimento industrial sob condições reais de operação é essencial para verificar a adequação das práticas regionais às exigências legais e ambientais, bem como para promover o uso sustentável dos recursos florestais</w:t>
      </w:r>
      <w:r w:rsidR="00F264D1" w:rsidRPr="00CD7BAB">
        <w:rPr>
          <w:sz w:val="24"/>
          <w:szCs w:val="24"/>
        </w:rPr>
        <w:t>.</w:t>
      </w:r>
      <w:r w:rsidRPr="00CD7BAB">
        <w:rPr>
          <w:sz w:val="24"/>
          <w:szCs w:val="24"/>
        </w:rPr>
        <w:t xml:space="preserve"> Diante desse cenário, este trabalho te</w:t>
      </w:r>
      <w:r w:rsidR="00CE582F">
        <w:rPr>
          <w:sz w:val="24"/>
          <w:szCs w:val="24"/>
        </w:rPr>
        <w:t>ve</w:t>
      </w:r>
      <w:r w:rsidRPr="00CD7BAB">
        <w:rPr>
          <w:sz w:val="24"/>
          <w:szCs w:val="24"/>
        </w:rPr>
        <w:t xml:space="preserve"> como objetivo </w:t>
      </w:r>
      <w:r w:rsidR="00F264D1" w:rsidRPr="00CD7BAB">
        <w:rPr>
          <w:sz w:val="24"/>
          <w:szCs w:val="24"/>
        </w:rPr>
        <w:t>avaliar o coeficiente de rendimento volumétrico de espécies madeireiras amazônicas beneficiadas em serrarias localizadas no município de São Miguel do Guamá, nordeste do Pará, comparando os valores observados com os limites estabelecidos pela legislação vigente e com dados de estudos anteriores sobre o rendimento da madeira serrada.</w:t>
      </w:r>
    </w:p>
    <w:p w14:paraId="0ED8DCE2" w14:textId="4860686B" w:rsidR="003949CE" w:rsidRPr="007A0D38" w:rsidRDefault="003949CE" w:rsidP="007A0D38">
      <w:pPr>
        <w:pBdr>
          <w:bottom w:val="none" w:sz="0" w:space="8" w:color="000000"/>
        </w:pBdr>
        <w:shd w:val="clear" w:color="auto" w:fill="FFFFFF"/>
        <w:tabs>
          <w:tab w:val="left" w:pos="699"/>
        </w:tabs>
        <w:spacing w:line="360" w:lineRule="auto"/>
        <w:jc w:val="both"/>
        <w:rPr>
          <w:sz w:val="24"/>
          <w:szCs w:val="24"/>
        </w:rPr>
      </w:pPr>
    </w:p>
    <w:p w14:paraId="55EB79C7" w14:textId="77777777" w:rsidR="00FB4014" w:rsidRDefault="003949CE" w:rsidP="00FB4014">
      <w:pPr>
        <w:pBdr>
          <w:bottom w:val="none" w:sz="0" w:space="18" w:color="000000"/>
        </w:pBdr>
        <w:shd w:val="clear" w:color="auto" w:fill="FFFFFF"/>
        <w:tabs>
          <w:tab w:val="left" w:pos="2500"/>
        </w:tabs>
        <w:spacing w:line="310" w:lineRule="auto"/>
        <w:jc w:val="both"/>
        <w:rPr>
          <w:color w:val="FF0000"/>
          <w:sz w:val="24"/>
          <w:szCs w:val="24"/>
        </w:rPr>
      </w:pPr>
      <w:r>
        <w:rPr>
          <w:b/>
          <w:sz w:val="24"/>
          <w:szCs w:val="24"/>
        </w:rPr>
        <w:t>2. METODOLOGIA</w:t>
      </w:r>
      <w:r>
        <w:rPr>
          <w:b/>
          <w:sz w:val="28"/>
          <w:szCs w:val="28"/>
        </w:rPr>
        <w:t xml:space="preserve"> </w:t>
      </w:r>
    </w:p>
    <w:p w14:paraId="08A319D6" w14:textId="77777777" w:rsidR="00726C36" w:rsidRDefault="00726C36" w:rsidP="00726C36">
      <w:pPr>
        <w:pBdr>
          <w:bottom w:val="none" w:sz="0" w:space="18" w:color="000000"/>
        </w:pBdr>
        <w:shd w:val="clear" w:color="auto" w:fill="FFFFFF"/>
        <w:tabs>
          <w:tab w:val="left" w:pos="709"/>
        </w:tabs>
        <w:spacing w:line="360" w:lineRule="auto"/>
        <w:jc w:val="both"/>
        <w:rPr>
          <w:color w:val="FF0000"/>
          <w:sz w:val="24"/>
          <w:szCs w:val="24"/>
        </w:rPr>
      </w:pPr>
      <w:r>
        <w:rPr>
          <w:color w:val="FF0000"/>
          <w:sz w:val="24"/>
          <w:szCs w:val="24"/>
        </w:rPr>
        <w:tab/>
      </w:r>
      <w:r w:rsidR="006763FC">
        <w:rPr>
          <w:sz w:val="24"/>
          <w:szCs w:val="24"/>
        </w:rPr>
        <w:t>A pesquisa foi realizada</w:t>
      </w:r>
      <w:r w:rsidR="0018567C" w:rsidRPr="0018567C">
        <w:rPr>
          <w:sz w:val="24"/>
          <w:szCs w:val="24"/>
        </w:rPr>
        <w:t xml:space="preserve"> em cinco industrias madeireiras localizadas no município de São Miguel do Guamá, nordeste paraense. As empresas </w:t>
      </w:r>
      <w:r w:rsidR="006763FC">
        <w:rPr>
          <w:sz w:val="24"/>
          <w:szCs w:val="24"/>
        </w:rPr>
        <w:t>são</w:t>
      </w:r>
      <w:r w:rsidR="0018567C" w:rsidRPr="0018567C">
        <w:rPr>
          <w:sz w:val="24"/>
          <w:szCs w:val="24"/>
        </w:rPr>
        <w:t xml:space="preserve"> classificadas</w:t>
      </w:r>
      <w:r w:rsidR="006763FC">
        <w:rPr>
          <w:sz w:val="24"/>
          <w:szCs w:val="24"/>
        </w:rPr>
        <w:t xml:space="preserve"> como serrarias de </w:t>
      </w:r>
      <w:r w:rsidR="007A7D81">
        <w:rPr>
          <w:sz w:val="24"/>
          <w:szCs w:val="24"/>
        </w:rPr>
        <w:t>.</w:t>
      </w:r>
      <w:r w:rsidR="006763FC">
        <w:rPr>
          <w:sz w:val="24"/>
          <w:szCs w:val="24"/>
        </w:rPr>
        <w:t>pequeno porte</w:t>
      </w:r>
      <w:r w:rsidR="007A7D81">
        <w:rPr>
          <w:sz w:val="24"/>
          <w:szCs w:val="24"/>
        </w:rPr>
        <w:t xml:space="preserve"> (</w:t>
      </w:r>
      <w:r w:rsidR="0018567C" w:rsidRPr="0018567C">
        <w:rPr>
          <w:sz w:val="24"/>
          <w:szCs w:val="24"/>
        </w:rPr>
        <w:t>processamento de até 50 m³ de toras/dia</w:t>
      </w:r>
      <w:r w:rsidR="007A7D81">
        <w:rPr>
          <w:sz w:val="24"/>
          <w:szCs w:val="24"/>
        </w:rPr>
        <w:t xml:space="preserve">) </w:t>
      </w:r>
      <w:r w:rsidR="0018567C" w:rsidRPr="0018567C">
        <w:rPr>
          <w:sz w:val="24"/>
          <w:szCs w:val="24"/>
        </w:rPr>
        <w:t xml:space="preserve">e </w:t>
      </w:r>
      <w:r w:rsidR="006763FC">
        <w:rPr>
          <w:sz w:val="24"/>
          <w:szCs w:val="24"/>
        </w:rPr>
        <w:t xml:space="preserve">de </w:t>
      </w:r>
      <w:r w:rsidR="0018567C" w:rsidRPr="0018567C">
        <w:rPr>
          <w:sz w:val="24"/>
          <w:szCs w:val="24"/>
        </w:rPr>
        <w:t>médio</w:t>
      </w:r>
      <w:r w:rsidR="006763FC">
        <w:rPr>
          <w:sz w:val="24"/>
          <w:szCs w:val="24"/>
        </w:rPr>
        <w:t xml:space="preserve"> porte</w:t>
      </w:r>
      <w:r w:rsidR="0018567C" w:rsidRPr="0018567C">
        <w:rPr>
          <w:sz w:val="24"/>
          <w:szCs w:val="24"/>
        </w:rPr>
        <w:t xml:space="preserve"> </w:t>
      </w:r>
      <w:r w:rsidR="007A7D81">
        <w:rPr>
          <w:sz w:val="24"/>
          <w:szCs w:val="24"/>
        </w:rPr>
        <w:t xml:space="preserve">que é caracterizado pelo </w:t>
      </w:r>
      <w:r w:rsidR="0018567C" w:rsidRPr="0018567C">
        <w:rPr>
          <w:sz w:val="24"/>
          <w:szCs w:val="24"/>
        </w:rPr>
        <w:t>processamento de 50 a 100 m³ de toras/dia</w:t>
      </w:r>
      <w:r w:rsidR="00231454">
        <w:rPr>
          <w:sz w:val="24"/>
          <w:szCs w:val="24"/>
        </w:rPr>
        <w:t>.</w:t>
      </w:r>
    </w:p>
    <w:p w14:paraId="0983BB8B" w14:textId="77777777" w:rsidR="0027231C" w:rsidRDefault="00726C36" w:rsidP="0027231C">
      <w:pPr>
        <w:pBdr>
          <w:bottom w:val="none" w:sz="0" w:space="18" w:color="000000"/>
        </w:pBdr>
        <w:shd w:val="clear" w:color="auto" w:fill="FFFFFF"/>
        <w:tabs>
          <w:tab w:val="left" w:pos="709"/>
        </w:tabs>
        <w:spacing w:line="360" w:lineRule="auto"/>
        <w:jc w:val="both"/>
        <w:rPr>
          <w:color w:val="FF0000"/>
          <w:sz w:val="24"/>
          <w:szCs w:val="24"/>
        </w:rPr>
      </w:pPr>
      <w:r>
        <w:rPr>
          <w:color w:val="FF0000"/>
          <w:sz w:val="24"/>
          <w:szCs w:val="24"/>
        </w:rPr>
        <w:tab/>
      </w:r>
      <w:r w:rsidR="00493150" w:rsidRPr="00493150">
        <w:rPr>
          <w:sz w:val="24"/>
          <w:szCs w:val="24"/>
        </w:rPr>
        <w:t>As espécies estudadas foram</w:t>
      </w:r>
      <w:r w:rsidR="00493150">
        <w:rPr>
          <w:sz w:val="24"/>
          <w:szCs w:val="24"/>
        </w:rPr>
        <w:t xml:space="preserve"> </w:t>
      </w:r>
      <w:r w:rsidR="00493150" w:rsidRPr="00DB0BC1">
        <w:rPr>
          <w:sz w:val="24"/>
          <w:szCs w:val="24"/>
        </w:rPr>
        <w:t>Angelim-pedra (</w:t>
      </w:r>
      <w:r w:rsidR="00493150" w:rsidRPr="00DB0BC1">
        <w:rPr>
          <w:i/>
          <w:iCs/>
          <w:sz w:val="24"/>
          <w:szCs w:val="24"/>
        </w:rPr>
        <w:t>Hymenolobium petraeu</w:t>
      </w:r>
      <w:r w:rsidR="00DC4CAB" w:rsidRPr="00DB0BC1">
        <w:rPr>
          <w:i/>
          <w:iCs/>
          <w:sz w:val="24"/>
          <w:szCs w:val="24"/>
        </w:rPr>
        <w:t xml:space="preserve">m </w:t>
      </w:r>
      <w:r w:rsidR="00DC4CAB" w:rsidRPr="00DB0BC1">
        <w:rPr>
          <w:sz w:val="24"/>
          <w:szCs w:val="24"/>
        </w:rPr>
        <w:t>Ducke</w:t>
      </w:r>
      <w:r w:rsidR="00493150" w:rsidRPr="00DB0BC1">
        <w:rPr>
          <w:sz w:val="24"/>
          <w:szCs w:val="24"/>
        </w:rPr>
        <w:t>), Angelim-vermelho (</w:t>
      </w:r>
      <w:r w:rsidR="00493150" w:rsidRPr="00DB0BC1">
        <w:rPr>
          <w:i/>
          <w:iCs/>
          <w:sz w:val="24"/>
          <w:szCs w:val="24"/>
        </w:rPr>
        <w:t>Dinizia excelsa</w:t>
      </w:r>
      <w:r w:rsidR="00DC4CAB" w:rsidRPr="00DB0BC1">
        <w:rPr>
          <w:i/>
          <w:iCs/>
          <w:sz w:val="24"/>
          <w:szCs w:val="24"/>
        </w:rPr>
        <w:t xml:space="preserve"> </w:t>
      </w:r>
      <w:r w:rsidR="00DC4CAB" w:rsidRPr="00DB0BC1">
        <w:rPr>
          <w:sz w:val="24"/>
          <w:szCs w:val="24"/>
        </w:rPr>
        <w:t>Ducke</w:t>
      </w:r>
      <w:r w:rsidR="00493150" w:rsidRPr="00DB0BC1">
        <w:rPr>
          <w:sz w:val="24"/>
          <w:szCs w:val="24"/>
        </w:rPr>
        <w:t>), Copaíba (</w:t>
      </w:r>
      <w:r w:rsidR="00493150" w:rsidRPr="00DB0BC1">
        <w:rPr>
          <w:i/>
          <w:iCs/>
          <w:sz w:val="24"/>
          <w:szCs w:val="24"/>
        </w:rPr>
        <w:t>Copaifera langsdorffii</w:t>
      </w:r>
      <w:r w:rsidR="00493150" w:rsidRPr="00DB0BC1">
        <w:rPr>
          <w:sz w:val="24"/>
          <w:szCs w:val="24"/>
        </w:rPr>
        <w:t>), Cupíuba (</w:t>
      </w:r>
      <w:r w:rsidR="00493150" w:rsidRPr="00DB0BC1">
        <w:rPr>
          <w:i/>
          <w:iCs/>
          <w:sz w:val="24"/>
          <w:szCs w:val="24"/>
        </w:rPr>
        <w:t>Goupia glabra</w:t>
      </w:r>
      <w:r w:rsidR="00DC4CAB" w:rsidRPr="00DB0BC1">
        <w:rPr>
          <w:i/>
          <w:iCs/>
          <w:sz w:val="24"/>
          <w:szCs w:val="24"/>
        </w:rPr>
        <w:t xml:space="preserve"> </w:t>
      </w:r>
      <w:r w:rsidR="00DC4CAB" w:rsidRPr="00DB0BC1">
        <w:rPr>
          <w:sz w:val="24"/>
          <w:szCs w:val="24"/>
        </w:rPr>
        <w:t>Aubl</w:t>
      </w:r>
      <w:r w:rsidR="00DC4CAB" w:rsidRPr="00DB0BC1">
        <w:rPr>
          <w:i/>
          <w:iCs/>
          <w:sz w:val="24"/>
          <w:szCs w:val="24"/>
        </w:rPr>
        <w:t>.</w:t>
      </w:r>
      <w:r w:rsidR="00493150" w:rsidRPr="00DB0BC1">
        <w:rPr>
          <w:sz w:val="24"/>
          <w:szCs w:val="24"/>
        </w:rPr>
        <w:t>), Maçarandura (</w:t>
      </w:r>
      <w:r w:rsidR="00493150" w:rsidRPr="00DB0BC1">
        <w:rPr>
          <w:i/>
          <w:iCs/>
          <w:sz w:val="24"/>
          <w:szCs w:val="24"/>
        </w:rPr>
        <w:t>Manilkara spp</w:t>
      </w:r>
      <w:r w:rsidR="00493150" w:rsidRPr="00DB0BC1">
        <w:rPr>
          <w:sz w:val="24"/>
          <w:szCs w:val="24"/>
        </w:rPr>
        <w:t xml:space="preserve">.), </w:t>
      </w:r>
      <w:r w:rsidR="002E2DB5">
        <w:rPr>
          <w:sz w:val="24"/>
          <w:szCs w:val="24"/>
        </w:rPr>
        <w:t>Mururé (</w:t>
      </w:r>
      <w:r w:rsidR="00493150" w:rsidRPr="00DB0BC1">
        <w:rPr>
          <w:i/>
          <w:iCs/>
          <w:sz w:val="24"/>
          <w:szCs w:val="24"/>
        </w:rPr>
        <w:t>Brosimum acutifolium</w:t>
      </w:r>
      <w:r w:rsidR="00DB0BC1" w:rsidRPr="00DB0BC1">
        <w:rPr>
          <w:i/>
          <w:iCs/>
          <w:sz w:val="24"/>
          <w:szCs w:val="24"/>
        </w:rPr>
        <w:t xml:space="preserve"> </w:t>
      </w:r>
      <w:r w:rsidR="00DB0BC1" w:rsidRPr="00DB0BC1">
        <w:rPr>
          <w:sz w:val="24"/>
          <w:szCs w:val="24"/>
        </w:rPr>
        <w:t>Huber</w:t>
      </w:r>
      <w:r w:rsidR="00DB0BC1">
        <w:rPr>
          <w:sz w:val="24"/>
          <w:szCs w:val="24"/>
        </w:rPr>
        <w:t>.</w:t>
      </w:r>
      <w:r w:rsidR="00493150" w:rsidRPr="00DB0BC1">
        <w:rPr>
          <w:sz w:val="24"/>
          <w:szCs w:val="24"/>
        </w:rPr>
        <w:t>), Piquiá (</w:t>
      </w:r>
      <w:r w:rsidR="00493150" w:rsidRPr="00DB0BC1">
        <w:rPr>
          <w:i/>
          <w:iCs/>
          <w:sz w:val="24"/>
          <w:szCs w:val="24"/>
        </w:rPr>
        <w:t>Caryocar villosum</w:t>
      </w:r>
      <w:r w:rsidR="00DB0BC1" w:rsidRPr="00DB0BC1">
        <w:rPr>
          <w:i/>
          <w:iCs/>
          <w:sz w:val="24"/>
          <w:szCs w:val="24"/>
        </w:rPr>
        <w:t xml:space="preserve"> </w:t>
      </w:r>
      <w:r w:rsidR="00DB0BC1" w:rsidRPr="00DB0BC1">
        <w:rPr>
          <w:sz w:val="24"/>
          <w:szCs w:val="24"/>
        </w:rPr>
        <w:t>Aubl.)</w:t>
      </w:r>
      <w:r w:rsidR="00493150" w:rsidRPr="00DB0BC1">
        <w:rPr>
          <w:sz w:val="24"/>
          <w:szCs w:val="24"/>
        </w:rPr>
        <w:t>, Tatajuba (</w:t>
      </w:r>
      <w:r w:rsidR="00493150" w:rsidRPr="00DB0BC1">
        <w:rPr>
          <w:i/>
          <w:iCs/>
          <w:sz w:val="24"/>
          <w:szCs w:val="24"/>
        </w:rPr>
        <w:t>Bagassa guianensis</w:t>
      </w:r>
      <w:r w:rsidR="00DB0BC1" w:rsidRPr="00DB0BC1">
        <w:rPr>
          <w:i/>
          <w:iCs/>
          <w:sz w:val="24"/>
          <w:szCs w:val="24"/>
        </w:rPr>
        <w:t xml:space="preserve"> </w:t>
      </w:r>
      <w:r w:rsidR="00DB0BC1" w:rsidRPr="00DB0BC1">
        <w:rPr>
          <w:sz w:val="24"/>
          <w:szCs w:val="24"/>
        </w:rPr>
        <w:t>Aubl.</w:t>
      </w:r>
      <w:r w:rsidR="00493150" w:rsidRPr="00DB0BC1">
        <w:rPr>
          <w:sz w:val="24"/>
          <w:szCs w:val="24"/>
        </w:rPr>
        <w:t>) e Tauarí (</w:t>
      </w:r>
      <w:r w:rsidR="00493150" w:rsidRPr="00DB0BC1">
        <w:rPr>
          <w:i/>
          <w:iCs/>
          <w:sz w:val="24"/>
          <w:szCs w:val="24"/>
        </w:rPr>
        <w:t>Couratari macrosperma</w:t>
      </w:r>
      <w:r w:rsidR="00DB0BC1" w:rsidRPr="00DB0BC1">
        <w:rPr>
          <w:i/>
          <w:iCs/>
          <w:sz w:val="24"/>
          <w:szCs w:val="24"/>
        </w:rPr>
        <w:t xml:space="preserve"> </w:t>
      </w:r>
      <w:r w:rsidR="00DB0BC1" w:rsidRPr="00DB0BC1">
        <w:rPr>
          <w:sz w:val="24"/>
          <w:szCs w:val="24"/>
        </w:rPr>
        <w:t>A.C. Smith</w:t>
      </w:r>
      <w:r w:rsidR="00493150" w:rsidRPr="00DB0BC1">
        <w:rPr>
          <w:sz w:val="24"/>
          <w:szCs w:val="24"/>
        </w:rPr>
        <w:t>).</w:t>
      </w:r>
      <w:r w:rsidR="00493150">
        <w:rPr>
          <w:sz w:val="24"/>
          <w:szCs w:val="24"/>
        </w:rPr>
        <w:t xml:space="preserve"> </w:t>
      </w:r>
      <w:r w:rsidR="007A7D81">
        <w:rPr>
          <w:sz w:val="24"/>
          <w:szCs w:val="24"/>
        </w:rPr>
        <w:t>Também é</w:t>
      </w:r>
      <w:r w:rsidR="00493150">
        <w:rPr>
          <w:sz w:val="24"/>
          <w:szCs w:val="24"/>
        </w:rPr>
        <w:t xml:space="preserve"> importante pontuar</w:t>
      </w:r>
      <w:r w:rsidR="006763FC">
        <w:rPr>
          <w:sz w:val="24"/>
          <w:szCs w:val="24"/>
        </w:rPr>
        <w:t>,</w:t>
      </w:r>
      <w:r w:rsidR="00493150">
        <w:rPr>
          <w:sz w:val="24"/>
          <w:szCs w:val="24"/>
        </w:rPr>
        <w:t xml:space="preserve"> que essas amostras foram </w:t>
      </w:r>
      <w:r w:rsidR="00493150" w:rsidRPr="00493150">
        <w:rPr>
          <w:sz w:val="24"/>
          <w:szCs w:val="24"/>
        </w:rPr>
        <w:t>definidas de acordo com a disponibilidade no pátio de toras, de cada empresa</w:t>
      </w:r>
      <w:r w:rsidR="00277DCF">
        <w:rPr>
          <w:sz w:val="24"/>
          <w:szCs w:val="24"/>
        </w:rPr>
        <w:t xml:space="preserve"> e o </w:t>
      </w:r>
      <w:r w:rsidR="00277DCF" w:rsidRPr="00277DCF">
        <w:rPr>
          <w:sz w:val="24"/>
          <w:szCs w:val="24"/>
        </w:rPr>
        <w:t>número de toras analisadas foi estabelecido pelas serrarias concedentes.</w:t>
      </w:r>
    </w:p>
    <w:p w14:paraId="79FBD2D2" w14:textId="77777777" w:rsidR="0027231C" w:rsidRDefault="0027231C" w:rsidP="0027231C">
      <w:pPr>
        <w:pBdr>
          <w:bottom w:val="none" w:sz="0" w:space="18" w:color="000000"/>
        </w:pBdr>
        <w:shd w:val="clear" w:color="auto" w:fill="FFFFFF"/>
        <w:tabs>
          <w:tab w:val="left" w:pos="709"/>
        </w:tabs>
        <w:spacing w:line="360" w:lineRule="auto"/>
        <w:jc w:val="both"/>
        <w:rPr>
          <w:color w:val="FF0000"/>
          <w:sz w:val="24"/>
          <w:szCs w:val="24"/>
        </w:rPr>
      </w:pPr>
      <w:r>
        <w:rPr>
          <w:color w:val="FF0000"/>
          <w:sz w:val="24"/>
          <w:szCs w:val="24"/>
        </w:rPr>
        <w:tab/>
      </w:r>
      <w:r w:rsidR="00C71A3A">
        <w:rPr>
          <w:sz w:val="24"/>
          <w:szCs w:val="24"/>
        </w:rPr>
        <w:t xml:space="preserve">O volume de toras foi realizado pelo método de Smalian, que </w:t>
      </w:r>
      <w:r w:rsidR="005C3CB9">
        <w:rPr>
          <w:sz w:val="24"/>
          <w:szCs w:val="24"/>
        </w:rPr>
        <w:t>foi</w:t>
      </w:r>
      <w:r w:rsidR="00C71A3A">
        <w:rPr>
          <w:sz w:val="24"/>
          <w:szCs w:val="24"/>
        </w:rPr>
        <w:t xml:space="preserve"> determinado </w:t>
      </w:r>
      <w:r w:rsidR="00C71A3A" w:rsidRPr="00C71A3A">
        <w:rPr>
          <w:sz w:val="24"/>
          <w:szCs w:val="24"/>
        </w:rPr>
        <w:t>pelo produto do comprimento da tora e a média aritmética das áreas das seções nas suas extremidades</w:t>
      </w:r>
      <w:r w:rsidR="005C3CB9">
        <w:rPr>
          <w:sz w:val="24"/>
          <w:szCs w:val="24"/>
        </w:rPr>
        <w:t xml:space="preserve">. </w:t>
      </w:r>
      <w:r w:rsidR="005C3CB9" w:rsidRPr="005C3CB9">
        <w:rPr>
          <w:sz w:val="24"/>
          <w:szCs w:val="24"/>
        </w:rPr>
        <w:t>Após o desdobro, cada uma das peças foi medida individualmente</w:t>
      </w:r>
      <w:r w:rsidR="00277DCF">
        <w:rPr>
          <w:sz w:val="24"/>
          <w:szCs w:val="24"/>
        </w:rPr>
        <w:t xml:space="preserve"> e determinado </w:t>
      </w:r>
      <w:r w:rsidR="00277DCF">
        <w:rPr>
          <w:sz w:val="24"/>
          <w:szCs w:val="24"/>
        </w:rPr>
        <w:lastRenderedPageBreak/>
        <w:t>o volume individual pelo método</w:t>
      </w:r>
      <w:r w:rsidR="005C3CB9" w:rsidRPr="005C3CB9">
        <w:rPr>
          <w:sz w:val="24"/>
          <w:szCs w:val="24"/>
        </w:rPr>
        <w:t>, para o preenchimento das fichas de romaneio</w:t>
      </w:r>
      <w:r w:rsidR="007C619F">
        <w:rPr>
          <w:sz w:val="24"/>
          <w:szCs w:val="24"/>
        </w:rPr>
        <w:t>, no intuito de determinar o volume de madeira serrada.</w:t>
      </w:r>
      <w:r w:rsidR="00F505E3">
        <w:rPr>
          <w:sz w:val="24"/>
          <w:szCs w:val="24"/>
        </w:rPr>
        <w:t xml:space="preserve"> </w:t>
      </w:r>
    </w:p>
    <w:p w14:paraId="15EFBD98" w14:textId="70E3941F" w:rsidR="00726C36" w:rsidRPr="0027231C" w:rsidRDefault="0027231C" w:rsidP="0027231C">
      <w:pPr>
        <w:pBdr>
          <w:bottom w:val="none" w:sz="0" w:space="18" w:color="000000"/>
        </w:pBdr>
        <w:shd w:val="clear" w:color="auto" w:fill="FFFFFF"/>
        <w:tabs>
          <w:tab w:val="left" w:pos="709"/>
        </w:tabs>
        <w:spacing w:line="360" w:lineRule="auto"/>
        <w:jc w:val="both"/>
        <w:rPr>
          <w:color w:val="FF0000"/>
          <w:sz w:val="24"/>
          <w:szCs w:val="24"/>
        </w:rPr>
      </w:pPr>
      <w:r>
        <w:rPr>
          <w:color w:val="FF0000"/>
          <w:sz w:val="24"/>
          <w:szCs w:val="24"/>
        </w:rPr>
        <w:tab/>
      </w:r>
      <w:r w:rsidR="00F505E3">
        <w:rPr>
          <w:sz w:val="24"/>
          <w:szCs w:val="24"/>
        </w:rPr>
        <w:t>Por fim, o</w:t>
      </w:r>
      <w:r w:rsidR="00F505E3" w:rsidRPr="00F505E3">
        <w:rPr>
          <w:sz w:val="24"/>
          <w:szCs w:val="24"/>
        </w:rPr>
        <w:t>s dados foram tabulados e analisados em planilhas do software Excel 2019, gerando médias, desvios padrões e coeficientes de variação para cada espécie.</w:t>
      </w:r>
    </w:p>
    <w:p w14:paraId="4DAC5718" w14:textId="74CEC8FD" w:rsidR="00DF7765" w:rsidRPr="00DF7765" w:rsidRDefault="003949CE" w:rsidP="00DF7765">
      <w:pPr>
        <w:pBdr>
          <w:bottom w:val="none" w:sz="0" w:space="8" w:color="000000"/>
        </w:pBdr>
        <w:shd w:val="clear" w:color="auto" w:fill="FFFFFF"/>
        <w:tabs>
          <w:tab w:val="left" w:pos="2500"/>
        </w:tabs>
        <w:spacing w:line="310" w:lineRule="auto"/>
        <w:jc w:val="both"/>
        <w:rPr>
          <w:color w:val="FF0000"/>
          <w:sz w:val="24"/>
          <w:szCs w:val="24"/>
        </w:rPr>
      </w:pPr>
      <w:r>
        <w:rPr>
          <w:b/>
          <w:sz w:val="24"/>
          <w:szCs w:val="24"/>
        </w:rPr>
        <w:t>3. RESULTADOS E DISCUSSÃO</w:t>
      </w:r>
      <w:r>
        <w:rPr>
          <w:b/>
          <w:sz w:val="28"/>
          <w:szCs w:val="28"/>
        </w:rPr>
        <w:t xml:space="preserve"> </w:t>
      </w:r>
    </w:p>
    <w:p w14:paraId="2B8C33B9" w14:textId="77777777" w:rsidR="0027231C" w:rsidRDefault="006763FC" w:rsidP="0027231C">
      <w:pPr>
        <w:pBdr>
          <w:bottom w:val="none" w:sz="0" w:space="8" w:color="000000"/>
        </w:pBdr>
        <w:shd w:val="clear" w:color="auto" w:fill="FFFFFF"/>
        <w:tabs>
          <w:tab w:val="left" w:pos="2500"/>
        </w:tabs>
        <w:spacing w:line="360" w:lineRule="auto"/>
        <w:ind w:firstLine="700"/>
        <w:jc w:val="both"/>
        <w:rPr>
          <w:sz w:val="24"/>
          <w:szCs w:val="24"/>
        </w:rPr>
      </w:pPr>
      <w:r w:rsidRPr="006763FC">
        <w:rPr>
          <w:sz w:val="24"/>
          <w:szCs w:val="24"/>
        </w:rPr>
        <w:t>Com base na coleta de dados in loco, optou-se por usar o volume de tora encontrado a partir do método de Smalian para o cálculo do rendimento, pois este apresenta o real valor aproveitado, assim como a quantidade de material perdido em forma de resíduo.</w:t>
      </w:r>
      <w:r w:rsidR="003949CE">
        <w:rPr>
          <w:sz w:val="24"/>
          <w:szCs w:val="24"/>
        </w:rPr>
        <w:t xml:space="preserve"> </w:t>
      </w:r>
    </w:p>
    <w:p w14:paraId="5E983441" w14:textId="22016BAB" w:rsidR="003F0455" w:rsidRDefault="003F0455" w:rsidP="0027231C">
      <w:pPr>
        <w:pBdr>
          <w:bottom w:val="none" w:sz="0" w:space="8" w:color="000000"/>
        </w:pBdr>
        <w:shd w:val="clear" w:color="auto" w:fill="FFFFFF"/>
        <w:tabs>
          <w:tab w:val="left" w:pos="2500"/>
        </w:tabs>
        <w:spacing w:line="360" w:lineRule="auto"/>
        <w:ind w:firstLine="697"/>
        <w:jc w:val="both"/>
        <w:rPr>
          <w:sz w:val="24"/>
          <w:szCs w:val="24"/>
        </w:rPr>
      </w:pPr>
      <w:r w:rsidRPr="003F0455">
        <w:rPr>
          <w:sz w:val="24"/>
          <w:szCs w:val="24"/>
        </w:rPr>
        <w:t>A espécie que apresentou maior rendimento foi o Angelim-pedra, com média superior a 50% de aproveitamento, já a espécie Mururé apresentou o menor CRV, equivalente a 32,51%. Esse menor rendimento está relacionado às características morfológicas do Mururé (</w:t>
      </w:r>
      <w:r w:rsidRPr="003F0455">
        <w:rPr>
          <w:i/>
          <w:iCs/>
          <w:sz w:val="24"/>
          <w:szCs w:val="24"/>
        </w:rPr>
        <w:t>Brosimum acutifolium</w:t>
      </w:r>
      <w:r w:rsidRPr="003F0455">
        <w:rPr>
          <w:sz w:val="24"/>
          <w:szCs w:val="24"/>
        </w:rPr>
        <w:t xml:space="preserve">), especialmente sua elevada conicidade, maior incidência de defeitos naturais e menor proporção de cerne em comparação a outras espécies. Além disso, a acentuada distinção entre cerne e alburno dificulta a produção de peças de madeira serrada de primeira qualidade, tornando inviável agregar ambas as estruturas em uma única peça. Esses fatores estruturais influenciam diretamente o rendimento no desdobro, conforme apontado por Marchesan (2012) e Mendoza </w:t>
      </w:r>
      <w:r w:rsidRPr="0027231C">
        <w:rPr>
          <w:i/>
          <w:iCs/>
          <w:sz w:val="24"/>
          <w:szCs w:val="24"/>
        </w:rPr>
        <w:t>et al</w:t>
      </w:r>
      <w:r w:rsidRPr="003F0455">
        <w:rPr>
          <w:sz w:val="24"/>
          <w:szCs w:val="24"/>
        </w:rPr>
        <w:t>. (2017).</w:t>
      </w:r>
    </w:p>
    <w:p w14:paraId="5BADCBF7" w14:textId="2A48A330" w:rsidR="00FB4014" w:rsidRDefault="00380AC5" w:rsidP="0027231C">
      <w:pPr>
        <w:pBdr>
          <w:bottom w:val="none" w:sz="0" w:space="8" w:color="000000"/>
        </w:pBdr>
        <w:shd w:val="clear" w:color="auto" w:fill="FFFFFF"/>
        <w:tabs>
          <w:tab w:val="left" w:pos="2500"/>
        </w:tabs>
        <w:spacing w:line="360" w:lineRule="auto"/>
        <w:ind w:firstLine="697"/>
        <w:jc w:val="both"/>
        <w:rPr>
          <w:sz w:val="24"/>
          <w:szCs w:val="24"/>
        </w:rPr>
      </w:pPr>
      <w:r>
        <w:rPr>
          <w:sz w:val="24"/>
          <w:szCs w:val="24"/>
        </w:rPr>
        <w:t>Dessa forma</w:t>
      </w:r>
      <w:r w:rsidR="00F51B93">
        <w:rPr>
          <w:sz w:val="24"/>
          <w:szCs w:val="24"/>
        </w:rPr>
        <w:t xml:space="preserve">, é válido afirmar que </w:t>
      </w:r>
      <w:r w:rsidR="00F51B93" w:rsidRPr="00F51B93">
        <w:rPr>
          <w:sz w:val="24"/>
          <w:szCs w:val="24"/>
        </w:rPr>
        <w:t xml:space="preserve">apenas as espécies Angelim-pedra, Cupiúba e Tatajuba </w:t>
      </w:r>
      <w:r>
        <w:rPr>
          <w:sz w:val="24"/>
          <w:szCs w:val="24"/>
        </w:rPr>
        <w:t>apresentaram</w:t>
      </w:r>
      <w:r w:rsidR="00F51B93" w:rsidRPr="00F51B93">
        <w:rPr>
          <w:sz w:val="24"/>
          <w:szCs w:val="24"/>
        </w:rPr>
        <w:t xml:space="preserve"> rendimento</w:t>
      </w:r>
      <w:r>
        <w:rPr>
          <w:sz w:val="24"/>
          <w:szCs w:val="24"/>
        </w:rPr>
        <w:t xml:space="preserve">s superiores ao limite mínimo determinada </w:t>
      </w:r>
      <w:r w:rsidR="00F51B93" w:rsidRPr="00F51B93">
        <w:rPr>
          <w:sz w:val="24"/>
          <w:szCs w:val="24"/>
        </w:rPr>
        <w:t xml:space="preserve">pela Resolução CONAMA nº 484 de 2018, que provisoriamente é de 45%. </w:t>
      </w:r>
      <w:r>
        <w:rPr>
          <w:sz w:val="24"/>
          <w:szCs w:val="24"/>
        </w:rPr>
        <w:t xml:space="preserve">Esses resultados podem ser observados na </w:t>
      </w:r>
      <w:r w:rsidR="00F51B93" w:rsidRPr="00F51B93">
        <w:rPr>
          <w:sz w:val="24"/>
          <w:szCs w:val="24"/>
        </w:rPr>
        <w:t xml:space="preserve">Figura </w:t>
      </w:r>
      <w:r w:rsidR="00F51B93">
        <w:rPr>
          <w:sz w:val="24"/>
          <w:szCs w:val="24"/>
        </w:rPr>
        <w:t>1</w:t>
      </w:r>
      <w:r w:rsidR="00F51B93" w:rsidRPr="00F51B93">
        <w:rPr>
          <w:sz w:val="24"/>
          <w:szCs w:val="24"/>
        </w:rPr>
        <w:t>.</w:t>
      </w:r>
      <w:bookmarkStart w:id="2" w:name="_Hlk213332605"/>
    </w:p>
    <w:p w14:paraId="7198A2A1" w14:textId="25A8BA77" w:rsidR="003949CE" w:rsidRPr="00092FD6" w:rsidRDefault="00791205" w:rsidP="00FB4014">
      <w:pPr>
        <w:pBdr>
          <w:bottom w:val="none" w:sz="0" w:space="8" w:color="000000"/>
        </w:pBdr>
        <w:shd w:val="clear" w:color="auto" w:fill="FFFFFF"/>
        <w:tabs>
          <w:tab w:val="left" w:pos="2500"/>
        </w:tabs>
        <w:spacing w:line="360" w:lineRule="auto"/>
        <w:jc w:val="center"/>
        <w:rPr>
          <w:sz w:val="24"/>
          <w:szCs w:val="24"/>
        </w:rPr>
      </w:pPr>
      <w:r>
        <w:t xml:space="preserve">Figura </w:t>
      </w:r>
      <w:r w:rsidR="003949CE">
        <w:t>1</w:t>
      </w:r>
      <w:r w:rsidR="003949CE">
        <w:rPr>
          <w:b/>
        </w:rPr>
        <w:t xml:space="preserve"> – </w:t>
      </w:r>
      <w:r w:rsidR="00F51B93" w:rsidRPr="009D4ACD">
        <w:rPr>
          <w:rFonts w:eastAsiaTheme="minorEastAsia"/>
          <w:szCs w:val="24"/>
        </w:rPr>
        <w:t>Coeficiente de rendimento volumétrico das espécies analisadas</w:t>
      </w:r>
      <w:bookmarkEnd w:id="2"/>
      <w:r w:rsidR="00092FD6">
        <w:rPr>
          <w:rFonts w:eastAsiaTheme="minorEastAsia"/>
          <w:szCs w:val="24"/>
        </w:rPr>
        <w:t>.</w:t>
      </w:r>
    </w:p>
    <w:p w14:paraId="036C9FC4" w14:textId="4678A2A9" w:rsidR="003949CE" w:rsidRDefault="00F51B93" w:rsidP="00FB4014">
      <w:pPr>
        <w:widowControl/>
        <w:spacing w:line="360" w:lineRule="auto"/>
        <w:jc w:val="center"/>
        <w:rPr>
          <w:color w:val="FF0000"/>
        </w:rPr>
      </w:pPr>
      <w:r>
        <w:rPr>
          <w:rFonts w:eastAsiaTheme="minorEastAsia"/>
          <w:noProof/>
          <w:szCs w:val="24"/>
          <w:lang w:eastAsia="pt-BR"/>
        </w:rPr>
        <w:lastRenderedPageBreak/>
        <w:drawing>
          <wp:inline distT="0" distB="0" distL="0" distR="0" wp14:anchorId="7A7B42AD" wp14:editId="40A109DA">
            <wp:extent cx="5059680" cy="3177540"/>
            <wp:effectExtent l="0" t="0" r="7620" b="381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4CAFEB" w14:textId="6579810D" w:rsidR="00726C36" w:rsidRPr="00726C36" w:rsidRDefault="003949CE" w:rsidP="00FB4014">
      <w:pPr>
        <w:widowControl/>
        <w:spacing w:before="120" w:line="360" w:lineRule="auto"/>
        <w:jc w:val="both"/>
      </w:pPr>
      <w:bookmarkStart w:id="3" w:name="_Hlk213332826"/>
      <w:r w:rsidRPr="00F51B93">
        <w:t xml:space="preserve">Fonte: </w:t>
      </w:r>
      <w:r w:rsidR="00A12EFF">
        <w:t xml:space="preserve">Autores </w:t>
      </w:r>
      <w:r w:rsidR="008464D2">
        <w:t>(2025)</w:t>
      </w:r>
      <w:r w:rsidR="00F51B93" w:rsidRPr="00F51B93">
        <w:t>.</w:t>
      </w:r>
    </w:p>
    <w:bookmarkEnd w:id="3"/>
    <w:p w14:paraId="5E6F18DD" w14:textId="77777777" w:rsidR="00750FEB" w:rsidRPr="00750FEB" w:rsidRDefault="00750FEB" w:rsidP="0027231C">
      <w:pPr>
        <w:widowControl/>
        <w:spacing w:line="360" w:lineRule="auto"/>
        <w:ind w:firstLine="720"/>
        <w:jc w:val="both"/>
        <w:rPr>
          <w:bCs/>
          <w:sz w:val="24"/>
          <w:szCs w:val="24"/>
        </w:rPr>
      </w:pPr>
      <w:r w:rsidRPr="00750FEB">
        <w:rPr>
          <w:bCs/>
          <w:sz w:val="24"/>
          <w:szCs w:val="24"/>
        </w:rPr>
        <w:t>Os resultados indicaram que o Angelim-pedra teve um maior percentual no rendimento. Estudos semelhantes como o de Tonini e Ferreira (2004), registraram um rendimento volumétrico de 66%, valor considerado elevado para a região amazônica. Entretanto, Mendoza et al. (2017), determinou em suas analises que o coeficiente é igual a 41,64%, bem abaixo dos parâmetros. Os autores explicaram que isso provavelmente ocorreu devido à forma do tronco das árvores dessas espécies, já que não foram separadas por classe diamétrica e muitas apresentavam uma conicidade elevada, o que gerava um grande volume de costaneiras, que nesse estudo, foram consideradas como resíduos.</w:t>
      </w:r>
    </w:p>
    <w:p w14:paraId="6719CAF2" w14:textId="77777777" w:rsidR="00750FEB" w:rsidRPr="00750FEB" w:rsidRDefault="00750FEB" w:rsidP="0027231C">
      <w:pPr>
        <w:widowControl/>
        <w:spacing w:line="360" w:lineRule="auto"/>
        <w:ind w:firstLine="720"/>
        <w:jc w:val="both"/>
        <w:rPr>
          <w:bCs/>
          <w:sz w:val="24"/>
          <w:szCs w:val="24"/>
        </w:rPr>
      </w:pPr>
      <w:r w:rsidRPr="00750FEB">
        <w:rPr>
          <w:bCs/>
          <w:sz w:val="24"/>
          <w:szCs w:val="24"/>
        </w:rPr>
        <w:t xml:space="preserve">Além disso, Garcia </w:t>
      </w:r>
      <w:r w:rsidRPr="0027231C">
        <w:rPr>
          <w:bCs/>
          <w:i/>
          <w:iCs/>
          <w:sz w:val="24"/>
          <w:szCs w:val="24"/>
        </w:rPr>
        <w:t>et al</w:t>
      </w:r>
      <w:r w:rsidRPr="00750FEB">
        <w:rPr>
          <w:bCs/>
          <w:sz w:val="24"/>
          <w:szCs w:val="24"/>
        </w:rPr>
        <w:t>. (2012) apresenta um rendimento de 46,39% para a espécie de Tauari, valor superior ao que foi determinado neste trabalho (39,08%). Com isso, esses resultados corroboram que um dos fatores que mais influenciam o rendimento da tora é a qualidade, por isso, a preferência por matéria-prima de boa qualidade é essencial para aumentar o rendimento em madeira serrada e consequentemente gerar pouco resíduo ao longo do processo de desdobro.</w:t>
      </w:r>
    </w:p>
    <w:p w14:paraId="07421DCE" w14:textId="7E5F8ADA" w:rsidR="00A87A38" w:rsidRDefault="00750FEB" w:rsidP="0027231C">
      <w:pPr>
        <w:widowControl/>
        <w:spacing w:line="360" w:lineRule="auto"/>
        <w:ind w:firstLine="720"/>
        <w:jc w:val="both"/>
        <w:rPr>
          <w:bCs/>
          <w:sz w:val="24"/>
          <w:szCs w:val="24"/>
        </w:rPr>
      </w:pPr>
      <w:r w:rsidRPr="00750FEB">
        <w:rPr>
          <w:bCs/>
          <w:sz w:val="24"/>
          <w:szCs w:val="24"/>
        </w:rPr>
        <w:t xml:space="preserve">A média do rendimento total das espécies estudadas foi de 44,34%, valor inferior, porém próximo do resultado estabelecido na resolução vigente, a qual determinou que o coeficiente de </w:t>
      </w:r>
      <w:r w:rsidRPr="00750FEB">
        <w:rPr>
          <w:bCs/>
          <w:sz w:val="24"/>
          <w:szCs w:val="24"/>
        </w:rPr>
        <w:lastRenderedPageBreak/>
        <w:t>rendimento seja de até 45% na conversão de tora e torete em madeira serrada. A espécie Cupiúba apresentou o menor coeficiente de variação (12,79%), indicando uma maior homogeneidade entre os rendimentos obtidos. Isso pode ter ocorrido devido àscaracterísticas físicas, mecânicas e anatômicas da espécie, bem como pela variação entre os diâmetros e qualidade das toras analisadas. Os valores são apresentados na Tabela 1.</w:t>
      </w:r>
    </w:p>
    <w:p w14:paraId="199A99E6" w14:textId="26E61E91" w:rsidR="00CF3991" w:rsidRDefault="00CF3991" w:rsidP="00FB4014">
      <w:pPr>
        <w:widowControl/>
        <w:spacing w:before="120" w:line="360" w:lineRule="auto"/>
        <w:jc w:val="both"/>
        <w:rPr>
          <w:bCs/>
        </w:rPr>
      </w:pPr>
      <w:r>
        <w:t xml:space="preserve">Tabela </w:t>
      </w:r>
      <w:r w:rsidR="00791205">
        <w:t>1</w:t>
      </w:r>
      <w:r>
        <w:rPr>
          <w:b/>
        </w:rPr>
        <w:t xml:space="preserve"> – </w:t>
      </w:r>
      <w:r w:rsidRPr="00CF3991">
        <w:rPr>
          <w:bCs/>
        </w:rPr>
        <w:t>CRV, Desvio Padrão e Coeficiente de Variação das espécies observadas</w:t>
      </w:r>
      <w:r w:rsidR="00092FD6">
        <w:rPr>
          <w:bCs/>
        </w:rPr>
        <w:t>.</w:t>
      </w:r>
    </w:p>
    <w:tbl>
      <w:tblPr>
        <w:tblStyle w:val="SimplesTabela2"/>
        <w:tblW w:w="5000" w:type="pct"/>
        <w:jc w:val="center"/>
        <w:tblLook w:val="0620" w:firstRow="1" w:lastRow="0" w:firstColumn="0" w:lastColumn="0" w:noHBand="1" w:noVBand="1"/>
      </w:tblPr>
      <w:tblGrid>
        <w:gridCol w:w="3368"/>
        <w:gridCol w:w="1908"/>
        <w:gridCol w:w="1955"/>
        <w:gridCol w:w="1844"/>
      </w:tblGrid>
      <w:tr w:rsidR="00CF3991" w14:paraId="71D9A077" w14:textId="77777777" w:rsidTr="00092FD6">
        <w:trPr>
          <w:cnfStyle w:val="100000000000" w:firstRow="1" w:lastRow="0" w:firstColumn="0" w:lastColumn="0" w:oddVBand="0" w:evenVBand="0" w:oddHBand="0" w:evenHBand="0" w:firstRowFirstColumn="0" w:firstRowLastColumn="0" w:lastRowFirstColumn="0" w:lastRowLastColumn="0"/>
          <w:trHeight w:val="549"/>
          <w:jc w:val="center"/>
        </w:trPr>
        <w:tc>
          <w:tcPr>
            <w:tcW w:w="1856" w:type="pct"/>
          </w:tcPr>
          <w:p w14:paraId="70C25BD9" w14:textId="77777777" w:rsidR="00CF3991" w:rsidRPr="00945B52" w:rsidRDefault="00CF3991" w:rsidP="00FB4014">
            <w:pPr>
              <w:spacing w:line="360" w:lineRule="auto"/>
              <w:jc w:val="both"/>
              <w:rPr>
                <w:b w:val="0"/>
                <w:bCs w:val="0"/>
              </w:rPr>
            </w:pPr>
            <w:r w:rsidRPr="00945B52">
              <w:t>ESPÉCIES</w:t>
            </w:r>
          </w:p>
        </w:tc>
        <w:tc>
          <w:tcPr>
            <w:tcW w:w="1051" w:type="pct"/>
          </w:tcPr>
          <w:p w14:paraId="6B4A81E6" w14:textId="77777777" w:rsidR="00CF3991" w:rsidRPr="00945B52" w:rsidRDefault="00CF3991" w:rsidP="00FB4014">
            <w:pPr>
              <w:spacing w:line="360" w:lineRule="auto"/>
              <w:jc w:val="both"/>
              <w:rPr>
                <w:b w:val="0"/>
                <w:bCs w:val="0"/>
              </w:rPr>
            </w:pPr>
            <w:r w:rsidRPr="00945B52">
              <w:t>CRV (%)</w:t>
            </w:r>
          </w:p>
        </w:tc>
        <w:tc>
          <w:tcPr>
            <w:tcW w:w="1077" w:type="pct"/>
          </w:tcPr>
          <w:p w14:paraId="24664E51" w14:textId="77777777" w:rsidR="00CF3991" w:rsidRPr="00945B52" w:rsidRDefault="00CF3991" w:rsidP="00FB4014">
            <w:pPr>
              <w:spacing w:line="360" w:lineRule="auto"/>
              <w:jc w:val="both"/>
              <w:rPr>
                <w:b w:val="0"/>
                <w:bCs w:val="0"/>
              </w:rPr>
            </w:pPr>
            <w:r>
              <w:t>DP</w:t>
            </w:r>
          </w:p>
        </w:tc>
        <w:tc>
          <w:tcPr>
            <w:tcW w:w="1017" w:type="pct"/>
          </w:tcPr>
          <w:p w14:paraId="03D73359" w14:textId="77777777" w:rsidR="00CF3991" w:rsidRPr="00945B52" w:rsidRDefault="00CF3991" w:rsidP="00FB4014">
            <w:pPr>
              <w:spacing w:line="360" w:lineRule="auto"/>
              <w:jc w:val="both"/>
              <w:rPr>
                <w:b w:val="0"/>
                <w:bCs w:val="0"/>
              </w:rPr>
            </w:pPr>
            <w:r w:rsidRPr="00945B52">
              <w:t>CV (%)</w:t>
            </w:r>
          </w:p>
        </w:tc>
      </w:tr>
      <w:tr w:rsidR="00CF3991" w14:paraId="249FB809" w14:textId="77777777" w:rsidTr="00092FD6">
        <w:trPr>
          <w:trHeight w:val="418"/>
          <w:jc w:val="center"/>
        </w:trPr>
        <w:tc>
          <w:tcPr>
            <w:tcW w:w="1856" w:type="pct"/>
          </w:tcPr>
          <w:p w14:paraId="44EDEBD8" w14:textId="77777777" w:rsidR="00CF3991" w:rsidRDefault="00CF3991" w:rsidP="00FB4014">
            <w:pPr>
              <w:spacing w:line="360" w:lineRule="auto"/>
              <w:jc w:val="both"/>
            </w:pPr>
            <w:r>
              <w:t>Angelim-pedra</w:t>
            </w:r>
          </w:p>
        </w:tc>
        <w:tc>
          <w:tcPr>
            <w:tcW w:w="1051" w:type="pct"/>
          </w:tcPr>
          <w:p w14:paraId="767D859F" w14:textId="77777777" w:rsidR="00CF3991" w:rsidRDefault="00CF3991" w:rsidP="00FB4014">
            <w:pPr>
              <w:spacing w:line="360" w:lineRule="auto"/>
              <w:jc w:val="both"/>
            </w:pPr>
            <w:r w:rsidRPr="00817592">
              <w:t>52,55</w:t>
            </w:r>
          </w:p>
        </w:tc>
        <w:tc>
          <w:tcPr>
            <w:tcW w:w="1077" w:type="pct"/>
          </w:tcPr>
          <w:p w14:paraId="487C21E4" w14:textId="77777777" w:rsidR="00CF3991" w:rsidRDefault="00CF3991" w:rsidP="00FB4014">
            <w:pPr>
              <w:spacing w:line="360" w:lineRule="auto"/>
              <w:jc w:val="both"/>
            </w:pPr>
            <w:r w:rsidRPr="00817592">
              <w:t>12,74</w:t>
            </w:r>
          </w:p>
        </w:tc>
        <w:tc>
          <w:tcPr>
            <w:tcW w:w="1017" w:type="pct"/>
          </w:tcPr>
          <w:p w14:paraId="5D2D0EDA" w14:textId="77777777" w:rsidR="00CF3991" w:rsidRDefault="00CF3991" w:rsidP="00FB4014">
            <w:pPr>
              <w:spacing w:line="360" w:lineRule="auto"/>
              <w:jc w:val="both"/>
            </w:pPr>
            <w:r w:rsidRPr="00817592">
              <w:t>24,24</w:t>
            </w:r>
          </w:p>
        </w:tc>
      </w:tr>
      <w:tr w:rsidR="00CF3991" w14:paraId="16B11D14" w14:textId="77777777" w:rsidTr="00092FD6">
        <w:trPr>
          <w:trHeight w:val="418"/>
          <w:jc w:val="center"/>
        </w:trPr>
        <w:tc>
          <w:tcPr>
            <w:tcW w:w="1856" w:type="pct"/>
          </w:tcPr>
          <w:p w14:paraId="1E63E7E5" w14:textId="77777777" w:rsidR="00CF3991" w:rsidRDefault="00CF3991" w:rsidP="00FB4014">
            <w:pPr>
              <w:spacing w:line="360" w:lineRule="auto"/>
              <w:jc w:val="both"/>
            </w:pPr>
            <w:r>
              <w:t>Angelim-vermelho</w:t>
            </w:r>
          </w:p>
        </w:tc>
        <w:tc>
          <w:tcPr>
            <w:tcW w:w="1051" w:type="pct"/>
          </w:tcPr>
          <w:p w14:paraId="79C3FFA0" w14:textId="77777777" w:rsidR="00CF3991" w:rsidRDefault="00CF3991" w:rsidP="00FB4014">
            <w:pPr>
              <w:spacing w:line="360" w:lineRule="auto"/>
              <w:jc w:val="both"/>
            </w:pPr>
            <w:r w:rsidRPr="00817592">
              <w:t>44,69</w:t>
            </w:r>
          </w:p>
        </w:tc>
        <w:tc>
          <w:tcPr>
            <w:tcW w:w="1077" w:type="pct"/>
          </w:tcPr>
          <w:p w14:paraId="6F32893E" w14:textId="77777777" w:rsidR="00CF3991" w:rsidRDefault="00CF3991" w:rsidP="00FB4014">
            <w:pPr>
              <w:spacing w:line="360" w:lineRule="auto"/>
              <w:jc w:val="both"/>
            </w:pPr>
            <w:r w:rsidRPr="00817592">
              <w:t>6,99</w:t>
            </w:r>
          </w:p>
        </w:tc>
        <w:tc>
          <w:tcPr>
            <w:tcW w:w="1017" w:type="pct"/>
          </w:tcPr>
          <w:p w14:paraId="00C813ED" w14:textId="77777777" w:rsidR="00CF3991" w:rsidRDefault="00CF3991" w:rsidP="00FB4014">
            <w:pPr>
              <w:spacing w:line="360" w:lineRule="auto"/>
              <w:jc w:val="both"/>
            </w:pPr>
            <w:r w:rsidRPr="00817592">
              <w:t>15,64</w:t>
            </w:r>
          </w:p>
        </w:tc>
      </w:tr>
      <w:tr w:rsidR="00CF3991" w14:paraId="1EF9841A" w14:textId="77777777" w:rsidTr="00092FD6">
        <w:trPr>
          <w:trHeight w:val="418"/>
          <w:jc w:val="center"/>
        </w:trPr>
        <w:tc>
          <w:tcPr>
            <w:tcW w:w="1856" w:type="pct"/>
          </w:tcPr>
          <w:p w14:paraId="23B541AA" w14:textId="77777777" w:rsidR="00CF3991" w:rsidRDefault="00CF3991" w:rsidP="00FB4014">
            <w:pPr>
              <w:spacing w:line="360" w:lineRule="auto"/>
              <w:jc w:val="both"/>
            </w:pPr>
            <w:r>
              <w:t>Copaíba</w:t>
            </w:r>
          </w:p>
        </w:tc>
        <w:tc>
          <w:tcPr>
            <w:tcW w:w="1051" w:type="pct"/>
          </w:tcPr>
          <w:p w14:paraId="7BA4DAFA" w14:textId="77777777" w:rsidR="00CF3991" w:rsidRDefault="00CF3991" w:rsidP="00FB4014">
            <w:pPr>
              <w:spacing w:line="360" w:lineRule="auto"/>
              <w:jc w:val="both"/>
            </w:pPr>
            <w:r w:rsidRPr="00817592">
              <w:t>43,64</w:t>
            </w:r>
          </w:p>
        </w:tc>
        <w:tc>
          <w:tcPr>
            <w:tcW w:w="1077" w:type="pct"/>
          </w:tcPr>
          <w:p w14:paraId="7E71A490" w14:textId="77777777" w:rsidR="00CF3991" w:rsidRDefault="00CF3991" w:rsidP="00FB4014">
            <w:pPr>
              <w:spacing w:line="360" w:lineRule="auto"/>
              <w:jc w:val="both"/>
            </w:pPr>
            <w:r w:rsidRPr="00817592">
              <w:t>19,95</w:t>
            </w:r>
          </w:p>
        </w:tc>
        <w:tc>
          <w:tcPr>
            <w:tcW w:w="1017" w:type="pct"/>
          </w:tcPr>
          <w:p w14:paraId="68C31495" w14:textId="77777777" w:rsidR="00CF3991" w:rsidRDefault="00CF3991" w:rsidP="00FB4014">
            <w:pPr>
              <w:spacing w:line="360" w:lineRule="auto"/>
              <w:jc w:val="both"/>
            </w:pPr>
            <w:r w:rsidRPr="00817592">
              <w:t>45,71</w:t>
            </w:r>
          </w:p>
        </w:tc>
      </w:tr>
      <w:tr w:rsidR="00CF3991" w14:paraId="193D96C7" w14:textId="77777777" w:rsidTr="00092FD6">
        <w:trPr>
          <w:trHeight w:val="418"/>
          <w:jc w:val="center"/>
        </w:trPr>
        <w:tc>
          <w:tcPr>
            <w:tcW w:w="1856" w:type="pct"/>
          </w:tcPr>
          <w:p w14:paraId="654DA977" w14:textId="77777777" w:rsidR="00CF3991" w:rsidRDefault="00CF3991" w:rsidP="00FB4014">
            <w:pPr>
              <w:spacing w:line="360" w:lineRule="auto"/>
              <w:jc w:val="both"/>
            </w:pPr>
            <w:r>
              <w:t>Cupiúba</w:t>
            </w:r>
          </w:p>
        </w:tc>
        <w:tc>
          <w:tcPr>
            <w:tcW w:w="1051" w:type="pct"/>
          </w:tcPr>
          <w:p w14:paraId="6F6B3A21" w14:textId="77777777" w:rsidR="00CF3991" w:rsidRDefault="00CF3991" w:rsidP="00FB4014">
            <w:pPr>
              <w:spacing w:line="360" w:lineRule="auto"/>
              <w:jc w:val="both"/>
            </w:pPr>
            <w:r w:rsidRPr="00817592">
              <w:t>51,75</w:t>
            </w:r>
          </w:p>
        </w:tc>
        <w:tc>
          <w:tcPr>
            <w:tcW w:w="1077" w:type="pct"/>
          </w:tcPr>
          <w:p w14:paraId="7FA20683" w14:textId="77777777" w:rsidR="00CF3991" w:rsidRDefault="00CF3991" w:rsidP="00FB4014">
            <w:pPr>
              <w:spacing w:line="360" w:lineRule="auto"/>
              <w:jc w:val="both"/>
            </w:pPr>
            <w:r w:rsidRPr="00817592">
              <w:t>6,62</w:t>
            </w:r>
          </w:p>
        </w:tc>
        <w:tc>
          <w:tcPr>
            <w:tcW w:w="1017" w:type="pct"/>
          </w:tcPr>
          <w:p w14:paraId="05E0B99E" w14:textId="77777777" w:rsidR="00CF3991" w:rsidRDefault="00CF3991" w:rsidP="00FB4014">
            <w:pPr>
              <w:spacing w:line="360" w:lineRule="auto"/>
              <w:jc w:val="both"/>
            </w:pPr>
            <w:r w:rsidRPr="00817592">
              <w:t>12,79</w:t>
            </w:r>
          </w:p>
        </w:tc>
      </w:tr>
      <w:tr w:rsidR="00CF3991" w14:paraId="06C4A206" w14:textId="77777777" w:rsidTr="00092FD6">
        <w:trPr>
          <w:trHeight w:val="418"/>
          <w:jc w:val="center"/>
        </w:trPr>
        <w:tc>
          <w:tcPr>
            <w:tcW w:w="1856" w:type="pct"/>
          </w:tcPr>
          <w:p w14:paraId="6ACE027E" w14:textId="77777777" w:rsidR="00CF3991" w:rsidRDefault="00CF3991" w:rsidP="00FB4014">
            <w:pPr>
              <w:spacing w:line="360" w:lineRule="auto"/>
              <w:jc w:val="both"/>
            </w:pPr>
            <w:r>
              <w:t>Maçaranduba</w:t>
            </w:r>
          </w:p>
        </w:tc>
        <w:tc>
          <w:tcPr>
            <w:tcW w:w="1051" w:type="pct"/>
          </w:tcPr>
          <w:p w14:paraId="7C42906F" w14:textId="77777777" w:rsidR="00CF3991" w:rsidRDefault="00CF3991" w:rsidP="00FB4014">
            <w:pPr>
              <w:spacing w:line="360" w:lineRule="auto"/>
              <w:jc w:val="both"/>
            </w:pPr>
            <w:r w:rsidRPr="00817592">
              <w:t>44,35</w:t>
            </w:r>
          </w:p>
        </w:tc>
        <w:tc>
          <w:tcPr>
            <w:tcW w:w="1077" w:type="pct"/>
          </w:tcPr>
          <w:p w14:paraId="20ABEB7C" w14:textId="77777777" w:rsidR="00CF3991" w:rsidRDefault="00CF3991" w:rsidP="00FB4014">
            <w:pPr>
              <w:spacing w:line="360" w:lineRule="auto"/>
              <w:jc w:val="both"/>
            </w:pPr>
            <w:r w:rsidRPr="00817592">
              <w:t>8,45</w:t>
            </w:r>
          </w:p>
        </w:tc>
        <w:tc>
          <w:tcPr>
            <w:tcW w:w="1017" w:type="pct"/>
          </w:tcPr>
          <w:p w14:paraId="7E75C2F1" w14:textId="77777777" w:rsidR="00CF3991" w:rsidRDefault="00CF3991" w:rsidP="00FB4014">
            <w:pPr>
              <w:spacing w:line="360" w:lineRule="auto"/>
              <w:jc w:val="both"/>
            </w:pPr>
            <w:r w:rsidRPr="00817592">
              <w:t>19,06</w:t>
            </w:r>
          </w:p>
        </w:tc>
      </w:tr>
      <w:tr w:rsidR="00CF3991" w14:paraId="65B5FCDC" w14:textId="77777777" w:rsidTr="00092FD6">
        <w:trPr>
          <w:trHeight w:val="418"/>
          <w:jc w:val="center"/>
        </w:trPr>
        <w:tc>
          <w:tcPr>
            <w:tcW w:w="1856" w:type="pct"/>
          </w:tcPr>
          <w:p w14:paraId="40886711" w14:textId="77777777" w:rsidR="00CF3991" w:rsidRDefault="00CF3991" w:rsidP="00FB4014">
            <w:pPr>
              <w:spacing w:line="360" w:lineRule="auto"/>
              <w:jc w:val="both"/>
            </w:pPr>
            <w:r>
              <w:t>Mururé</w:t>
            </w:r>
          </w:p>
        </w:tc>
        <w:tc>
          <w:tcPr>
            <w:tcW w:w="1051" w:type="pct"/>
          </w:tcPr>
          <w:p w14:paraId="4BE6DB6E" w14:textId="77777777" w:rsidR="00CF3991" w:rsidRDefault="00CF3991" w:rsidP="00FB4014">
            <w:pPr>
              <w:spacing w:line="360" w:lineRule="auto"/>
              <w:jc w:val="both"/>
            </w:pPr>
            <w:r w:rsidRPr="00817592">
              <w:t>32,51</w:t>
            </w:r>
          </w:p>
        </w:tc>
        <w:tc>
          <w:tcPr>
            <w:tcW w:w="1077" w:type="pct"/>
          </w:tcPr>
          <w:p w14:paraId="727CE625" w14:textId="77777777" w:rsidR="00CF3991" w:rsidRDefault="00CF3991" w:rsidP="00FB4014">
            <w:pPr>
              <w:spacing w:line="360" w:lineRule="auto"/>
              <w:jc w:val="both"/>
            </w:pPr>
            <w:r w:rsidRPr="00817592">
              <w:t>11,96</w:t>
            </w:r>
          </w:p>
        </w:tc>
        <w:tc>
          <w:tcPr>
            <w:tcW w:w="1017" w:type="pct"/>
          </w:tcPr>
          <w:p w14:paraId="3C961BD1" w14:textId="77777777" w:rsidR="00CF3991" w:rsidRDefault="00CF3991" w:rsidP="00FB4014">
            <w:pPr>
              <w:spacing w:line="360" w:lineRule="auto"/>
              <w:jc w:val="both"/>
            </w:pPr>
            <w:r w:rsidRPr="00817592">
              <w:t>36,79</w:t>
            </w:r>
          </w:p>
        </w:tc>
      </w:tr>
      <w:tr w:rsidR="00CF3991" w14:paraId="4B645DD6" w14:textId="77777777" w:rsidTr="00092FD6">
        <w:trPr>
          <w:trHeight w:val="418"/>
          <w:jc w:val="center"/>
        </w:trPr>
        <w:tc>
          <w:tcPr>
            <w:tcW w:w="1856" w:type="pct"/>
          </w:tcPr>
          <w:p w14:paraId="11B27F42" w14:textId="77777777" w:rsidR="00CF3991" w:rsidRDefault="00CF3991" w:rsidP="00FB4014">
            <w:pPr>
              <w:spacing w:line="360" w:lineRule="auto"/>
              <w:jc w:val="both"/>
            </w:pPr>
            <w:r>
              <w:t>Piquiá</w:t>
            </w:r>
          </w:p>
        </w:tc>
        <w:tc>
          <w:tcPr>
            <w:tcW w:w="1051" w:type="pct"/>
          </w:tcPr>
          <w:p w14:paraId="07C8B9B5" w14:textId="77777777" w:rsidR="00CF3991" w:rsidRDefault="00CF3991" w:rsidP="00FB4014">
            <w:pPr>
              <w:spacing w:line="360" w:lineRule="auto"/>
              <w:jc w:val="both"/>
            </w:pPr>
            <w:r w:rsidRPr="00817592">
              <w:t>43,10</w:t>
            </w:r>
          </w:p>
        </w:tc>
        <w:tc>
          <w:tcPr>
            <w:tcW w:w="1077" w:type="pct"/>
          </w:tcPr>
          <w:p w14:paraId="3A89071B" w14:textId="77777777" w:rsidR="00CF3991" w:rsidRDefault="00CF3991" w:rsidP="00FB4014">
            <w:pPr>
              <w:spacing w:line="360" w:lineRule="auto"/>
              <w:jc w:val="both"/>
            </w:pPr>
            <w:r w:rsidRPr="00817592">
              <w:t>8,04</w:t>
            </w:r>
          </w:p>
        </w:tc>
        <w:tc>
          <w:tcPr>
            <w:tcW w:w="1017" w:type="pct"/>
          </w:tcPr>
          <w:p w14:paraId="35E2730C" w14:textId="77777777" w:rsidR="00CF3991" w:rsidRDefault="00CF3991" w:rsidP="00FB4014">
            <w:pPr>
              <w:spacing w:line="360" w:lineRule="auto"/>
              <w:jc w:val="both"/>
            </w:pPr>
            <w:r w:rsidRPr="00817592">
              <w:t>18,65</w:t>
            </w:r>
          </w:p>
        </w:tc>
      </w:tr>
      <w:tr w:rsidR="00CF3991" w14:paraId="1B4CED67" w14:textId="77777777" w:rsidTr="00092FD6">
        <w:trPr>
          <w:trHeight w:val="418"/>
          <w:jc w:val="center"/>
        </w:trPr>
        <w:tc>
          <w:tcPr>
            <w:tcW w:w="1856" w:type="pct"/>
          </w:tcPr>
          <w:p w14:paraId="6470C9B6" w14:textId="77777777" w:rsidR="00CF3991" w:rsidRDefault="00CF3991" w:rsidP="00FB4014">
            <w:pPr>
              <w:spacing w:line="360" w:lineRule="auto"/>
              <w:jc w:val="both"/>
            </w:pPr>
            <w:r>
              <w:t>Tatajuba</w:t>
            </w:r>
          </w:p>
        </w:tc>
        <w:tc>
          <w:tcPr>
            <w:tcW w:w="1051" w:type="pct"/>
          </w:tcPr>
          <w:p w14:paraId="55F72554" w14:textId="77777777" w:rsidR="00CF3991" w:rsidRDefault="00CF3991" w:rsidP="00FB4014">
            <w:pPr>
              <w:spacing w:line="360" w:lineRule="auto"/>
              <w:jc w:val="both"/>
            </w:pPr>
            <w:r w:rsidRPr="00817592">
              <w:t>47,36</w:t>
            </w:r>
          </w:p>
        </w:tc>
        <w:tc>
          <w:tcPr>
            <w:tcW w:w="1077" w:type="pct"/>
          </w:tcPr>
          <w:p w14:paraId="055FFC08" w14:textId="77777777" w:rsidR="00CF3991" w:rsidRDefault="00CF3991" w:rsidP="00FB4014">
            <w:pPr>
              <w:spacing w:line="360" w:lineRule="auto"/>
              <w:jc w:val="both"/>
            </w:pPr>
            <w:r w:rsidRPr="00817592">
              <w:t>8,70</w:t>
            </w:r>
          </w:p>
        </w:tc>
        <w:tc>
          <w:tcPr>
            <w:tcW w:w="1017" w:type="pct"/>
          </w:tcPr>
          <w:p w14:paraId="4E5483B1" w14:textId="77777777" w:rsidR="00CF3991" w:rsidRDefault="00CF3991" w:rsidP="00FB4014">
            <w:pPr>
              <w:spacing w:line="360" w:lineRule="auto"/>
              <w:jc w:val="both"/>
            </w:pPr>
            <w:r w:rsidRPr="00817592">
              <w:t>18,37</w:t>
            </w:r>
          </w:p>
        </w:tc>
      </w:tr>
      <w:tr w:rsidR="00CF3991" w14:paraId="71EBA162" w14:textId="77777777" w:rsidTr="00092FD6">
        <w:trPr>
          <w:trHeight w:val="418"/>
          <w:jc w:val="center"/>
        </w:trPr>
        <w:tc>
          <w:tcPr>
            <w:tcW w:w="1856" w:type="pct"/>
          </w:tcPr>
          <w:p w14:paraId="713C428F" w14:textId="77777777" w:rsidR="00CF3991" w:rsidRDefault="00CF3991" w:rsidP="00FB4014">
            <w:pPr>
              <w:spacing w:line="360" w:lineRule="auto"/>
              <w:jc w:val="both"/>
            </w:pPr>
            <w:r>
              <w:t>Tauarí</w:t>
            </w:r>
          </w:p>
        </w:tc>
        <w:tc>
          <w:tcPr>
            <w:tcW w:w="1051" w:type="pct"/>
          </w:tcPr>
          <w:p w14:paraId="2FD2665B" w14:textId="77777777" w:rsidR="00CF3991" w:rsidRDefault="00CF3991" w:rsidP="00FB4014">
            <w:pPr>
              <w:spacing w:line="360" w:lineRule="auto"/>
              <w:jc w:val="both"/>
            </w:pPr>
            <w:r w:rsidRPr="00817592">
              <w:t>39,08</w:t>
            </w:r>
          </w:p>
        </w:tc>
        <w:tc>
          <w:tcPr>
            <w:tcW w:w="1077" w:type="pct"/>
          </w:tcPr>
          <w:p w14:paraId="35AD7505" w14:textId="77777777" w:rsidR="00CF3991" w:rsidRDefault="00CF3991" w:rsidP="00FB4014">
            <w:pPr>
              <w:spacing w:line="360" w:lineRule="auto"/>
              <w:jc w:val="both"/>
            </w:pPr>
            <w:r w:rsidRPr="00817592">
              <w:t>8,60</w:t>
            </w:r>
          </w:p>
        </w:tc>
        <w:tc>
          <w:tcPr>
            <w:tcW w:w="1017" w:type="pct"/>
          </w:tcPr>
          <w:p w14:paraId="5A6F10FD" w14:textId="77777777" w:rsidR="00CF3991" w:rsidRDefault="00CF3991" w:rsidP="00FB4014">
            <w:pPr>
              <w:spacing w:line="360" w:lineRule="auto"/>
              <w:jc w:val="both"/>
            </w:pPr>
            <w:r w:rsidRPr="00817592">
              <w:t>22,01</w:t>
            </w:r>
          </w:p>
        </w:tc>
      </w:tr>
      <w:tr w:rsidR="00CF3991" w14:paraId="686EB89E" w14:textId="77777777" w:rsidTr="00092FD6">
        <w:trPr>
          <w:trHeight w:val="418"/>
          <w:jc w:val="center"/>
        </w:trPr>
        <w:tc>
          <w:tcPr>
            <w:tcW w:w="1856" w:type="pct"/>
          </w:tcPr>
          <w:p w14:paraId="779B26E2" w14:textId="77777777" w:rsidR="00CF3991" w:rsidRPr="00E93225" w:rsidRDefault="00CF3991" w:rsidP="00FB4014">
            <w:pPr>
              <w:spacing w:line="360" w:lineRule="auto"/>
              <w:jc w:val="both"/>
              <w:rPr>
                <w:b/>
                <w:bCs/>
              </w:rPr>
            </w:pPr>
            <w:r w:rsidRPr="00E93225">
              <w:rPr>
                <w:b/>
                <w:bCs/>
              </w:rPr>
              <w:t>Média geral</w:t>
            </w:r>
          </w:p>
        </w:tc>
        <w:tc>
          <w:tcPr>
            <w:tcW w:w="1051" w:type="pct"/>
          </w:tcPr>
          <w:p w14:paraId="162F96BA" w14:textId="77777777" w:rsidR="00CF3991" w:rsidRPr="00E93225" w:rsidRDefault="00CF3991" w:rsidP="00FB4014">
            <w:pPr>
              <w:spacing w:line="360" w:lineRule="auto"/>
              <w:jc w:val="both"/>
              <w:rPr>
                <w:b/>
                <w:bCs/>
              </w:rPr>
            </w:pPr>
            <w:r w:rsidRPr="00E93225">
              <w:rPr>
                <w:b/>
                <w:bCs/>
              </w:rPr>
              <w:t>44,34</w:t>
            </w:r>
          </w:p>
        </w:tc>
        <w:tc>
          <w:tcPr>
            <w:tcW w:w="1077" w:type="pct"/>
          </w:tcPr>
          <w:p w14:paraId="3AB62354" w14:textId="77777777" w:rsidR="00CF3991" w:rsidRPr="00E93225" w:rsidRDefault="00CF3991" w:rsidP="00FB4014">
            <w:pPr>
              <w:spacing w:line="360" w:lineRule="auto"/>
              <w:jc w:val="both"/>
            </w:pPr>
            <w:r w:rsidRPr="00E93225">
              <w:t>-</w:t>
            </w:r>
          </w:p>
        </w:tc>
        <w:tc>
          <w:tcPr>
            <w:tcW w:w="1017" w:type="pct"/>
          </w:tcPr>
          <w:p w14:paraId="78762B79" w14:textId="77777777" w:rsidR="00CF3991" w:rsidRPr="00E93225" w:rsidRDefault="00CF3991" w:rsidP="00FB4014">
            <w:pPr>
              <w:spacing w:line="360" w:lineRule="auto"/>
              <w:jc w:val="both"/>
            </w:pPr>
            <w:r w:rsidRPr="00E93225">
              <w:t>-</w:t>
            </w:r>
          </w:p>
        </w:tc>
      </w:tr>
    </w:tbl>
    <w:p w14:paraId="1D3A7424" w14:textId="22FDBD02" w:rsidR="00151709" w:rsidRDefault="00E93225" w:rsidP="00FB4014">
      <w:pPr>
        <w:widowControl/>
        <w:spacing w:before="120" w:line="360" w:lineRule="auto"/>
        <w:jc w:val="both"/>
      </w:pPr>
      <w:r w:rsidRPr="00F51B93">
        <w:t xml:space="preserve">Fonte: </w:t>
      </w:r>
      <w:r>
        <w:t>Autores (2025)</w:t>
      </w:r>
      <w:r w:rsidRPr="00F51B93">
        <w:t>.</w:t>
      </w:r>
    </w:p>
    <w:p w14:paraId="06E9E74E" w14:textId="00714691" w:rsidR="00E93225" w:rsidRDefault="00E93225" w:rsidP="0027231C">
      <w:pPr>
        <w:widowControl/>
        <w:spacing w:line="360" w:lineRule="auto"/>
        <w:ind w:firstLine="709"/>
        <w:jc w:val="both"/>
        <w:rPr>
          <w:sz w:val="24"/>
          <w:szCs w:val="24"/>
        </w:rPr>
      </w:pPr>
      <w:r w:rsidRPr="00CD7BAB">
        <w:rPr>
          <w:sz w:val="24"/>
          <w:szCs w:val="24"/>
        </w:rPr>
        <w:t xml:space="preserve">A Cupiúba apresentou o segundo maior rendimento (51,75%), no entanto, Santos et al. (2017) </w:t>
      </w:r>
      <w:r w:rsidR="001D5F53" w:rsidRPr="00CD7BAB">
        <w:rPr>
          <w:sz w:val="24"/>
          <w:szCs w:val="24"/>
        </w:rPr>
        <w:t>observaram</w:t>
      </w:r>
      <w:r w:rsidRPr="00CD7BAB">
        <w:rPr>
          <w:sz w:val="24"/>
          <w:szCs w:val="24"/>
        </w:rPr>
        <w:t xml:space="preserve"> valores médios de 47,77%. </w:t>
      </w:r>
      <w:r w:rsidR="001D5F53" w:rsidRPr="00CD7BAB">
        <w:rPr>
          <w:sz w:val="24"/>
          <w:szCs w:val="24"/>
        </w:rPr>
        <w:t xml:space="preserve">Segundo </w:t>
      </w:r>
      <w:r w:rsidRPr="00CD7BAB">
        <w:rPr>
          <w:sz w:val="24"/>
          <w:szCs w:val="24"/>
        </w:rPr>
        <w:t>Murara Junior et al. (2005)</w:t>
      </w:r>
      <w:r w:rsidR="001D5F53" w:rsidRPr="00CD7BAB">
        <w:rPr>
          <w:sz w:val="24"/>
          <w:szCs w:val="24"/>
        </w:rPr>
        <w:t xml:space="preserve">, </w:t>
      </w:r>
      <w:r w:rsidRPr="00CD7BAB">
        <w:rPr>
          <w:sz w:val="24"/>
          <w:szCs w:val="24"/>
        </w:rPr>
        <w:t xml:space="preserve">a qualidade da matéria-prima pode influenciar em até 70% no êxito da determinação de um ótimo rendimento. </w:t>
      </w:r>
      <w:r w:rsidR="001D5F53" w:rsidRPr="00CD7BAB">
        <w:rPr>
          <w:sz w:val="24"/>
          <w:szCs w:val="24"/>
        </w:rPr>
        <w:t xml:space="preserve">Nesse sentido, </w:t>
      </w:r>
      <w:r w:rsidRPr="00CD7BAB">
        <w:rPr>
          <w:sz w:val="24"/>
          <w:szCs w:val="24"/>
        </w:rPr>
        <w:t>Tonini e Ferreira (2004) apresentam outras influencias para os altos índices encontrados, como o tipo de serra, reaproveitamento de aparas e costaneiras</w:t>
      </w:r>
      <w:r w:rsidR="000C52C5" w:rsidRPr="00CD7BAB">
        <w:rPr>
          <w:sz w:val="24"/>
          <w:szCs w:val="24"/>
        </w:rPr>
        <w:t xml:space="preserve">, bem como </w:t>
      </w:r>
      <w:r w:rsidRPr="00CD7BAB">
        <w:rPr>
          <w:sz w:val="24"/>
          <w:szCs w:val="24"/>
        </w:rPr>
        <w:t xml:space="preserve">a metodologia </w:t>
      </w:r>
      <w:r w:rsidR="000C52C5" w:rsidRPr="00CD7BAB">
        <w:rPr>
          <w:sz w:val="24"/>
          <w:szCs w:val="24"/>
        </w:rPr>
        <w:t>empregada</w:t>
      </w:r>
      <w:r w:rsidRPr="00CD7BAB">
        <w:rPr>
          <w:sz w:val="24"/>
          <w:szCs w:val="24"/>
        </w:rPr>
        <w:t xml:space="preserve"> na avaliação do rendimento.</w:t>
      </w:r>
    </w:p>
    <w:p w14:paraId="3B8302E6" w14:textId="77777777" w:rsidR="003A0C72" w:rsidRDefault="003A0C72" w:rsidP="0027231C">
      <w:pPr>
        <w:widowControl/>
        <w:spacing w:line="360" w:lineRule="auto"/>
        <w:ind w:firstLine="709"/>
        <w:jc w:val="both"/>
        <w:rPr>
          <w:sz w:val="24"/>
          <w:szCs w:val="24"/>
        </w:rPr>
      </w:pPr>
      <w:r w:rsidRPr="003A0C72">
        <w:rPr>
          <w:sz w:val="24"/>
          <w:szCs w:val="24"/>
        </w:rPr>
        <w:t xml:space="preserve">O rendimento médio da espécie Maçaranduba conforme Danielli (2016), pode estar na faixa de 45% a 55%. No entanto, o valor observado no presente trabalho foi de 44,35%, abaixo do que foi citado pelo autor, porém, estatisticamente igual ao valor médio de CRV (44,30%) apresentado por Santos et al. (2017). De acordo com Rocha (2002), o redimento volumetrico não depende somente da espécie, sendo influenciado também em função da qualidade dos </w:t>
      </w:r>
      <w:r w:rsidRPr="003A0C72">
        <w:rPr>
          <w:sz w:val="24"/>
          <w:szCs w:val="24"/>
        </w:rPr>
        <w:lastRenderedPageBreak/>
        <w:t>povoamentos, dos equipamentos, técnicas de desdobro e da qualificação profissional dos operários.</w:t>
      </w:r>
    </w:p>
    <w:p w14:paraId="03646042" w14:textId="070EB032" w:rsidR="0027231C" w:rsidRPr="003A0C72" w:rsidRDefault="0027231C" w:rsidP="0027231C">
      <w:pPr>
        <w:widowControl/>
        <w:spacing w:line="360" w:lineRule="auto"/>
        <w:ind w:firstLine="709"/>
        <w:jc w:val="both"/>
        <w:rPr>
          <w:sz w:val="24"/>
          <w:szCs w:val="24"/>
        </w:rPr>
      </w:pPr>
      <w:r w:rsidRPr="0027231C">
        <w:rPr>
          <w:sz w:val="24"/>
          <w:szCs w:val="24"/>
        </w:rPr>
        <w:t>Por fim, é válido ressaltar que para a realização dos cálculos e da análise estatística, o presente trabalho considera apenas o rendimento volumétrico das peças de qualidade resultantes do processo de desdobro e desconsidera a porcentagem equivalente aos resíduos que poderiam ser reaproveitados para outras finalidades industriais.</w:t>
      </w:r>
    </w:p>
    <w:p w14:paraId="6EF26A43" w14:textId="12FCA579" w:rsidR="003949CE" w:rsidRDefault="003949CE" w:rsidP="00FB4014">
      <w:pPr>
        <w:widowControl/>
        <w:tabs>
          <w:tab w:val="left" w:pos="1290"/>
        </w:tabs>
        <w:spacing w:after="160" w:line="360" w:lineRule="auto"/>
        <w:jc w:val="both"/>
        <w:rPr>
          <w:sz w:val="28"/>
          <w:szCs w:val="28"/>
        </w:rPr>
      </w:pPr>
      <w:r>
        <w:rPr>
          <w:b/>
          <w:sz w:val="24"/>
          <w:szCs w:val="24"/>
        </w:rPr>
        <w:t>4. CONSIDERAÇÕES FINAIS</w:t>
      </w:r>
    </w:p>
    <w:p w14:paraId="1517BB16" w14:textId="379E4082" w:rsidR="00E919B4" w:rsidRDefault="003949CE" w:rsidP="0027231C">
      <w:pPr>
        <w:widowControl/>
        <w:tabs>
          <w:tab w:val="left" w:pos="699"/>
        </w:tabs>
        <w:spacing w:line="360" w:lineRule="auto"/>
        <w:jc w:val="both"/>
        <w:rPr>
          <w:sz w:val="24"/>
          <w:szCs w:val="24"/>
        </w:rPr>
      </w:pPr>
      <w:r>
        <w:rPr>
          <w:sz w:val="24"/>
          <w:szCs w:val="24"/>
        </w:rPr>
        <w:tab/>
      </w:r>
      <w:r w:rsidR="00645D03" w:rsidRPr="00645D03">
        <w:rPr>
          <w:sz w:val="24"/>
          <w:szCs w:val="24"/>
        </w:rPr>
        <w:t>A análise do coeficiente de rendimento volumétrico evidenciou diferenças significativas entre as espécies madeireiras avaliadas. O Angelim-pedra apresentou o maior rendimento médio (52,55%), enquanto o Mururé registrou o menor valor (32,51%), demonstrando a influência direta das características anatômicas e morfológicas de cada espécie sobre o aproveitamento da madeira.</w:t>
      </w:r>
      <w:r w:rsidR="00645D03">
        <w:rPr>
          <w:sz w:val="24"/>
          <w:szCs w:val="24"/>
        </w:rPr>
        <w:t xml:space="preserve"> </w:t>
      </w:r>
    </w:p>
    <w:p w14:paraId="63CCDAA4" w14:textId="77777777" w:rsidR="00E919B4" w:rsidRDefault="00645D03" w:rsidP="0027231C">
      <w:pPr>
        <w:widowControl/>
        <w:tabs>
          <w:tab w:val="left" w:pos="699"/>
        </w:tabs>
        <w:spacing w:line="360" w:lineRule="auto"/>
        <w:ind w:firstLine="709"/>
        <w:jc w:val="both"/>
        <w:rPr>
          <w:sz w:val="24"/>
          <w:szCs w:val="24"/>
        </w:rPr>
      </w:pPr>
      <w:r w:rsidRPr="00645D03">
        <w:rPr>
          <w:sz w:val="24"/>
          <w:szCs w:val="24"/>
        </w:rPr>
        <w:t>De modo geral, a média de CRV obtida para o conjunto das espécies foi de 44,34%, valor próximo ao limite provisório de 45% estabelecido pela Resolução CONAMA nº 484/2018 para o processamento de toras e toretes em madeira serrada. Apenas as espécies Angelim-pedra, Cupiúba e Tatajuba apresentaram coeficientes superiores ao valor fixado, indicando maior eficiência no processo de desdobro e melhor aproveitamento da matéria-prima.</w:t>
      </w:r>
      <w:r>
        <w:rPr>
          <w:sz w:val="24"/>
          <w:szCs w:val="24"/>
        </w:rPr>
        <w:t xml:space="preserve"> </w:t>
      </w:r>
    </w:p>
    <w:p w14:paraId="29B899FC" w14:textId="6EF5B926" w:rsidR="00645D03" w:rsidRDefault="00645D03" w:rsidP="0027231C">
      <w:pPr>
        <w:widowControl/>
        <w:tabs>
          <w:tab w:val="left" w:pos="699"/>
        </w:tabs>
        <w:spacing w:line="360" w:lineRule="auto"/>
        <w:ind w:firstLine="709"/>
        <w:jc w:val="both"/>
        <w:rPr>
          <w:sz w:val="24"/>
          <w:szCs w:val="24"/>
        </w:rPr>
      </w:pPr>
      <w:r w:rsidRPr="00645D03">
        <w:rPr>
          <w:sz w:val="24"/>
          <w:szCs w:val="24"/>
        </w:rPr>
        <w:t>Os resultados reforçam a importância de aprimorar as práticas de beneficiamento adotadas nas serrarias da região, uma vez que a eficiência do rendimento depende não apenas da espécie utilizada, mas também da qualidade das toras e das condições operacionais do desdobro. A padronização do material por classes diamétricas, associada à avaliação prévia de atributos como tortuosidade, conicidade, bifurcação, presença de nós e rachaduras, pode contribuir significativamente para a melhoria dos índices de rendimento e para a redução de perdas no processamento.</w:t>
      </w:r>
    </w:p>
    <w:p w14:paraId="74CB823D" w14:textId="7CBACC6A" w:rsidR="00CD7BAB" w:rsidRDefault="00645D03" w:rsidP="0027231C">
      <w:pPr>
        <w:widowControl/>
        <w:tabs>
          <w:tab w:val="left" w:pos="699"/>
        </w:tabs>
        <w:spacing w:line="360" w:lineRule="auto"/>
        <w:ind w:firstLine="709"/>
        <w:jc w:val="both"/>
        <w:rPr>
          <w:sz w:val="24"/>
          <w:szCs w:val="24"/>
        </w:rPr>
      </w:pPr>
      <w:r w:rsidRPr="00645D03">
        <w:rPr>
          <w:sz w:val="24"/>
          <w:szCs w:val="24"/>
        </w:rPr>
        <w:t>Portanto, recomenda-s</w:t>
      </w:r>
      <w:r>
        <w:rPr>
          <w:sz w:val="24"/>
          <w:szCs w:val="24"/>
        </w:rPr>
        <w:t>e</w:t>
      </w:r>
      <w:r w:rsidRPr="00645D03">
        <w:rPr>
          <w:sz w:val="24"/>
          <w:szCs w:val="24"/>
        </w:rPr>
        <w:t xml:space="preserve"> que estudos futuros considerem a classificação das toras por diâmetro e qualidade, de forma a permitir análises comparativas mais precisas e representativas. Essas informações são fundamentais para orientar práticas de manejo e industrialização mais eficientes, promovendo o uso sustentável dos recursos florestais e fortalecendo o setor madeireiro regional.</w:t>
      </w:r>
    </w:p>
    <w:p w14:paraId="49615EE6" w14:textId="77777777" w:rsidR="00CD7BAB" w:rsidRPr="009A70F9" w:rsidRDefault="00CD7BAB" w:rsidP="00CD7BAB">
      <w:pPr>
        <w:widowControl/>
        <w:tabs>
          <w:tab w:val="left" w:pos="699"/>
        </w:tabs>
        <w:jc w:val="both"/>
        <w:rPr>
          <w:sz w:val="24"/>
          <w:szCs w:val="24"/>
        </w:rPr>
      </w:pPr>
    </w:p>
    <w:p w14:paraId="5D816746" w14:textId="7A35F634" w:rsidR="003949CE" w:rsidRDefault="003949CE" w:rsidP="003949CE">
      <w:pPr>
        <w:widowControl/>
        <w:tabs>
          <w:tab w:val="left" w:pos="1290"/>
        </w:tabs>
        <w:spacing w:after="160" w:line="259" w:lineRule="auto"/>
        <w:jc w:val="both"/>
        <w:rPr>
          <w:color w:val="FF0000"/>
          <w:sz w:val="24"/>
          <w:szCs w:val="24"/>
        </w:rPr>
      </w:pPr>
      <w:r>
        <w:rPr>
          <w:b/>
          <w:sz w:val="24"/>
          <w:szCs w:val="24"/>
        </w:rPr>
        <w:lastRenderedPageBreak/>
        <w:t xml:space="preserve">REFERÊNCIAS </w:t>
      </w:r>
    </w:p>
    <w:p w14:paraId="05FFDE8E" w14:textId="7A913236" w:rsidR="008E48A9" w:rsidRDefault="007A7C87" w:rsidP="0027231C">
      <w:pPr>
        <w:widowControl/>
        <w:tabs>
          <w:tab w:val="left" w:pos="1290"/>
        </w:tabs>
        <w:rPr>
          <w:sz w:val="24"/>
          <w:szCs w:val="24"/>
        </w:rPr>
      </w:pPr>
      <w:r w:rsidRPr="009D0B0A">
        <w:rPr>
          <w:sz w:val="24"/>
          <w:szCs w:val="24"/>
        </w:rPr>
        <w:t xml:space="preserve">BRASIL. Ministério do Meio Ambiente. Conselho Nacional do Meio Ambiente (CONAMA). </w:t>
      </w:r>
      <w:r w:rsidRPr="009D0B0A">
        <w:rPr>
          <w:b/>
          <w:bCs/>
          <w:sz w:val="24"/>
          <w:szCs w:val="24"/>
        </w:rPr>
        <w:t>Resolução nº 484, de 22 de março de 2018</w:t>
      </w:r>
      <w:r w:rsidRPr="009D0B0A">
        <w:rPr>
          <w:sz w:val="24"/>
          <w:szCs w:val="24"/>
        </w:rPr>
        <w:t xml:space="preserve">. Altera a Resolução nº 474, de 6 de abril de 2016, que dispõe sobre procedimentos para inspeção de indústrias consumidoras ou transformadoras de produtos e subprodutos florestais madeireiros de origem nativa, bem como os respectivos padrões de coeficientes de rendimento volumétricos de madeira serrada. Diário Oficial da União: seção 1, n. 61, p. 252, 29 mar. 2018. Brasília, DF. Disponível em: </w:t>
      </w:r>
      <w:hyperlink r:id="rId9" w:history="1">
        <w:r w:rsidRPr="009D0B0A">
          <w:rPr>
            <w:rStyle w:val="Hyperlink"/>
            <w:color w:val="auto"/>
            <w:sz w:val="24"/>
            <w:szCs w:val="24"/>
            <w:u w:val="none"/>
          </w:rPr>
          <w:t>https://www.ibama.gov.br/component/legislacao/?view=legislacao&amp;legislacao=138204</w:t>
        </w:r>
      </w:hyperlink>
      <w:r w:rsidRPr="009D0B0A">
        <w:rPr>
          <w:sz w:val="24"/>
          <w:szCs w:val="24"/>
        </w:rPr>
        <w:t xml:space="preserve">. Acesso em: </w:t>
      </w:r>
      <w:r w:rsidR="008E48A9" w:rsidRPr="009D0B0A">
        <w:rPr>
          <w:sz w:val="24"/>
          <w:szCs w:val="24"/>
        </w:rPr>
        <w:t>3</w:t>
      </w:r>
      <w:r w:rsidRPr="009D0B0A">
        <w:rPr>
          <w:sz w:val="24"/>
          <w:szCs w:val="24"/>
        </w:rPr>
        <w:t xml:space="preserve"> nov. 2025.</w:t>
      </w:r>
    </w:p>
    <w:p w14:paraId="1B59771F" w14:textId="77777777" w:rsidR="0027231C" w:rsidRPr="009D0B0A" w:rsidRDefault="0027231C" w:rsidP="0027231C">
      <w:pPr>
        <w:widowControl/>
        <w:tabs>
          <w:tab w:val="left" w:pos="1290"/>
        </w:tabs>
        <w:rPr>
          <w:sz w:val="24"/>
          <w:szCs w:val="24"/>
        </w:rPr>
      </w:pPr>
    </w:p>
    <w:p w14:paraId="54233A4F" w14:textId="4DB437D9" w:rsidR="008E48A9" w:rsidRDefault="008E48A9" w:rsidP="0027231C">
      <w:pPr>
        <w:widowControl/>
        <w:tabs>
          <w:tab w:val="left" w:pos="1290"/>
        </w:tabs>
        <w:rPr>
          <w:sz w:val="24"/>
          <w:szCs w:val="24"/>
        </w:rPr>
      </w:pPr>
      <w:r w:rsidRPr="009D0B0A">
        <w:rPr>
          <w:sz w:val="24"/>
          <w:szCs w:val="24"/>
          <w:lang w:val="pt-BR"/>
        </w:rPr>
        <w:t xml:space="preserve">DANIELLI, F. E. et al. </w:t>
      </w:r>
      <w:r w:rsidRPr="009D0B0A">
        <w:rPr>
          <w:sz w:val="24"/>
          <w:szCs w:val="24"/>
        </w:rPr>
        <w:t xml:space="preserve">Modelagem do rendimento no desdobro de toras de Manilkara spp. (Sapotaceae) em serraria do estado de Roraima, Brasil. </w:t>
      </w:r>
      <w:r w:rsidRPr="009D0B0A">
        <w:rPr>
          <w:b/>
          <w:bCs/>
          <w:sz w:val="24"/>
          <w:szCs w:val="24"/>
        </w:rPr>
        <w:t>Scientia Forestalis</w:t>
      </w:r>
      <w:r w:rsidRPr="009D0B0A">
        <w:rPr>
          <w:sz w:val="24"/>
          <w:szCs w:val="24"/>
        </w:rPr>
        <w:t xml:space="preserve">, v. 44, n. 111, p. 679–688, 2016. Disponível em: </w:t>
      </w:r>
      <w:hyperlink r:id="rId10" w:history="1">
        <w:r w:rsidRPr="009D0B0A">
          <w:rPr>
            <w:rStyle w:val="Hyperlink"/>
            <w:color w:val="auto"/>
            <w:sz w:val="24"/>
            <w:szCs w:val="24"/>
            <w:u w:val="none"/>
          </w:rPr>
          <w:t>https://doi.org/10.18671/scifor.v44n111.10</w:t>
        </w:r>
      </w:hyperlink>
      <w:r w:rsidRPr="009D0B0A">
        <w:rPr>
          <w:sz w:val="24"/>
          <w:szCs w:val="24"/>
        </w:rPr>
        <w:t>. Acesso em: 3 nov. 2025.</w:t>
      </w:r>
    </w:p>
    <w:p w14:paraId="53F87BD0" w14:textId="77777777" w:rsidR="0027231C" w:rsidRPr="009D0B0A" w:rsidRDefault="0027231C" w:rsidP="0027231C">
      <w:pPr>
        <w:widowControl/>
        <w:tabs>
          <w:tab w:val="left" w:pos="1290"/>
        </w:tabs>
        <w:rPr>
          <w:sz w:val="24"/>
          <w:szCs w:val="24"/>
        </w:rPr>
      </w:pPr>
    </w:p>
    <w:p w14:paraId="046225C0" w14:textId="3FE5107D" w:rsidR="008E48A9" w:rsidRDefault="008E48A9" w:rsidP="0027231C">
      <w:pPr>
        <w:widowControl/>
        <w:tabs>
          <w:tab w:val="left" w:pos="1290"/>
        </w:tabs>
        <w:rPr>
          <w:sz w:val="24"/>
          <w:szCs w:val="24"/>
        </w:rPr>
      </w:pPr>
      <w:r w:rsidRPr="009D0B0A">
        <w:rPr>
          <w:sz w:val="24"/>
          <w:szCs w:val="24"/>
        </w:rPr>
        <w:t xml:space="preserve">GARCIA, F. M. et al. Rendimento no desdobro de toras de itaúba (Mezilaurus itauba) e tauarí (Couratari guianensis) segundo a classificação da qualidade da tora. </w:t>
      </w:r>
      <w:r w:rsidRPr="009D0B0A">
        <w:rPr>
          <w:b/>
          <w:bCs/>
          <w:sz w:val="24"/>
          <w:szCs w:val="24"/>
        </w:rPr>
        <w:t>Floresta e Ambiente</w:t>
      </w:r>
      <w:r w:rsidRPr="009D0B0A">
        <w:rPr>
          <w:sz w:val="24"/>
          <w:szCs w:val="24"/>
        </w:rPr>
        <w:t xml:space="preserve">, v. 19, n. 4, p. 468–474, 2012. Disponível em: </w:t>
      </w:r>
      <w:hyperlink r:id="rId11" w:history="1">
        <w:r w:rsidRPr="009D0B0A">
          <w:rPr>
            <w:rStyle w:val="Hyperlink"/>
            <w:color w:val="auto"/>
            <w:sz w:val="24"/>
            <w:szCs w:val="24"/>
            <w:u w:val="none"/>
          </w:rPr>
          <w:t>https://doi.org/10.4322/floram.2012.059</w:t>
        </w:r>
      </w:hyperlink>
      <w:r w:rsidRPr="009D0B0A">
        <w:rPr>
          <w:sz w:val="24"/>
          <w:szCs w:val="24"/>
        </w:rPr>
        <w:t>. Acesso em: 3 nov. 2025.</w:t>
      </w:r>
    </w:p>
    <w:p w14:paraId="294F5EA0" w14:textId="77777777" w:rsidR="0027231C" w:rsidRPr="009D0B0A" w:rsidRDefault="0027231C" w:rsidP="0027231C">
      <w:pPr>
        <w:widowControl/>
        <w:tabs>
          <w:tab w:val="left" w:pos="1290"/>
        </w:tabs>
        <w:rPr>
          <w:sz w:val="24"/>
          <w:szCs w:val="24"/>
        </w:rPr>
      </w:pPr>
    </w:p>
    <w:p w14:paraId="28FA2D8D" w14:textId="697560C4" w:rsidR="00146FB7" w:rsidRDefault="00146FB7" w:rsidP="0027231C">
      <w:pPr>
        <w:widowControl/>
        <w:tabs>
          <w:tab w:val="left" w:pos="1290"/>
        </w:tabs>
        <w:rPr>
          <w:sz w:val="24"/>
          <w:szCs w:val="24"/>
        </w:rPr>
      </w:pPr>
      <w:r w:rsidRPr="009D0B0A">
        <w:rPr>
          <w:sz w:val="24"/>
          <w:szCs w:val="24"/>
        </w:rPr>
        <w:t>MARCHESAN, R.</w:t>
      </w:r>
      <w:r w:rsidRPr="009D0B0A">
        <w:t xml:space="preserve"> </w:t>
      </w:r>
      <w:r w:rsidRPr="009D0B0A">
        <w:rPr>
          <w:sz w:val="24"/>
          <w:szCs w:val="24"/>
        </w:rPr>
        <w:t>Rendimento e qualidade de madeira serrada de três espécies tropicais. Curitiba, 2012. 96 f</w:t>
      </w:r>
      <w:r w:rsidRPr="009D0B0A">
        <w:rPr>
          <w:b/>
          <w:bCs/>
          <w:sz w:val="24"/>
          <w:szCs w:val="24"/>
        </w:rPr>
        <w:t>. Dissertação (Mestrado) – Programa de Pós-Graduação em Engenharia Florestal</w:t>
      </w:r>
      <w:r w:rsidRPr="009D0B0A">
        <w:rPr>
          <w:sz w:val="24"/>
          <w:szCs w:val="24"/>
        </w:rPr>
        <w:t xml:space="preserve">. Universidade Federal do Paraná, Curitiba, 2012. Disponível em: </w:t>
      </w:r>
      <w:hyperlink r:id="rId12" w:history="1">
        <w:r w:rsidRPr="009D0B0A">
          <w:rPr>
            <w:rStyle w:val="Hyperlink"/>
            <w:color w:val="auto"/>
            <w:sz w:val="24"/>
            <w:szCs w:val="24"/>
            <w:u w:val="none"/>
          </w:rPr>
          <w:t>http://www.floresta.ufpr.br/pos-graduacao/defesas/pdf_ms/2012/d592_0826-M.pdf</w:t>
        </w:r>
      </w:hyperlink>
      <w:r w:rsidRPr="009D0B0A">
        <w:rPr>
          <w:sz w:val="24"/>
          <w:szCs w:val="24"/>
        </w:rPr>
        <w:t>. Acesso em: 4 nov. 2025.</w:t>
      </w:r>
    </w:p>
    <w:p w14:paraId="1667E3C1" w14:textId="77777777" w:rsidR="0027231C" w:rsidRPr="009D0B0A" w:rsidRDefault="0027231C" w:rsidP="0027231C">
      <w:pPr>
        <w:widowControl/>
        <w:tabs>
          <w:tab w:val="left" w:pos="1290"/>
        </w:tabs>
        <w:rPr>
          <w:sz w:val="24"/>
          <w:szCs w:val="24"/>
        </w:rPr>
      </w:pPr>
    </w:p>
    <w:p w14:paraId="43B2D712" w14:textId="22BA4798" w:rsidR="00146FB7" w:rsidRPr="009D0B0A" w:rsidRDefault="00146FB7" w:rsidP="0027231C">
      <w:pPr>
        <w:widowControl/>
        <w:tabs>
          <w:tab w:val="left" w:pos="1290"/>
        </w:tabs>
        <w:rPr>
          <w:sz w:val="24"/>
          <w:szCs w:val="24"/>
        </w:rPr>
      </w:pPr>
      <w:r w:rsidRPr="009D0B0A">
        <w:rPr>
          <w:sz w:val="24"/>
          <w:szCs w:val="24"/>
        </w:rPr>
        <w:t xml:space="preserve">MENDOZA, Z. M. DOS S. H. DE; BORGES, P. H. DE M.; PIERIN, L. C. Coeficiente de rendimento em madeira serrada de oito espécies nativas de Mato Grosso. </w:t>
      </w:r>
      <w:r w:rsidRPr="009D0B0A">
        <w:rPr>
          <w:b/>
          <w:bCs/>
          <w:sz w:val="24"/>
          <w:szCs w:val="24"/>
        </w:rPr>
        <w:t>Nativa</w:t>
      </w:r>
      <w:r w:rsidRPr="009D0B0A">
        <w:rPr>
          <w:sz w:val="24"/>
          <w:szCs w:val="24"/>
        </w:rPr>
        <w:t xml:space="preserve">, v. 5, 2017. </w:t>
      </w:r>
      <w:bookmarkStart w:id="4" w:name="_Hlk213428354"/>
      <w:r w:rsidRPr="009D0B0A">
        <w:rPr>
          <w:sz w:val="24"/>
          <w:szCs w:val="24"/>
        </w:rPr>
        <w:t xml:space="preserve">Diponível em: </w:t>
      </w:r>
      <w:bookmarkEnd w:id="4"/>
      <w:r w:rsidRPr="009D0B0A">
        <w:rPr>
          <w:sz w:val="24"/>
          <w:szCs w:val="24"/>
        </w:rPr>
        <w:fldChar w:fldCharType="begin"/>
      </w:r>
      <w:r w:rsidRPr="009D0B0A">
        <w:rPr>
          <w:sz w:val="24"/>
          <w:szCs w:val="24"/>
        </w:rPr>
        <w:instrText>HYPERLINK "https://doi.org/10.5935/2318-7670.v05nespa16"</w:instrText>
      </w:r>
      <w:r w:rsidRPr="009D0B0A">
        <w:rPr>
          <w:sz w:val="24"/>
          <w:szCs w:val="24"/>
        </w:rPr>
      </w:r>
      <w:r w:rsidRPr="009D0B0A">
        <w:rPr>
          <w:sz w:val="24"/>
          <w:szCs w:val="24"/>
        </w:rPr>
        <w:fldChar w:fldCharType="separate"/>
      </w:r>
      <w:r w:rsidRPr="009D0B0A">
        <w:rPr>
          <w:rStyle w:val="Hyperlink"/>
          <w:color w:val="auto"/>
          <w:sz w:val="24"/>
          <w:szCs w:val="24"/>
          <w:u w:val="none"/>
        </w:rPr>
        <w:t>https://doi.org/10.5935/2318-7670.v05nespa16</w:t>
      </w:r>
      <w:r w:rsidRPr="009D0B0A">
        <w:rPr>
          <w:sz w:val="24"/>
          <w:szCs w:val="24"/>
        </w:rPr>
        <w:fldChar w:fldCharType="end"/>
      </w:r>
      <w:r w:rsidRPr="009D0B0A">
        <w:rPr>
          <w:sz w:val="24"/>
          <w:szCs w:val="24"/>
        </w:rPr>
        <w:t>. Acesso em: 4 nov. 2025.</w:t>
      </w:r>
    </w:p>
    <w:p w14:paraId="70D0E6FF" w14:textId="486E312A" w:rsidR="003D0200" w:rsidRDefault="00175A7E" w:rsidP="0027231C">
      <w:pPr>
        <w:widowControl/>
        <w:tabs>
          <w:tab w:val="left" w:pos="1290"/>
        </w:tabs>
        <w:rPr>
          <w:sz w:val="24"/>
          <w:szCs w:val="24"/>
        </w:rPr>
      </w:pPr>
      <w:r w:rsidRPr="009D0B0A">
        <w:rPr>
          <w:sz w:val="24"/>
          <w:szCs w:val="24"/>
        </w:rPr>
        <w:t xml:space="preserve">ROCHA, M. P. Técnicas de planejamento em serrarias. </w:t>
      </w:r>
      <w:r w:rsidRPr="009D0B0A">
        <w:rPr>
          <w:b/>
          <w:bCs/>
          <w:sz w:val="24"/>
          <w:szCs w:val="24"/>
        </w:rPr>
        <w:t>Série didática FUPEF</w:t>
      </w:r>
      <w:r w:rsidRPr="009D0B0A">
        <w:rPr>
          <w:sz w:val="24"/>
          <w:szCs w:val="24"/>
        </w:rPr>
        <w:t>. Curitiba, n. 01/02, 121 p., 2002.</w:t>
      </w:r>
    </w:p>
    <w:p w14:paraId="4E43ADAE" w14:textId="77777777" w:rsidR="0027231C" w:rsidRPr="009D0B0A" w:rsidRDefault="0027231C" w:rsidP="0027231C">
      <w:pPr>
        <w:widowControl/>
        <w:tabs>
          <w:tab w:val="left" w:pos="1290"/>
        </w:tabs>
        <w:rPr>
          <w:sz w:val="24"/>
          <w:szCs w:val="24"/>
        </w:rPr>
      </w:pPr>
    </w:p>
    <w:p w14:paraId="0E153333" w14:textId="7616F8F0" w:rsidR="00175A7E" w:rsidRDefault="00BE2569" w:rsidP="0027231C">
      <w:pPr>
        <w:widowControl/>
        <w:tabs>
          <w:tab w:val="left" w:pos="1290"/>
        </w:tabs>
        <w:rPr>
          <w:sz w:val="24"/>
          <w:szCs w:val="24"/>
        </w:rPr>
      </w:pPr>
      <w:r w:rsidRPr="009D0B0A">
        <w:rPr>
          <w:sz w:val="24"/>
          <w:szCs w:val="24"/>
        </w:rPr>
        <w:t xml:space="preserve">SANTOS, E. K. H.; ALMEIDA, J. S.; OLIVEIRA, J.; SANTOS, I. S. </w:t>
      </w:r>
      <w:r w:rsidRPr="009D0B0A">
        <w:rPr>
          <w:b/>
          <w:bCs/>
          <w:sz w:val="24"/>
          <w:szCs w:val="24"/>
        </w:rPr>
        <w:t>O rendimento de duas espécies florestais amazônicas após desdobro primário</w:t>
      </w:r>
      <w:r w:rsidRPr="009D0B0A">
        <w:rPr>
          <w:sz w:val="24"/>
          <w:szCs w:val="24"/>
        </w:rPr>
        <w:t xml:space="preserve">. In: CONGRESSO BRASILEIRO DE CIÊNCIA E TECNOLOGIA DA MADEIRA, 2017. </w:t>
      </w:r>
      <w:r w:rsidRPr="009D0B0A">
        <w:rPr>
          <w:i/>
          <w:iCs/>
          <w:sz w:val="24"/>
          <w:szCs w:val="24"/>
        </w:rPr>
        <w:t>Anais eletrônicos</w:t>
      </w:r>
      <w:r w:rsidRPr="009D0B0A">
        <w:rPr>
          <w:sz w:val="24"/>
          <w:szCs w:val="24"/>
        </w:rPr>
        <w:t>... Galoá, 2017</w:t>
      </w:r>
      <w:r w:rsidR="00175A7E" w:rsidRPr="009D0B0A">
        <w:rPr>
          <w:sz w:val="24"/>
          <w:szCs w:val="24"/>
        </w:rPr>
        <w:t>. Disponível em: &lt;https://proceedings.science/cbctem/trabalhos/o-rendimento-de-duas-especies-florestais-amazonicas-apos-desdobro-primario?lang=pt-br&gt; Acesso em: 0</w:t>
      </w:r>
      <w:r w:rsidRPr="009D0B0A">
        <w:rPr>
          <w:sz w:val="24"/>
          <w:szCs w:val="24"/>
        </w:rPr>
        <w:t>4 n</w:t>
      </w:r>
      <w:r w:rsidR="00175A7E" w:rsidRPr="009D0B0A">
        <w:rPr>
          <w:sz w:val="24"/>
          <w:szCs w:val="24"/>
        </w:rPr>
        <w:t>ov. 2025.</w:t>
      </w:r>
    </w:p>
    <w:p w14:paraId="3FD48903" w14:textId="77777777" w:rsidR="0027231C" w:rsidRPr="009D0B0A" w:rsidRDefault="0027231C" w:rsidP="0027231C">
      <w:pPr>
        <w:widowControl/>
        <w:tabs>
          <w:tab w:val="left" w:pos="1290"/>
        </w:tabs>
        <w:rPr>
          <w:sz w:val="24"/>
          <w:szCs w:val="24"/>
        </w:rPr>
      </w:pPr>
    </w:p>
    <w:p w14:paraId="097C3BAB" w14:textId="5BA127CB" w:rsidR="00BE2569" w:rsidRPr="009D0B0A" w:rsidRDefault="00BE2569" w:rsidP="0027231C">
      <w:pPr>
        <w:widowControl/>
        <w:tabs>
          <w:tab w:val="left" w:pos="1290"/>
        </w:tabs>
        <w:rPr>
          <w:sz w:val="24"/>
          <w:szCs w:val="24"/>
        </w:rPr>
      </w:pPr>
      <w:r w:rsidRPr="009D0B0A">
        <w:rPr>
          <w:sz w:val="24"/>
          <w:szCs w:val="24"/>
        </w:rPr>
        <w:t xml:space="preserve">SILVA, F. A. M.; LIMA, V. C.; PIOVESAN, P. R. R.; SILVA, E. M.; SANTOS, R. M.; MENEZES, W. S. </w:t>
      </w:r>
      <w:r w:rsidRPr="009D0B0A">
        <w:rPr>
          <w:b/>
          <w:bCs/>
          <w:sz w:val="24"/>
          <w:szCs w:val="24"/>
        </w:rPr>
        <w:t>Análise do setor madeireiro no município de São Miguel do Guamá – PA</w:t>
      </w:r>
      <w:r w:rsidRPr="009D0B0A">
        <w:rPr>
          <w:sz w:val="24"/>
          <w:szCs w:val="24"/>
        </w:rPr>
        <w:t xml:space="preserve">. In: REUNIÃO ANUAL DA SOCIEDADE BRASILEIRA PARA O PROGRESSO DA CIÊNCIA (SBPC), 64., 2012, São Luís, MA. </w:t>
      </w:r>
      <w:r w:rsidRPr="009D0B0A">
        <w:rPr>
          <w:i/>
          <w:iCs/>
          <w:sz w:val="24"/>
          <w:szCs w:val="24"/>
        </w:rPr>
        <w:t>Anais...</w:t>
      </w:r>
      <w:r w:rsidRPr="009D0B0A">
        <w:rPr>
          <w:sz w:val="24"/>
          <w:szCs w:val="24"/>
        </w:rPr>
        <w:t xml:space="preserve"> São Luís: Universidade Federal do Maranhão, 2012.</w:t>
      </w:r>
    </w:p>
    <w:p w14:paraId="6CB2DC18" w14:textId="2B8557F8" w:rsidR="00BE2569" w:rsidRDefault="00BE2569" w:rsidP="0027231C">
      <w:pPr>
        <w:widowControl/>
        <w:tabs>
          <w:tab w:val="left" w:pos="1290"/>
        </w:tabs>
        <w:rPr>
          <w:sz w:val="24"/>
          <w:szCs w:val="24"/>
        </w:rPr>
      </w:pPr>
      <w:r w:rsidRPr="009D0B0A">
        <w:rPr>
          <w:sz w:val="24"/>
          <w:szCs w:val="24"/>
        </w:rPr>
        <w:lastRenderedPageBreak/>
        <w:t xml:space="preserve">SURDI, Paula Gabriella. </w:t>
      </w:r>
      <w:r w:rsidRPr="009D0B0A">
        <w:rPr>
          <w:b/>
          <w:bCs/>
          <w:sz w:val="24"/>
          <w:szCs w:val="24"/>
        </w:rPr>
        <w:t>Aproveitamento de resíduos do processamento mecânico de madeiras amazônicas para a produção de painéis aglomerados de alta densificação</w:t>
      </w:r>
      <w:r w:rsidRPr="009D0B0A">
        <w:rPr>
          <w:sz w:val="24"/>
          <w:szCs w:val="24"/>
        </w:rPr>
        <w:t>. 2015. Tese (Doutorado em Recursos Florestais) - Escola Superior de Agricultura Luiz de Queiroz, Universidade de São Paulo, Piracicaba, 2015. Diponível em: https://doi:10.11606/T.11.2016.tde-06042016-183539. Acesso em: 04 nov. 2025.</w:t>
      </w:r>
    </w:p>
    <w:p w14:paraId="241882BE" w14:textId="77777777" w:rsidR="0027231C" w:rsidRPr="009D0B0A" w:rsidRDefault="0027231C" w:rsidP="0027231C">
      <w:pPr>
        <w:widowControl/>
        <w:tabs>
          <w:tab w:val="left" w:pos="1290"/>
        </w:tabs>
        <w:rPr>
          <w:sz w:val="24"/>
          <w:szCs w:val="24"/>
        </w:rPr>
      </w:pPr>
    </w:p>
    <w:p w14:paraId="43D8A3E2" w14:textId="77777777" w:rsidR="00CD7BAB" w:rsidRPr="009D0B0A" w:rsidRDefault="00CD7BAB" w:rsidP="0027231C">
      <w:pPr>
        <w:widowControl/>
        <w:tabs>
          <w:tab w:val="left" w:pos="1290"/>
        </w:tabs>
        <w:rPr>
          <w:sz w:val="24"/>
          <w:szCs w:val="24"/>
        </w:rPr>
      </w:pPr>
      <w:r w:rsidRPr="009D0B0A">
        <w:rPr>
          <w:sz w:val="24"/>
          <w:szCs w:val="24"/>
        </w:rPr>
        <w:t xml:space="preserve">TONINI, H.; FERREIRA,. Rendimento em madeira serrada de cupiúba (Goupia glabra), caferana (Erisma uncinatum) e Angelim-pedra (Dinizia excelsa). </w:t>
      </w:r>
      <w:r w:rsidRPr="009D0B0A">
        <w:rPr>
          <w:b/>
          <w:bCs/>
          <w:sz w:val="24"/>
          <w:szCs w:val="24"/>
        </w:rPr>
        <w:t>Embrapa.br</w:t>
      </w:r>
      <w:r w:rsidRPr="009D0B0A">
        <w:rPr>
          <w:sz w:val="24"/>
          <w:szCs w:val="24"/>
        </w:rPr>
        <w:t>, 2 out. 2012.</w:t>
      </w:r>
    </w:p>
    <w:p w14:paraId="74D32050" w14:textId="3EDE88E1" w:rsidR="00DB5854" w:rsidRPr="009D0B0A" w:rsidRDefault="00DB5854" w:rsidP="00CD7BAB">
      <w:pPr>
        <w:widowControl/>
        <w:tabs>
          <w:tab w:val="left" w:pos="1290"/>
        </w:tabs>
        <w:spacing w:after="160" w:line="259" w:lineRule="auto"/>
        <w:jc w:val="both"/>
        <w:rPr>
          <w:sz w:val="24"/>
          <w:szCs w:val="24"/>
        </w:rPr>
      </w:pPr>
      <w:bookmarkStart w:id="5" w:name="_gjdgxs" w:colFirst="0" w:colLast="0"/>
      <w:bookmarkEnd w:id="5"/>
    </w:p>
    <w:sectPr w:rsidR="00DB5854" w:rsidRPr="009D0B0A" w:rsidSect="005A1575">
      <w:headerReference w:type="default" r:id="rId13"/>
      <w:footerReference w:type="default" r:id="rId14"/>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75D7" w14:textId="77777777" w:rsidR="00563E81" w:rsidRDefault="00563E81" w:rsidP="005A1575">
      <w:r>
        <w:separator/>
      </w:r>
    </w:p>
  </w:endnote>
  <w:endnote w:type="continuationSeparator" w:id="0">
    <w:p w14:paraId="27D21435" w14:textId="77777777" w:rsidR="00563E81" w:rsidRDefault="00563E81"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3E7F7EB0" w:rsidR="005A1575" w:rsidRDefault="004061A6">
    <w:pPr>
      <w:pStyle w:val="Rodap"/>
    </w:pPr>
    <w:r>
      <w:rPr>
        <w:noProof/>
      </w:rPr>
      <w:drawing>
        <wp:anchor distT="0" distB="0" distL="114300" distR="114300" simplePos="0" relativeHeight="251677184" behindDoc="0" locked="0" layoutInCell="1" allowOverlap="1" wp14:anchorId="133CF920" wp14:editId="60A156FD">
          <wp:simplePos x="0" y="0"/>
          <wp:positionH relativeFrom="column">
            <wp:posOffset>2644140</wp:posOffset>
          </wp:positionH>
          <wp:positionV relativeFrom="page">
            <wp:posOffset>10033635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4B3806">
      <w:rPr>
        <w:noProof/>
      </w:rPr>
      <w:drawing>
        <wp:anchor distT="0" distB="0" distL="114300" distR="114300" simplePos="0" relativeHeight="251624960" behindDoc="0" locked="0" layoutInCell="1" allowOverlap="1" wp14:anchorId="38BD3C9F" wp14:editId="48F2D3F8">
          <wp:simplePos x="0" y="0"/>
          <wp:positionH relativeFrom="margin">
            <wp:posOffset>0</wp:posOffset>
          </wp:positionH>
          <wp:positionV relativeFrom="page">
            <wp:posOffset>10036810</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0872" w14:textId="77777777" w:rsidR="00563E81" w:rsidRDefault="00563E81" w:rsidP="005A1575">
      <w:r>
        <w:separator/>
      </w:r>
    </w:p>
  </w:footnote>
  <w:footnote w:type="continuationSeparator" w:id="0">
    <w:p w14:paraId="65B4FD0D" w14:textId="77777777" w:rsidR="00563E81" w:rsidRDefault="00563E81"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130CD"/>
    <w:rsid w:val="000178F3"/>
    <w:rsid w:val="00021F44"/>
    <w:rsid w:val="000234F7"/>
    <w:rsid w:val="000436E8"/>
    <w:rsid w:val="00050A98"/>
    <w:rsid w:val="0006451A"/>
    <w:rsid w:val="00086CB1"/>
    <w:rsid w:val="00092FD6"/>
    <w:rsid w:val="000A1B4B"/>
    <w:rsid w:val="000A3C3D"/>
    <w:rsid w:val="000C52C5"/>
    <w:rsid w:val="000E6288"/>
    <w:rsid w:val="00112FD0"/>
    <w:rsid w:val="001146F9"/>
    <w:rsid w:val="00146FB7"/>
    <w:rsid w:val="00150567"/>
    <w:rsid w:val="00151709"/>
    <w:rsid w:val="001619A7"/>
    <w:rsid w:val="00175A7E"/>
    <w:rsid w:val="00177FDF"/>
    <w:rsid w:val="0018567C"/>
    <w:rsid w:val="001862D7"/>
    <w:rsid w:val="001C49B0"/>
    <w:rsid w:val="001D4FA5"/>
    <w:rsid w:val="001D5F53"/>
    <w:rsid w:val="001F48BA"/>
    <w:rsid w:val="002117BF"/>
    <w:rsid w:val="00231454"/>
    <w:rsid w:val="0023231B"/>
    <w:rsid w:val="00247523"/>
    <w:rsid w:val="00265BA8"/>
    <w:rsid w:val="00267849"/>
    <w:rsid w:val="0027231C"/>
    <w:rsid w:val="00277DCF"/>
    <w:rsid w:val="002D7C82"/>
    <w:rsid w:val="002E2DB5"/>
    <w:rsid w:val="002F3682"/>
    <w:rsid w:val="0031571D"/>
    <w:rsid w:val="00340764"/>
    <w:rsid w:val="00340B04"/>
    <w:rsid w:val="0036257E"/>
    <w:rsid w:val="00362F7A"/>
    <w:rsid w:val="00380AC5"/>
    <w:rsid w:val="00386BD8"/>
    <w:rsid w:val="003949CE"/>
    <w:rsid w:val="003A0C72"/>
    <w:rsid w:val="003D0200"/>
    <w:rsid w:val="003D2954"/>
    <w:rsid w:val="003F0455"/>
    <w:rsid w:val="003F733A"/>
    <w:rsid w:val="004061A6"/>
    <w:rsid w:val="00422ACF"/>
    <w:rsid w:val="004364F1"/>
    <w:rsid w:val="004548BB"/>
    <w:rsid w:val="004713D9"/>
    <w:rsid w:val="00476BC7"/>
    <w:rsid w:val="00493150"/>
    <w:rsid w:val="004964FA"/>
    <w:rsid w:val="004A5E25"/>
    <w:rsid w:val="004B3806"/>
    <w:rsid w:val="004B6235"/>
    <w:rsid w:val="004C00BC"/>
    <w:rsid w:val="004C2D64"/>
    <w:rsid w:val="004C491E"/>
    <w:rsid w:val="004D62A9"/>
    <w:rsid w:val="004E409D"/>
    <w:rsid w:val="005374BC"/>
    <w:rsid w:val="00563E81"/>
    <w:rsid w:val="005A1575"/>
    <w:rsid w:val="005A2A19"/>
    <w:rsid w:val="005B030E"/>
    <w:rsid w:val="005B63D1"/>
    <w:rsid w:val="005C3CB9"/>
    <w:rsid w:val="005E1E36"/>
    <w:rsid w:val="00613DBE"/>
    <w:rsid w:val="00614295"/>
    <w:rsid w:val="00645BA4"/>
    <w:rsid w:val="00645D03"/>
    <w:rsid w:val="006515FD"/>
    <w:rsid w:val="00664AC5"/>
    <w:rsid w:val="006763FC"/>
    <w:rsid w:val="006770B9"/>
    <w:rsid w:val="006805E5"/>
    <w:rsid w:val="00693B2D"/>
    <w:rsid w:val="006A5667"/>
    <w:rsid w:val="006B4F97"/>
    <w:rsid w:val="006F1061"/>
    <w:rsid w:val="007152E5"/>
    <w:rsid w:val="00726C36"/>
    <w:rsid w:val="00734971"/>
    <w:rsid w:val="00750FEB"/>
    <w:rsid w:val="007701A8"/>
    <w:rsid w:val="00781AD2"/>
    <w:rsid w:val="00791205"/>
    <w:rsid w:val="007A0D38"/>
    <w:rsid w:val="007A3840"/>
    <w:rsid w:val="007A7C87"/>
    <w:rsid w:val="007A7D81"/>
    <w:rsid w:val="007B00E2"/>
    <w:rsid w:val="007C619F"/>
    <w:rsid w:val="007D721F"/>
    <w:rsid w:val="00816D7C"/>
    <w:rsid w:val="00826A4F"/>
    <w:rsid w:val="00836259"/>
    <w:rsid w:val="008464D2"/>
    <w:rsid w:val="00891C42"/>
    <w:rsid w:val="008B1382"/>
    <w:rsid w:val="008D78DE"/>
    <w:rsid w:val="008E48A9"/>
    <w:rsid w:val="009059DA"/>
    <w:rsid w:val="0091590C"/>
    <w:rsid w:val="00951A36"/>
    <w:rsid w:val="009577CA"/>
    <w:rsid w:val="009613E3"/>
    <w:rsid w:val="00962C69"/>
    <w:rsid w:val="009753C5"/>
    <w:rsid w:val="009773FD"/>
    <w:rsid w:val="009850B6"/>
    <w:rsid w:val="009A70F9"/>
    <w:rsid w:val="009B0712"/>
    <w:rsid w:val="009C368B"/>
    <w:rsid w:val="009D0B0A"/>
    <w:rsid w:val="00A06C08"/>
    <w:rsid w:val="00A12EFF"/>
    <w:rsid w:val="00A32815"/>
    <w:rsid w:val="00A43923"/>
    <w:rsid w:val="00A65B3B"/>
    <w:rsid w:val="00A6707E"/>
    <w:rsid w:val="00A87A38"/>
    <w:rsid w:val="00AC12A9"/>
    <w:rsid w:val="00B24591"/>
    <w:rsid w:val="00B60395"/>
    <w:rsid w:val="00B82986"/>
    <w:rsid w:val="00BC168C"/>
    <w:rsid w:val="00BE2569"/>
    <w:rsid w:val="00C12D33"/>
    <w:rsid w:val="00C2263C"/>
    <w:rsid w:val="00C71A3A"/>
    <w:rsid w:val="00CC6CAD"/>
    <w:rsid w:val="00CD7BAB"/>
    <w:rsid w:val="00CE2B1C"/>
    <w:rsid w:val="00CE582F"/>
    <w:rsid w:val="00CF3991"/>
    <w:rsid w:val="00D01409"/>
    <w:rsid w:val="00D27BC5"/>
    <w:rsid w:val="00D43D4F"/>
    <w:rsid w:val="00D46468"/>
    <w:rsid w:val="00D67744"/>
    <w:rsid w:val="00D91FD1"/>
    <w:rsid w:val="00D95721"/>
    <w:rsid w:val="00D97E1C"/>
    <w:rsid w:val="00DA057E"/>
    <w:rsid w:val="00DB0BC1"/>
    <w:rsid w:val="00DB5854"/>
    <w:rsid w:val="00DB7D98"/>
    <w:rsid w:val="00DC3A4F"/>
    <w:rsid w:val="00DC4CAB"/>
    <w:rsid w:val="00DC6390"/>
    <w:rsid w:val="00DD3A2A"/>
    <w:rsid w:val="00DE04D3"/>
    <w:rsid w:val="00DE7BAB"/>
    <w:rsid w:val="00DF7765"/>
    <w:rsid w:val="00E46D23"/>
    <w:rsid w:val="00E919B4"/>
    <w:rsid w:val="00E93225"/>
    <w:rsid w:val="00EB268B"/>
    <w:rsid w:val="00ED0D85"/>
    <w:rsid w:val="00ED538A"/>
    <w:rsid w:val="00F04243"/>
    <w:rsid w:val="00F15FCE"/>
    <w:rsid w:val="00F1675A"/>
    <w:rsid w:val="00F264D1"/>
    <w:rsid w:val="00F41649"/>
    <w:rsid w:val="00F46632"/>
    <w:rsid w:val="00F505E3"/>
    <w:rsid w:val="00F51B93"/>
    <w:rsid w:val="00F65642"/>
    <w:rsid w:val="00F948A7"/>
    <w:rsid w:val="00FB4014"/>
    <w:rsid w:val="00FE5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25"/>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7A7D81"/>
    <w:rPr>
      <w:sz w:val="16"/>
      <w:szCs w:val="16"/>
    </w:rPr>
  </w:style>
  <w:style w:type="paragraph" w:styleId="Textodecomentrio">
    <w:name w:val="annotation text"/>
    <w:basedOn w:val="Normal"/>
    <w:link w:val="TextodecomentrioChar"/>
    <w:uiPriority w:val="99"/>
    <w:semiHidden/>
    <w:unhideWhenUsed/>
    <w:rsid w:val="007A7D81"/>
    <w:rPr>
      <w:sz w:val="20"/>
      <w:szCs w:val="20"/>
    </w:rPr>
  </w:style>
  <w:style w:type="character" w:customStyle="1" w:styleId="TextodecomentrioChar">
    <w:name w:val="Texto de comentário Char"/>
    <w:basedOn w:val="Fontepargpadro"/>
    <w:link w:val="Textodecomentrio"/>
    <w:uiPriority w:val="99"/>
    <w:semiHidden/>
    <w:rsid w:val="007A7D8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A7D81"/>
    <w:rPr>
      <w:b/>
      <w:bCs/>
    </w:rPr>
  </w:style>
  <w:style w:type="character" w:customStyle="1" w:styleId="AssuntodocomentrioChar">
    <w:name w:val="Assunto do comentário Char"/>
    <w:basedOn w:val="TextodecomentrioChar"/>
    <w:link w:val="Assuntodocomentrio"/>
    <w:uiPriority w:val="99"/>
    <w:semiHidden/>
    <w:rsid w:val="007A7D81"/>
    <w:rPr>
      <w:rFonts w:ascii="Times New Roman" w:eastAsia="Times New Roman" w:hAnsi="Times New Roman" w:cs="Times New Roman"/>
      <w:b/>
      <w:bCs/>
      <w:sz w:val="20"/>
      <w:szCs w:val="20"/>
      <w:lang w:val="pt-PT"/>
    </w:rPr>
  </w:style>
  <w:style w:type="table" w:styleId="Tabelacomgrade">
    <w:name w:val="Table Grid"/>
    <w:basedOn w:val="Tabelanormal"/>
    <w:uiPriority w:val="39"/>
    <w:rsid w:val="00CF3991"/>
    <w:pPr>
      <w:widowControl/>
      <w:autoSpaceDE/>
      <w:autoSpaceDN/>
    </w:pPr>
    <w:rPr>
      <w:rFonts w:ascii="Arial" w:hAnsi="Arial" w:cs="Arial"/>
      <w:color w:val="000000" w:themeColor="text1"/>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CF39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o">
    <w:name w:val="Revision"/>
    <w:hidden/>
    <w:uiPriority w:val="99"/>
    <w:semiHidden/>
    <w:rsid w:val="007A0D38"/>
    <w:pPr>
      <w:widowControl/>
      <w:autoSpaceDE/>
      <w:autoSpaceDN/>
    </w:pPr>
    <w:rPr>
      <w:rFonts w:ascii="Times New Roman" w:eastAsia="Times New Roman" w:hAnsi="Times New Roman" w:cs="Times New Roman"/>
      <w:lang w:val="pt-PT"/>
    </w:rPr>
  </w:style>
  <w:style w:type="character" w:styleId="Hyperlink">
    <w:name w:val="Hyperlink"/>
    <w:basedOn w:val="Fontepargpadro"/>
    <w:uiPriority w:val="99"/>
    <w:unhideWhenUsed/>
    <w:rsid w:val="007A7C87"/>
    <w:rPr>
      <w:color w:val="0000FF" w:themeColor="hyperlink"/>
      <w:u w:val="single"/>
    </w:rPr>
  </w:style>
  <w:style w:type="character" w:styleId="MenoPendente">
    <w:name w:val="Unresolved Mention"/>
    <w:basedOn w:val="Fontepargpadro"/>
    <w:uiPriority w:val="99"/>
    <w:semiHidden/>
    <w:unhideWhenUsed/>
    <w:rsid w:val="007A7C87"/>
    <w:rPr>
      <w:color w:val="605E5C"/>
      <w:shd w:val="clear" w:color="auto" w:fill="E1DFDD"/>
    </w:rPr>
  </w:style>
  <w:style w:type="character" w:styleId="HiperlinkVisitado">
    <w:name w:val="FollowedHyperlink"/>
    <w:basedOn w:val="Fontepargpadro"/>
    <w:uiPriority w:val="99"/>
    <w:semiHidden/>
    <w:unhideWhenUsed/>
    <w:rsid w:val="008E48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58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oresta.ufpr.br/pos-graduacao/defesas/pdf_ms/2012/d592_0826-M.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2/floram.2012.0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8671/scifor.v44n111.10" TargetMode="External"/><Relationship Id="rId4" Type="http://schemas.openxmlformats.org/officeDocument/2006/relationships/settings" Target="settings.xml"/><Relationship Id="rId9" Type="http://schemas.openxmlformats.org/officeDocument/2006/relationships/hyperlink" Target="https://www.ibama.gov.br/component/legislacao/?view=legislacao&amp;legislacao=13820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63145091165367"/>
          <c:y val="6.746031746031747E-2"/>
          <c:w val="0.73453016744278543"/>
          <c:h val="0.66032117695814374"/>
        </c:manualLayout>
      </c:layout>
      <c:barChart>
        <c:barDir val="col"/>
        <c:grouping val="clustered"/>
        <c:varyColors val="0"/>
        <c:ser>
          <c:idx val="0"/>
          <c:order val="0"/>
          <c:tx>
            <c:strRef>
              <c:f>Planilha1!$B$1</c:f>
              <c:strCache>
                <c:ptCount val="1"/>
                <c:pt idx="0">
                  <c:v>CRV (%)</c:v>
                </c:pt>
              </c:strCache>
            </c:strRef>
          </c:tx>
          <c:spPr>
            <a:solidFill>
              <a:schemeClr val="accent1"/>
            </a:solidFill>
            <a:ln>
              <a:noFill/>
            </a:ln>
            <a:effectLst/>
          </c:spPr>
          <c:invertIfNegative val="0"/>
          <c:dPt>
            <c:idx val="0"/>
            <c:invertIfNegative val="0"/>
            <c:bubble3D val="0"/>
            <c:spPr>
              <a:solidFill>
                <a:schemeClr val="bg1">
                  <a:lumMod val="50000"/>
                </a:schemeClr>
              </a:solidFill>
              <a:ln>
                <a:noFill/>
              </a:ln>
              <a:effectLst/>
            </c:spPr>
            <c:extLst>
              <c:ext xmlns:c16="http://schemas.microsoft.com/office/drawing/2014/chart" uri="{C3380CC4-5D6E-409C-BE32-E72D297353CC}">
                <c16:uniqueId val="{00000001-D7FA-47FF-B264-8E2553CBB850}"/>
              </c:ext>
            </c:extLst>
          </c:dPt>
          <c:dPt>
            <c:idx val="1"/>
            <c:invertIfNegative val="0"/>
            <c:bubble3D val="0"/>
            <c:spPr>
              <a:solidFill>
                <a:schemeClr val="bg1">
                  <a:lumMod val="75000"/>
                </a:schemeClr>
              </a:solidFill>
              <a:ln>
                <a:noFill/>
              </a:ln>
              <a:effectLst/>
            </c:spPr>
            <c:extLst>
              <c:ext xmlns:c16="http://schemas.microsoft.com/office/drawing/2014/chart" uri="{C3380CC4-5D6E-409C-BE32-E72D297353CC}">
                <c16:uniqueId val="{00000003-D7FA-47FF-B264-8E2553CBB850}"/>
              </c:ext>
            </c:extLst>
          </c:dPt>
          <c:dPt>
            <c:idx val="2"/>
            <c:invertIfNegative val="0"/>
            <c:bubble3D val="0"/>
            <c:spPr>
              <a:solidFill>
                <a:schemeClr val="bg2">
                  <a:lumMod val="75000"/>
                </a:schemeClr>
              </a:solidFill>
              <a:ln>
                <a:noFill/>
              </a:ln>
              <a:effectLst/>
            </c:spPr>
            <c:extLst>
              <c:ext xmlns:c16="http://schemas.microsoft.com/office/drawing/2014/chart" uri="{C3380CC4-5D6E-409C-BE32-E72D297353CC}">
                <c16:uniqueId val="{00000005-D7FA-47FF-B264-8E2553CBB850}"/>
              </c:ext>
            </c:extLst>
          </c:dPt>
          <c:dPt>
            <c:idx val="3"/>
            <c:invertIfNegative val="0"/>
            <c:bubble3D val="0"/>
            <c:spPr>
              <a:solidFill>
                <a:schemeClr val="bg2">
                  <a:lumMod val="75000"/>
                </a:schemeClr>
              </a:solidFill>
              <a:ln>
                <a:noFill/>
              </a:ln>
              <a:effectLst/>
            </c:spPr>
            <c:extLst>
              <c:ext xmlns:c16="http://schemas.microsoft.com/office/drawing/2014/chart" uri="{C3380CC4-5D6E-409C-BE32-E72D297353CC}">
                <c16:uniqueId val="{00000007-D7FA-47FF-B264-8E2553CBB850}"/>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9-D7FA-47FF-B264-8E2553CBB850}"/>
              </c:ext>
            </c:extLst>
          </c:dPt>
          <c:dPt>
            <c:idx val="5"/>
            <c:invertIfNegative val="0"/>
            <c:bubble3D val="0"/>
            <c:spPr>
              <a:solidFill>
                <a:schemeClr val="bg1">
                  <a:lumMod val="85000"/>
                </a:schemeClr>
              </a:solidFill>
              <a:ln>
                <a:noFill/>
              </a:ln>
              <a:effectLst/>
            </c:spPr>
            <c:extLst>
              <c:ext xmlns:c16="http://schemas.microsoft.com/office/drawing/2014/chart" uri="{C3380CC4-5D6E-409C-BE32-E72D297353CC}">
                <c16:uniqueId val="{0000000B-D7FA-47FF-B264-8E2553CBB850}"/>
              </c:ext>
            </c:extLst>
          </c:dPt>
          <c:dPt>
            <c:idx val="6"/>
            <c:invertIfNegative val="0"/>
            <c:bubble3D val="0"/>
            <c:spPr>
              <a:solidFill>
                <a:schemeClr val="bg1">
                  <a:lumMod val="75000"/>
                </a:schemeClr>
              </a:solidFill>
              <a:ln>
                <a:noFill/>
              </a:ln>
              <a:effectLst/>
            </c:spPr>
            <c:extLst>
              <c:ext xmlns:c16="http://schemas.microsoft.com/office/drawing/2014/chart" uri="{C3380CC4-5D6E-409C-BE32-E72D297353CC}">
                <c16:uniqueId val="{0000000D-D7FA-47FF-B264-8E2553CBB850}"/>
              </c:ext>
            </c:extLst>
          </c:dPt>
          <c:dPt>
            <c:idx val="7"/>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F-D7FA-47FF-B264-8E2553CBB850}"/>
              </c:ext>
            </c:extLst>
          </c:dPt>
          <c:dPt>
            <c:idx val="8"/>
            <c:invertIfNegative val="0"/>
            <c:bubble3D val="0"/>
            <c:spPr>
              <a:solidFill>
                <a:schemeClr val="bg2">
                  <a:lumMod val="90000"/>
                </a:schemeClr>
              </a:solidFill>
              <a:ln>
                <a:noFill/>
              </a:ln>
              <a:effectLst/>
            </c:spPr>
            <c:extLst>
              <c:ext xmlns:c16="http://schemas.microsoft.com/office/drawing/2014/chart" uri="{C3380CC4-5D6E-409C-BE32-E72D297353CC}">
                <c16:uniqueId val="{00000011-D7FA-47FF-B264-8E2553CBB850}"/>
              </c:ext>
            </c:extLst>
          </c:dPt>
          <c:dLbls>
            <c:dLbl>
              <c:idx val="2"/>
              <c:layout>
                <c:manualLayout>
                  <c:x val="0"/>
                  <c:y val="-1.41517778170882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FA-47FF-B264-8E2553CBB850}"/>
                </c:ext>
              </c:extLst>
            </c:dLbl>
            <c:dLbl>
              <c:idx val="6"/>
              <c:layout>
                <c:manualLayout>
                  <c:x val="0"/>
                  <c:y val="-2.47656111799044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7FA-47FF-B264-8E2553CBB85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Planilha1!$A$2:$A$10</c:f>
              <c:strCache>
                <c:ptCount val="9"/>
                <c:pt idx="0">
                  <c:v>Angelim-pedra</c:v>
                </c:pt>
                <c:pt idx="1">
                  <c:v>Angelim-vermelho</c:v>
                </c:pt>
                <c:pt idx="2">
                  <c:v>Copaíba</c:v>
                </c:pt>
                <c:pt idx="3">
                  <c:v>Cupiúba</c:v>
                </c:pt>
                <c:pt idx="4">
                  <c:v>Maçaranduba</c:v>
                </c:pt>
                <c:pt idx="5">
                  <c:v>Mururé</c:v>
                </c:pt>
                <c:pt idx="6">
                  <c:v>Piquiá</c:v>
                </c:pt>
                <c:pt idx="7">
                  <c:v>Tatajuba</c:v>
                </c:pt>
                <c:pt idx="8">
                  <c:v>Tauarí</c:v>
                </c:pt>
              </c:strCache>
            </c:strRef>
          </c:cat>
          <c:val>
            <c:numRef>
              <c:f>Planilha1!$B$2:$B$10</c:f>
              <c:numCache>
                <c:formatCode>General</c:formatCode>
                <c:ptCount val="9"/>
                <c:pt idx="0">
                  <c:v>52.55</c:v>
                </c:pt>
                <c:pt idx="1">
                  <c:v>44.69</c:v>
                </c:pt>
                <c:pt idx="2">
                  <c:v>43.64</c:v>
                </c:pt>
                <c:pt idx="3">
                  <c:v>51.75</c:v>
                </c:pt>
                <c:pt idx="4">
                  <c:v>44.35</c:v>
                </c:pt>
                <c:pt idx="5">
                  <c:v>32.51</c:v>
                </c:pt>
                <c:pt idx="6" formatCode="0.00">
                  <c:v>43.1</c:v>
                </c:pt>
                <c:pt idx="7">
                  <c:v>47.36</c:v>
                </c:pt>
                <c:pt idx="8">
                  <c:v>39.08</c:v>
                </c:pt>
              </c:numCache>
            </c:numRef>
          </c:val>
          <c:extLst>
            <c:ext xmlns:c16="http://schemas.microsoft.com/office/drawing/2014/chart" uri="{C3380CC4-5D6E-409C-BE32-E72D297353CC}">
              <c16:uniqueId val="{00000012-D7FA-47FF-B264-8E2553CBB850}"/>
            </c:ext>
          </c:extLst>
        </c:ser>
        <c:dLbls>
          <c:showLegendKey val="0"/>
          <c:showVal val="0"/>
          <c:showCatName val="0"/>
          <c:showSerName val="0"/>
          <c:showPercent val="0"/>
          <c:showBubbleSize val="0"/>
        </c:dLbls>
        <c:gapWidth val="219"/>
        <c:overlap val="-27"/>
        <c:axId val="76740096"/>
        <c:axId val="76741632"/>
      </c:barChart>
      <c:scatterChart>
        <c:scatterStyle val="lineMarker"/>
        <c:varyColors val="0"/>
        <c:ser>
          <c:idx val="1"/>
          <c:order val="1"/>
          <c:tx>
            <c:v>Resolução CONAMA nº 484/2018</c:v>
          </c:tx>
          <c:spPr>
            <a:ln w="25400" cap="rnd">
              <a:noFill/>
              <a:round/>
            </a:ln>
            <a:effectLst/>
          </c:spPr>
          <c:marker>
            <c:symbol val="circle"/>
            <c:size val="5"/>
            <c:spPr>
              <a:solidFill>
                <a:schemeClr val="accent2"/>
              </a:solidFill>
              <a:ln w="9525">
                <a:solidFill>
                  <a:schemeClr val="accent2"/>
                </a:solidFill>
              </a:ln>
              <a:effectLst/>
            </c:spPr>
          </c:marker>
          <c:dPt>
            <c:idx val="0"/>
            <c:marker>
              <c:symbol val="none"/>
            </c:marker>
            <c:bubble3D val="0"/>
            <c:extLst>
              <c:ext xmlns:c16="http://schemas.microsoft.com/office/drawing/2014/chart" uri="{C3380CC4-5D6E-409C-BE32-E72D297353CC}">
                <c16:uniqueId val="{00000013-D7FA-47FF-B264-8E2553CBB850}"/>
              </c:ext>
            </c:extLst>
          </c:dPt>
          <c:errBars>
            <c:errDir val="x"/>
            <c:errBarType val="both"/>
            <c:errValType val="fixedVal"/>
            <c:noEndCap val="0"/>
            <c:val val="1"/>
            <c:spPr>
              <a:noFill/>
              <a:ln w="25400" cap="flat" cmpd="sng" algn="ctr">
                <a:solidFill>
                  <a:schemeClr val="accent2"/>
                </a:solidFill>
                <a:prstDash val="sysDot"/>
                <a:round/>
              </a:ln>
              <a:effectLst/>
            </c:spPr>
          </c:errBars>
          <c:yVal>
            <c:numRef>
              <c:f>Planilha1!$B$12</c:f>
              <c:numCache>
                <c:formatCode>0.00</c:formatCode>
                <c:ptCount val="1"/>
                <c:pt idx="0">
                  <c:v>45</c:v>
                </c:pt>
              </c:numCache>
            </c:numRef>
          </c:yVal>
          <c:smooth val="0"/>
          <c:extLst>
            <c:ext xmlns:c16="http://schemas.microsoft.com/office/drawing/2014/chart" uri="{C3380CC4-5D6E-409C-BE32-E72D297353CC}">
              <c16:uniqueId val="{00000014-D7FA-47FF-B264-8E2553CBB850}"/>
            </c:ext>
          </c:extLst>
        </c:ser>
        <c:dLbls>
          <c:showLegendKey val="0"/>
          <c:showVal val="0"/>
          <c:showCatName val="0"/>
          <c:showSerName val="0"/>
          <c:showPercent val="0"/>
          <c:showBubbleSize val="0"/>
        </c:dLbls>
        <c:axId val="77970048"/>
        <c:axId val="77968512"/>
      </c:scatterChart>
      <c:catAx>
        <c:axId val="7674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76741632"/>
        <c:crosses val="autoZero"/>
        <c:auto val="1"/>
        <c:lblAlgn val="ctr"/>
        <c:lblOffset val="100"/>
        <c:noMultiLvlLbl val="0"/>
      </c:catAx>
      <c:valAx>
        <c:axId val="76741632"/>
        <c:scaling>
          <c:orientation val="minMax"/>
          <c:max val="5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a:t>Rendimento</a:t>
                </a:r>
                <a:r>
                  <a:rPr lang="pt-BR" baseline="0"/>
                  <a:t> (%)</a:t>
                </a:r>
                <a:endParaRPr lang="pt-BR"/>
              </a:p>
            </c:rich>
          </c:tx>
          <c:layout>
            <c:manualLayout>
              <c:xMode val="edge"/>
              <c:yMode val="edge"/>
              <c:x val="2.3148175611662547E-2"/>
              <c:y val="0.2701284663846525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76740096"/>
        <c:crosses val="autoZero"/>
        <c:crossBetween val="between"/>
        <c:majorUnit val="5"/>
      </c:valAx>
      <c:valAx>
        <c:axId val="77968512"/>
        <c:scaling>
          <c:orientation val="minMax"/>
        </c:scaling>
        <c:delete val="1"/>
        <c:axPos val="r"/>
        <c:numFmt formatCode="0.00" sourceLinked="1"/>
        <c:majorTickMark val="out"/>
        <c:minorTickMark val="none"/>
        <c:tickLblPos val="nextTo"/>
        <c:crossAx val="77970048"/>
        <c:crosses val="max"/>
        <c:crossBetween val="midCat"/>
      </c:valAx>
      <c:valAx>
        <c:axId val="77970048"/>
        <c:scaling>
          <c:orientation val="minMax"/>
          <c:max val="2"/>
        </c:scaling>
        <c:delete val="1"/>
        <c:axPos val="t"/>
        <c:majorTickMark val="out"/>
        <c:minorTickMark val="none"/>
        <c:tickLblPos val="nextTo"/>
        <c:crossAx val="77968512"/>
        <c:crosses val="max"/>
        <c:crossBetween val="midCat"/>
      </c:valAx>
      <c:spPr>
        <a:noFill/>
        <a:ln>
          <a:noFill/>
        </a:ln>
        <a:effectLst/>
      </c:spPr>
    </c:plotArea>
    <c:legend>
      <c:legendPos val="r"/>
      <c:legendEntry>
        <c:idx val="0"/>
        <c:delete val="1"/>
      </c:legendEntry>
      <c:layout>
        <c:manualLayout>
          <c:xMode val="edge"/>
          <c:yMode val="edge"/>
          <c:x val="0.85762286029336099"/>
          <c:y val="6.6627478308137422E-2"/>
          <c:w val="0.1335138283549635"/>
          <c:h val="0.308848194096147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013C7-3B9A-4B9A-8F12-4CE7F47A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2800</Words>
  <Characters>15122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44</cp:revision>
  <dcterms:created xsi:type="dcterms:W3CDTF">2025-11-07T20:32:00Z</dcterms:created>
  <dcterms:modified xsi:type="dcterms:W3CDTF">2025-12-07T01:42:00Z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