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16F2" w14:textId="38AD9360" w:rsidR="00C802EF" w:rsidRDefault="0099132C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 w:rsidRPr="0099132C">
        <w:rPr>
          <w:b/>
          <w:sz w:val="24"/>
          <w:szCs w:val="24"/>
        </w:rPr>
        <w:t xml:space="preserve">MAPA DE INTERPOLAÇÃO DE DADOS DE KERNEL PARA O MUNICÍPIO DE CAROLINA </w:t>
      </w:r>
      <w:r>
        <w:rPr>
          <w:b/>
          <w:sz w:val="24"/>
          <w:szCs w:val="24"/>
        </w:rPr>
        <w:t>–</w:t>
      </w:r>
      <w:r w:rsidRPr="0099132C">
        <w:rPr>
          <w:b/>
          <w:sz w:val="24"/>
          <w:szCs w:val="24"/>
        </w:rPr>
        <w:t xml:space="preserve"> MA</w:t>
      </w:r>
    </w:p>
    <w:p w14:paraId="2B91A502" w14:textId="77777777" w:rsidR="0099132C" w:rsidRDefault="0099132C">
      <w:pPr>
        <w:widowControl/>
        <w:jc w:val="center"/>
        <w:rPr>
          <w:b/>
          <w:sz w:val="24"/>
          <w:szCs w:val="24"/>
        </w:rPr>
      </w:pPr>
    </w:p>
    <w:p w14:paraId="73E1FBC5" w14:textId="77777777" w:rsidR="0099132C" w:rsidRDefault="0099132C" w:rsidP="0099132C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LIÁ, Filipe Silva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LIÁ, Sara de Lima Silva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SILVA, Cristiane Matos</w:t>
      </w:r>
      <w:r>
        <w:rPr>
          <w:b/>
          <w:sz w:val="20"/>
          <w:szCs w:val="20"/>
          <w:vertAlign w:val="superscript"/>
        </w:rPr>
        <w:t>3</w:t>
      </w:r>
      <w:r>
        <w:rPr>
          <w:b/>
          <w:sz w:val="20"/>
          <w:szCs w:val="20"/>
        </w:rPr>
        <w:t>, SILVA, Wilson Araújo</w:t>
      </w:r>
      <w:r>
        <w:rPr>
          <w:b/>
          <w:sz w:val="20"/>
          <w:szCs w:val="20"/>
          <w:vertAlign w:val="superscript"/>
        </w:rPr>
        <w:t>4</w:t>
      </w:r>
    </w:p>
    <w:p w14:paraId="3F84996C" w14:textId="77777777" w:rsidR="0099132C" w:rsidRDefault="0099132C" w:rsidP="0099132C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Estadual da Região Tocantina do Maranhão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Universidade Estadual da Região Tocantina do Maranhão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 Universidade Estadual da Região Tocantina do Maranhão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, Universidade Estadual da Região Tocantina do Maranhão</w:t>
      </w:r>
      <w:r>
        <w:rPr>
          <w:sz w:val="20"/>
          <w:szCs w:val="20"/>
          <w:vertAlign w:val="superscript"/>
        </w:rPr>
        <w:t>4</w:t>
      </w:r>
    </w:p>
    <w:p w14:paraId="6D222058" w14:textId="77777777" w:rsidR="0099132C" w:rsidRDefault="0099132C">
      <w:pPr>
        <w:spacing w:line="276" w:lineRule="auto"/>
        <w:ind w:left="221" w:right="214"/>
        <w:jc w:val="center"/>
        <w:rPr>
          <w:sz w:val="20"/>
          <w:szCs w:val="20"/>
        </w:rPr>
      </w:pPr>
    </w:p>
    <w:p w14:paraId="5E363DD3" w14:textId="08C2A38A" w:rsidR="00D722DA" w:rsidRDefault="0099132C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felipe</w:t>
      </w:r>
      <w:r w:rsidR="00D722DA">
        <w:rPr>
          <w:sz w:val="20"/>
          <w:szCs w:val="20"/>
        </w:rPr>
        <w:t>.lia@uemasul.edu.br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43979D18" w:rsidR="00C802EF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66DC3CEA" w14:textId="77777777" w:rsidR="00BC58A4" w:rsidRDefault="00BC58A4">
      <w:pPr>
        <w:jc w:val="both"/>
        <w:rPr>
          <w:sz w:val="20"/>
          <w:szCs w:val="20"/>
        </w:rPr>
      </w:pPr>
    </w:p>
    <w:p w14:paraId="3F664360" w14:textId="3FADF5DD" w:rsidR="0099132C" w:rsidRDefault="0099132C" w:rsidP="0099132C">
      <w:pPr>
        <w:widowControl/>
        <w:ind w:left="567" w:right="567"/>
        <w:jc w:val="both"/>
        <w:rPr>
          <w:sz w:val="20"/>
          <w:szCs w:val="20"/>
        </w:rPr>
      </w:pPr>
      <w:r>
        <w:rPr>
          <w:bCs/>
          <w:sz w:val="20"/>
          <w:szCs w:val="20"/>
        </w:rPr>
        <w:t>A análise espacial realizad</w:t>
      </w:r>
      <w:r w:rsidR="00B06955">
        <w:rPr>
          <w:bCs/>
          <w:sz w:val="20"/>
          <w:szCs w:val="20"/>
        </w:rPr>
        <w:t>a</w:t>
      </w:r>
      <w:r>
        <w:rPr>
          <w:bCs/>
          <w:sz w:val="20"/>
          <w:szCs w:val="20"/>
        </w:rPr>
        <w:t xml:space="preserve"> por meio da técnica da estimação da densidade de Kernel é muito utilizado para o mapeamento e à identificação de áreas com maior e menor concentração de determinados fenômenos geográficos. Com base nesse método, esse estudo teve como objetivo </w:t>
      </w:r>
      <w:r w:rsidRPr="00A34D4F">
        <w:rPr>
          <w:bCs/>
          <w:sz w:val="20"/>
          <w:szCs w:val="20"/>
        </w:rPr>
        <w:t xml:space="preserve">verificar e identificar as áreas de maior concentração de dados de lazer, institucional, saúde e educação no município de Carolina - MA, por meio da confecção de um mapa de calor de </w:t>
      </w:r>
      <w:r>
        <w:rPr>
          <w:bCs/>
          <w:sz w:val="20"/>
          <w:szCs w:val="20"/>
        </w:rPr>
        <w:t>Kernel</w:t>
      </w:r>
      <w:r w:rsidRPr="00A34D4F">
        <w:rPr>
          <w:bCs/>
          <w:sz w:val="20"/>
          <w:szCs w:val="20"/>
        </w:rPr>
        <w:t xml:space="preserve"> utilizando o software QGIS</w:t>
      </w:r>
      <w:r>
        <w:rPr>
          <w:bCs/>
          <w:sz w:val="20"/>
          <w:szCs w:val="20"/>
        </w:rPr>
        <w:t>, e discutir os possíveis impactos ambientais</w:t>
      </w:r>
      <w:r w:rsidRPr="00A34D4F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Os resultados obtidos mostraram que a </w:t>
      </w:r>
      <w:r>
        <w:rPr>
          <w:sz w:val="20"/>
          <w:szCs w:val="20"/>
        </w:rPr>
        <w:t xml:space="preserve">quantidade de pontos Geradores de Valores (PGVs) foi maior para o lazer e a educação, especialmente em áreas de alta densidade (representada pela cor laranja e vermelha). Já os PGVs institucionais e de saúde foram menores. Além disso, </w:t>
      </w:r>
      <w:r w:rsidRPr="00FB63FE">
        <w:rPr>
          <w:sz w:val="20"/>
          <w:szCs w:val="20"/>
        </w:rPr>
        <w:t xml:space="preserve">alta </w:t>
      </w:r>
      <w:r>
        <w:rPr>
          <w:sz w:val="20"/>
          <w:szCs w:val="20"/>
        </w:rPr>
        <w:t>densidades</w:t>
      </w:r>
      <w:r w:rsidRPr="00FB63FE">
        <w:rPr>
          <w:sz w:val="20"/>
          <w:szCs w:val="20"/>
        </w:rPr>
        <w:t xml:space="preserve"> de serviços em áre</w:t>
      </w:r>
      <w:r>
        <w:rPr>
          <w:sz w:val="20"/>
          <w:szCs w:val="20"/>
        </w:rPr>
        <w:t>as</w:t>
      </w:r>
      <w:r w:rsidRPr="00FB63FE">
        <w:rPr>
          <w:sz w:val="20"/>
          <w:szCs w:val="20"/>
        </w:rPr>
        <w:t xml:space="preserve"> próximas ao rio Tocantins, indica um modelo de urbanização que pode </w:t>
      </w:r>
      <w:r>
        <w:rPr>
          <w:sz w:val="20"/>
          <w:szCs w:val="20"/>
        </w:rPr>
        <w:t>contribuir para</w:t>
      </w:r>
      <w:r w:rsidRPr="00FB63FE">
        <w:rPr>
          <w:sz w:val="20"/>
          <w:szCs w:val="20"/>
        </w:rPr>
        <w:t xml:space="preserve"> impactos ambientais</w:t>
      </w:r>
      <w:r>
        <w:rPr>
          <w:sz w:val="20"/>
          <w:szCs w:val="20"/>
        </w:rPr>
        <w:t xml:space="preserve"> negativos</w:t>
      </w:r>
      <w:r w:rsidRPr="00FB63FE">
        <w:rPr>
          <w:sz w:val="20"/>
          <w:szCs w:val="20"/>
        </w:rPr>
        <w:t>, como poluição hídrica, supressão da vegetação</w:t>
      </w:r>
      <w:r>
        <w:rPr>
          <w:sz w:val="20"/>
          <w:szCs w:val="20"/>
        </w:rPr>
        <w:t xml:space="preserve"> </w:t>
      </w:r>
      <w:r w:rsidRPr="00FB63FE">
        <w:rPr>
          <w:sz w:val="20"/>
          <w:szCs w:val="20"/>
        </w:rPr>
        <w:t>e assoreamento do</w:t>
      </w:r>
      <w:r>
        <w:rPr>
          <w:sz w:val="20"/>
          <w:szCs w:val="20"/>
        </w:rPr>
        <w:t xml:space="preserve"> rio</w:t>
      </w:r>
      <w:r w:rsidRPr="00FB63FE">
        <w:rPr>
          <w:sz w:val="20"/>
          <w:szCs w:val="20"/>
        </w:rPr>
        <w:t>.</w:t>
      </w:r>
      <w:r>
        <w:rPr>
          <w:sz w:val="20"/>
          <w:szCs w:val="20"/>
        </w:rPr>
        <w:t xml:space="preserve"> Dessa forma, </w:t>
      </w:r>
      <w:r w:rsidRPr="00FB63FE">
        <w:rPr>
          <w:sz w:val="20"/>
          <w:szCs w:val="20"/>
        </w:rPr>
        <w:t>o uso de mapas de calor como instrumento de análise espacial se mostra eficaz para identificar áreas críticas, orientar a descentralização de serviços e promover a conservação da natureza como eixo estruturante do desenvolvimento urbano</w:t>
      </w:r>
      <w:r>
        <w:rPr>
          <w:sz w:val="20"/>
          <w:szCs w:val="20"/>
        </w:rPr>
        <w:t xml:space="preserve">. </w:t>
      </w:r>
    </w:p>
    <w:p w14:paraId="6B2AEDE1" w14:textId="77777777" w:rsidR="00C52286" w:rsidRDefault="00C52286">
      <w:pPr>
        <w:jc w:val="both"/>
        <w:rPr>
          <w:sz w:val="20"/>
          <w:szCs w:val="20"/>
        </w:rPr>
      </w:pPr>
    </w:p>
    <w:p w14:paraId="439B26EB" w14:textId="3743A331" w:rsidR="00C802EF" w:rsidRDefault="00000000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99132C" w:rsidRPr="00586BB2">
        <w:rPr>
          <w:sz w:val="20"/>
          <w:szCs w:val="20"/>
        </w:rPr>
        <w:t>Análise Espacial</w:t>
      </w:r>
      <w:r w:rsidR="0099132C">
        <w:rPr>
          <w:sz w:val="20"/>
          <w:szCs w:val="20"/>
        </w:rPr>
        <w:t>,</w:t>
      </w:r>
      <w:r w:rsidR="00D16C25">
        <w:rPr>
          <w:sz w:val="20"/>
          <w:szCs w:val="20"/>
        </w:rPr>
        <w:t xml:space="preserve"> Mapa de calor, </w:t>
      </w:r>
      <w:r w:rsidR="0099132C" w:rsidRPr="00586BB2">
        <w:rPr>
          <w:sz w:val="20"/>
          <w:szCs w:val="20"/>
        </w:rPr>
        <w:t>Dados Florestais</w:t>
      </w:r>
      <w:r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color w:val="FF0000"/>
          <w:sz w:val="20"/>
          <w:szCs w:val="20"/>
        </w:rPr>
      </w:pPr>
    </w:p>
    <w:p w14:paraId="2EF9A937" w14:textId="77777777" w:rsidR="00BC58A4" w:rsidRDefault="00BC58A4">
      <w:pPr>
        <w:widowControl/>
        <w:jc w:val="both"/>
        <w:rPr>
          <w:b/>
          <w:sz w:val="20"/>
          <w:szCs w:val="20"/>
        </w:rPr>
      </w:pPr>
    </w:p>
    <w:p w14:paraId="3CD6974F" w14:textId="2A18CA9F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0A1088C0" w14:textId="77777777" w:rsidR="00F213B1" w:rsidRDefault="00F213B1">
      <w:pPr>
        <w:widowControl/>
        <w:jc w:val="both"/>
        <w:rPr>
          <w:b/>
          <w:sz w:val="20"/>
          <w:szCs w:val="20"/>
        </w:rPr>
      </w:pPr>
    </w:p>
    <w:p w14:paraId="49DD74C0" w14:textId="480EF5C5" w:rsidR="0099132C" w:rsidRDefault="00367C7A" w:rsidP="00E1712D">
      <w:pPr>
        <w:widowControl/>
        <w:ind w:firstLine="720"/>
        <w:jc w:val="both"/>
        <w:rPr>
          <w:bCs/>
          <w:sz w:val="20"/>
          <w:szCs w:val="20"/>
        </w:rPr>
      </w:pPr>
      <w:r w:rsidRPr="00367C7A">
        <w:rPr>
          <w:bCs/>
          <w:sz w:val="20"/>
          <w:szCs w:val="20"/>
        </w:rPr>
        <w:t>A análise espacial é essencial para o planejamento urbano e a conservação da natureza, especialmente diante da expansão urbana próxima a áreas protegidas. Compreender a distribuição dos serviços urbanos e seus impactos ambientais é fundamental. O município de Carolina</w:t>
      </w:r>
      <w:r>
        <w:rPr>
          <w:bCs/>
          <w:sz w:val="20"/>
          <w:szCs w:val="20"/>
        </w:rPr>
        <w:t xml:space="preserve"> – MA, </w:t>
      </w:r>
      <w:r w:rsidRPr="00367C7A">
        <w:rPr>
          <w:bCs/>
          <w:sz w:val="20"/>
          <w:szCs w:val="20"/>
        </w:rPr>
        <w:t xml:space="preserve">abriga o Parque Nacional da Chapada das Mesas, importante unidade de conservação do Cerrado, o que impulsiona o turismo na região. No entanto, o turismo pode gerar problemas ambientais, sociais e econômicos (MUNIZ; CASTRO, 2018). Os dados espaciais auxiliam na identificação desses impactos e no desenvolvimento de um planejamento urbano sustentável (VIEIRA </w:t>
      </w:r>
      <w:r w:rsidRPr="00E1712D">
        <w:rPr>
          <w:bCs/>
          <w:i/>
          <w:iCs/>
          <w:sz w:val="20"/>
          <w:szCs w:val="20"/>
        </w:rPr>
        <w:t>et al</w:t>
      </w:r>
      <w:r w:rsidRPr="00367C7A">
        <w:rPr>
          <w:bCs/>
          <w:sz w:val="20"/>
          <w:szCs w:val="20"/>
        </w:rPr>
        <w:t>., 2024).</w:t>
      </w:r>
    </w:p>
    <w:p w14:paraId="0179691E" w14:textId="1BA5ED74" w:rsidR="00367C7A" w:rsidRPr="00367C7A" w:rsidRDefault="00367C7A" w:rsidP="00367C7A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 w:rsidRPr="00367C7A">
        <w:rPr>
          <w:bCs/>
          <w:sz w:val="20"/>
          <w:szCs w:val="20"/>
        </w:rPr>
        <w:t>A técnica de estimação da densidade de Kernel é amplamente utilizada na análise espacial para mapear e identificar concentrações de fenômenos geográficos. Segundo Medeiros</w:t>
      </w:r>
      <w:r>
        <w:rPr>
          <w:bCs/>
          <w:sz w:val="20"/>
          <w:szCs w:val="20"/>
        </w:rPr>
        <w:t xml:space="preserve"> (2012)</w:t>
      </w:r>
      <w:r w:rsidRPr="00367C7A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citado por Nagem (2019)</w:t>
      </w:r>
      <w:r w:rsidRPr="00367C7A">
        <w:rPr>
          <w:bCs/>
          <w:sz w:val="20"/>
          <w:szCs w:val="20"/>
        </w:rPr>
        <w:t xml:space="preserve"> o mapa de Kernel é essencial para o mapeamento digital e a compreensão de padrões espaciais. Essa técnica permite avaliar a proximidade dos pontos amostrados, com densidades maiores no centro e menores nas bordas (MAXIMIANO CASTELLEJO, 2012; MODREGO FERNÁNDEZ, 2020). Aplicada a dados florestais, contribui para monitorar o desmatamento e a fragmentação vegetal. No QGIS, o mapeamento é feito com a ferramenta “Mapa de Calor”, gerando um raster resultante do empilhamento de outros de raio h (OLIVEIRA, 2017). Cada ponto desenha uma vizinhança circular (SOUZA </w:t>
      </w:r>
      <w:r w:rsidRPr="00367C7A">
        <w:rPr>
          <w:bCs/>
          <w:i/>
          <w:iCs/>
          <w:sz w:val="20"/>
          <w:szCs w:val="20"/>
        </w:rPr>
        <w:t>et al</w:t>
      </w:r>
      <w:r w:rsidRPr="00367C7A">
        <w:rPr>
          <w:bCs/>
          <w:sz w:val="20"/>
          <w:szCs w:val="20"/>
        </w:rPr>
        <w:t>., 2013</w:t>
      </w:r>
      <w:r w:rsidR="00E832FD">
        <w:rPr>
          <w:bCs/>
          <w:sz w:val="20"/>
          <w:szCs w:val="20"/>
        </w:rPr>
        <w:t>a</w:t>
      </w:r>
      <w:r w:rsidRPr="00367C7A">
        <w:rPr>
          <w:bCs/>
          <w:sz w:val="20"/>
          <w:szCs w:val="20"/>
        </w:rPr>
        <w:t xml:space="preserve">), e o valor das células resulta da soma dos valores de Kernel divididos pela área de influência (SILVERMAN, 1986; SOUZA </w:t>
      </w:r>
      <w:r w:rsidRPr="00367C7A">
        <w:rPr>
          <w:bCs/>
          <w:i/>
          <w:iCs/>
          <w:sz w:val="20"/>
          <w:szCs w:val="20"/>
        </w:rPr>
        <w:t>et al</w:t>
      </w:r>
      <w:r w:rsidRPr="00367C7A">
        <w:rPr>
          <w:bCs/>
          <w:sz w:val="20"/>
          <w:szCs w:val="20"/>
        </w:rPr>
        <w:t>., 2013</w:t>
      </w:r>
      <w:r w:rsidR="00E832FD">
        <w:rPr>
          <w:bCs/>
          <w:sz w:val="20"/>
          <w:szCs w:val="20"/>
        </w:rPr>
        <w:t>b</w:t>
      </w:r>
      <w:r w:rsidRPr="00367C7A">
        <w:rPr>
          <w:bCs/>
          <w:sz w:val="20"/>
          <w:szCs w:val="20"/>
        </w:rPr>
        <w:t>).</w:t>
      </w:r>
    </w:p>
    <w:p w14:paraId="2D88C066" w14:textId="27638CF4" w:rsidR="001D4CE4" w:rsidRDefault="00A7413C" w:rsidP="00A7413C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Dessa forma, e</w:t>
      </w:r>
      <w:r w:rsidR="00D16C25">
        <w:rPr>
          <w:sz w:val="20"/>
          <w:szCs w:val="20"/>
        </w:rPr>
        <w:t>ste</w:t>
      </w:r>
      <w:r w:rsidR="0099132C" w:rsidRPr="006979A2">
        <w:rPr>
          <w:sz w:val="20"/>
          <w:szCs w:val="20"/>
        </w:rPr>
        <w:t xml:space="preserve"> estudo investiga a </w:t>
      </w:r>
      <w:r w:rsidR="0099132C" w:rsidRPr="005332BB">
        <w:rPr>
          <w:sz w:val="20"/>
          <w:szCs w:val="20"/>
        </w:rPr>
        <w:t>distribuição espacial</w:t>
      </w:r>
      <w:r w:rsidR="0099132C" w:rsidRPr="006979A2">
        <w:rPr>
          <w:sz w:val="20"/>
          <w:szCs w:val="20"/>
        </w:rPr>
        <w:t xml:space="preserve"> dos serviços e equipamentos urbanos em </w:t>
      </w:r>
      <w:r w:rsidR="0099132C" w:rsidRPr="005332BB">
        <w:rPr>
          <w:sz w:val="20"/>
          <w:szCs w:val="20"/>
        </w:rPr>
        <w:t>Carolina - MA</w:t>
      </w:r>
      <w:r w:rsidR="0099132C" w:rsidRPr="006979A2">
        <w:rPr>
          <w:sz w:val="20"/>
          <w:szCs w:val="20"/>
        </w:rPr>
        <w:t>, buscando entender onde se concentram setores como lazer, saúde, educação e instituições públicas.</w:t>
      </w:r>
      <w:bookmarkStart w:id="1" w:name="_Hlk199423165"/>
      <w:r w:rsidR="001D4CE4">
        <w:rPr>
          <w:sz w:val="20"/>
          <w:szCs w:val="20"/>
        </w:rPr>
        <w:t xml:space="preserve"> </w:t>
      </w:r>
      <w:r w:rsidR="00E1712D">
        <w:rPr>
          <w:sz w:val="20"/>
          <w:szCs w:val="20"/>
        </w:rPr>
        <w:lastRenderedPageBreak/>
        <w:t>C</w:t>
      </w:r>
      <w:r w:rsidR="001D4CE4">
        <w:rPr>
          <w:sz w:val="20"/>
          <w:szCs w:val="20"/>
        </w:rPr>
        <w:t xml:space="preserve">om objetivo </w:t>
      </w:r>
      <w:r w:rsidR="0099132C" w:rsidRPr="005332BB">
        <w:rPr>
          <w:sz w:val="20"/>
          <w:szCs w:val="20"/>
        </w:rPr>
        <w:t>verificar e identificar as áreas de maior concentração de</w:t>
      </w:r>
      <w:r w:rsidR="001D4CE4">
        <w:rPr>
          <w:sz w:val="20"/>
          <w:szCs w:val="20"/>
        </w:rPr>
        <w:t>sses</w:t>
      </w:r>
      <w:r w:rsidR="0099132C" w:rsidRPr="005332BB">
        <w:rPr>
          <w:sz w:val="20"/>
          <w:szCs w:val="20"/>
        </w:rPr>
        <w:t xml:space="preserve"> dados</w:t>
      </w:r>
      <w:r w:rsidR="001D4CE4">
        <w:rPr>
          <w:sz w:val="20"/>
          <w:szCs w:val="20"/>
        </w:rPr>
        <w:t xml:space="preserve"> no município, por meio da confecção de um mapa de calor de Kenel utilizando o software QGIS e assim discutir os impactos ambientais. </w:t>
      </w:r>
    </w:p>
    <w:p w14:paraId="19D82DCB" w14:textId="77777777" w:rsidR="00E832FD" w:rsidRDefault="00E832FD" w:rsidP="00A7413C">
      <w:pPr>
        <w:widowControl/>
        <w:ind w:firstLine="720"/>
        <w:jc w:val="both"/>
        <w:rPr>
          <w:sz w:val="20"/>
          <w:szCs w:val="20"/>
        </w:rPr>
      </w:pPr>
    </w:p>
    <w:bookmarkEnd w:id="1"/>
    <w:p w14:paraId="58D98A87" w14:textId="5402F4EA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2CA450CF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7B4F420" w14:textId="06BCE363" w:rsidR="0099132C" w:rsidRPr="0099132C" w:rsidRDefault="0099132C" w:rsidP="0099132C">
      <w:pPr>
        <w:ind w:firstLine="720"/>
        <w:jc w:val="both"/>
        <w:rPr>
          <w:sz w:val="20"/>
          <w:szCs w:val="20"/>
        </w:rPr>
      </w:pPr>
      <w:r w:rsidRPr="0099132C">
        <w:rPr>
          <w:sz w:val="20"/>
          <w:szCs w:val="20"/>
        </w:rPr>
        <w:t>A metodologia empregada neste estudo consistiu na elaboração de um mapa de calor (Kernel Density Map) para identificar as áreas de maior concentração de dados de lazer, institucional, saúde e educação no município de Carolina – MA.</w:t>
      </w:r>
    </w:p>
    <w:p w14:paraId="74067226" w14:textId="77777777" w:rsidR="0099132C" w:rsidRPr="0099132C" w:rsidRDefault="0099132C" w:rsidP="0099132C">
      <w:pPr>
        <w:widowControl/>
        <w:jc w:val="both"/>
        <w:rPr>
          <w:sz w:val="20"/>
          <w:szCs w:val="20"/>
        </w:rPr>
      </w:pPr>
    </w:p>
    <w:p w14:paraId="365605D4" w14:textId="77777777" w:rsidR="0099132C" w:rsidRPr="0099132C" w:rsidRDefault="0099132C" w:rsidP="0099132C">
      <w:pPr>
        <w:widowControl/>
        <w:rPr>
          <w:b/>
          <w:sz w:val="20"/>
          <w:szCs w:val="20"/>
        </w:rPr>
      </w:pPr>
      <w:r w:rsidRPr="0099132C">
        <w:rPr>
          <w:b/>
          <w:sz w:val="20"/>
          <w:szCs w:val="20"/>
        </w:rPr>
        <w:t xml:space="preserve">Coleta de dados </w:t>
      </w:r>
    </w:p>
    <w:p w14:paraId="1D2A70C2" w14:textId="77777777" w:rsidR="0099132C" w:rsidRPr="0099132C" w:rsidRDefault="0099132C" w:rsidP="0099132C">
      <w:pPr>
        <w:widowControl/>
        <w:ind w:firstLine="720"/>
        <w:jc w:val="both"/>
        <w:rPr>
          <w:sz w:val="20"/>
          <w:szCs w:val="20"/>
        </w:rPr>
      </w:pPr>
      <w:r w:rsidRPr="0099132C">
        <w:rPr>
          <w:sz w:val="20"/>
          <w:szCs w:val="20"/>
        </w:rPr>
        <w:t>A etapa inicial envolveu a coleta de dados georreferenciados de pontos representativos de serviços e equipamentos de lazer, institucional, saúde e educação dentro do município de Carolina. A obtenção desses dados ocorreu por meio da plataforma Google Earth Pro, com informações referentes ao ano de 2021.</w:t>
      </w:r>
    </w:p>
    <w:p w14:paraId="003474AF" w14:textId="77777777" w:rsidR="0099132C" w:rsidRPr="0099132C" w:rsidRDefault="0099132C" w:rsidP="0099132C">
      <w:pPr>
        <w:widowControl/>
        <w:rPr>
          <w:sz w:val="20"/>
          <w:szCs w:val="20"/>
        </w:rPr>
      </w:pPr>
    </w:p>
    <w:p w14:paraId="776D0582" w14:textId="77777777" w:rsidR="0099132C" w:rsidRPr="0099132C" w:rsidRDefault="0099132C" w:rsidP="0099132C">
      <w:pPr>
        <w:widowControl/>
        <w:rPr>
          <w:sz w:val="20"/>
          <w:szCs w:val="20"/>
        </w:rPr>
      </w:pPr>
      <w:r w:rsidRPr="0099132C">
        <w:rPr>
          <w:sz w:val="20"/>
          <w:szCs w:val="20"/>
        </w:rPr>
        <w:t>Processamento e análise espacial</w:t>
      </w:r>
    </w:p>
    <w:p w14:paraId="2C794550" w14:textId="77777777" w:rsidR="0099132C" w:rsidRPr="0099132C" w:rsidRDefault="0099132C" w:rsidP="0099132C">
      <w:pPr>
        <w:ind w:firstLine="720"/>
        <w:jc w:val="both"/>
        <w:rPr>
          <w:sz w:val="20"/>
          <w:szCs w:val="20"/>
        </w:rPr>
      </w:pPr>
      <w:r w:rsidRPr="0099132C">
        <w:rPr>
          <w:sz w:val="20"/>
          <w:szCs w:val="20"/>
        </w:rPr>
        <w:t>Os dados coletados no Google Earth Pro foram, posteriormente, importados para o Sistema de Informação Geográfica (SIG) QGIS, versão 3.16.6 “Hannover”. Dentro do QGIS, foi aplicada a técnica de Kernel Density Estimation (KDE) para gerar o mapa de calor. Esta técnica estima a densidade de pontos em uma determinada área, criando uma superfície contínua onde as áreas com maior concentração de pontos apresentam valores mais elevados (maior intensidade de cor no mapa).</w:t>
      </w:r>
    </w:p>
    <w:p w14:paraId="4364E44E" w14:textId="77777777" w:rsidR="0099132C" w:rsidRPr="0099132C" w:rsidRDefault="0099132C" w:rsidP="0099132C">
      <w:pPr>
        <w:jc w:val="both"/>
        <w:rPr>
          <w:sz w:val="20"/>
          <w:szCs w:val="20"/>
        </w:rPr>
      </w:pPr>
    </w:p>
    <w:p w14:paraId="109760CD" w14:textId="77777777" w:rsidR="0099132C" w:rsidRPr="0099132C" w:rsidRDefault="0099132C" w:rsidP="0099132C">
      <w:pPr>
        <w:jc w:val="both"/>
        <w:rPr>
          <w:sz w:val="20"/>
          <w:szCs w:val="20"/>
        </w:rPr>
      </w:pPr>
      <w:r w:rsidRPr="0099132C">
        <w:rPr>
          <w:sz w:val="20"/>
          <w:szCs w:val="20"/>
        </w:rPr>
        <w:t>Parametrização do modelo Kernel</w:t>
      </w:r>
    </w:p>
    <w:p w14:paraId="1A69517F" w14:textId="77777777" w:rsidR="0099132C" w:rsidRPr="0099132C" w:rsidRDefault="0099132C" w:rsidP="0099132C">
      <w:pPr>
        <w:ind w:firstLine="720"/>
        <w:jc w:val="both"/>
        <w:rPr>
          <w:sz w:val="20"/>
          <w:szCs w:val="20"/>
        </w:rPr>
      </w:pPr>
      <w:r w:rsidRPr="0099132C">
        <w:rPr>
          <w:sz w:val="20"/>
          <w:szCs w:val="20"/>
        </w:rPr>
        <w:t>Para a geração do mapa de calor apresentado na Figura 1, foram definidos parâmetros específicos para a função Kernel. O raio de busca (bandwidth) utilizado foi de 200 metros. Este parâmetro define a distância dentro da qual a influência de cada ponto é considerada para o cálculo da densidade. Adicionalmente, o tamanho do pixel na grade raster resultante foi definido em 20,1 metros para ambos os eixos x e y. A escolha desses parâmetros influencia diretamente a suavidade e a resolução do mapa de calor gerado.</w:t>
      </w:r>
    </w:p>
    <w:p w14:paraId="55683161" w14:textId="77777777" w:rsidR="0099132C" w:rsidRPr="0099132C" w:rsidRDefault="0099132C" w:rsidP="0099132C">
      <w:pPr>
        <w:jc w:val="both"/>
        <w:rPr>
          <w:sz w:val="20"/>
          <w:szCs w:val="20"/>
        </w:rPr>
      </w:pPr>
    </w:p>
    <w:p w14:paraId="193B3194" w14:textId="77777777" w:rsidR="0099132C" w:rsidRPr="0099132C" w:rsidRDefault="0099132C" w:rsidP="0099132C">
      <w:pPr>
        <w:jc w:val="both"/>
        <w:rPr>
          <w:sz w:val="20"/>
          <w:szCs w:val="20"/>
        </w:rPr>
      </w:pPr>
      <w:r w:rsidRPr="0099132C">
        <w:rPr>
          <w:sz w:val="20"/>
          <w:szCs w:val="20"/>
        </w:rPr>
        <w:t>Visualização e interpretação</w:t>
      </w:r>
    </w:p>
    <w:p w14:paraId="0EE9BE5B" w14:textId="77777777" w:rsidR="0099132C" w:rsidRPr="0099132C" w:rsidRDefault="0099132C" w:rsidP="0099132C">
      <w:pPr>
        <w:ind w:firstLine="720"/>
        <w:jc w:val="both"/>
        <w:rPr>
          <w:sz w:val="20"/>
          <w:szCs w:val="20"/>
        </w:rPr>
      </w:pPr>
      <w:r w:rsidRPr="0099132C">
        <w:rPr>
          <w:sz w:val="20"/>
          <w:szCs w:val="20"/>
        </w:rPr>
        <w:t>O resultado do processamento foi um mapa de calor de Kernel, apresentado na Figura 1, que visualiza as áreas de maior e menor concentração dos dados de lazer, institucional, saúde e educação no município de Carolina – MA. A interpretação deste mapa permite identificar os polos de concentração desses serviços e equipamentos, fornecendo informações relevantes para análises de planejamento urbano e distribuição espacial de recursos.</w:t>
      </w:r>
    </w:p>
    <w:p w14:paraId="0531D380" w14:textId="38385664" w:rsidR="007960F7" w:rsidRDefault="007960F7" w:rsidP="0099132C">
      <w:pPr>
        <w:widowControl/>
        <w:jc w:val="both"/>
        <w:rPr>
          <w:sz w:val="20"/>
          <w:szCs w:val="20"/>
        </w:rPr>
      </w:pPr>
    </w:p>
    <w:p w14:paraId="2BAC9FA9" w14:textId="31CFCFD3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0E4F160F" w14:textId="77777777" w:rsidR="006F2BE0" w:rsidRDefault="006F2BE0">
      <w:pPr>
        <w:widowControl/>
        <w:jc w:val="both"/>
        <w:rPr>
          <w:sz w:val="20"/>
          <w:szCs w:val="20"/>
        </w:rPr>
      </w:pPr>
    </w:p>
    <w:p w14:paraId="16E3E7EB" w14:textId="77777777" w:rsidR="0099132C" w:rsidRDefault="00025E90" w:rsidP="0099132C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99132C" w:rsidRPr="0098394D">
        <w:rPr>
          <w:sz w:val="20"/>
          <w:szCs w:val="20"/>
        </w:rPr>
        <w:t xml:space="preserve">Na Figura 1 encontra-se o mapa final de calor de </w:t>
      </w:r>
      <w:r w:rsidR="0099132C">
        <w:rPr>
          <w:sz w:val="20"/>
          <w:szCs w:val="20"/>
        </w:rPr>
        <w:t>Kernel</w:t>
      </w:r>
      <w:r w:rsidR="0099132C" w:rsidRPr="0098394D">
        <w:rPr>
          <w:sz w:val="20"/>
          <w:szCs w:val="20"/>
        </w:rPr>
        <w:t xml:space="preserve"> para o município de Carolina – MA, ele foi gerado para um raio de 200m e para um tamanho de pixel nos eixos x e y de 20,1.</w:t>
      </w:r>
    </w:p>
    <w:p w14:paraId="0B8971EF" w14:textId="4044F0D2" w:rsidR="006F2BE0" w:rsidRDefault="006F2BE0">
      <w:pPr>
        <w:widowControl/>
        <w:jc w:val="both"/>
        <w:rPr>
          <w:sz w:val="20"/>
          <w:szCs w:val="20"/>
        </w:rPr>
      </w:pPr>
    </w:p>
    <w:p w14:paraId="38BFB1C3" w14:textId="103246BE" w:rsidR="00025E90" w:rsidRDefault="0099132C" w:rsidP="0099132C">
      <w:pPr>
        <w:widowControl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3D090C1" wp14:editId="234E42FC">
            <wp:extent cx="4308764" cy="2701636"/>
            <wp:effectExtent l="0" t="0" r="0" b="3810"/>
            <wp:docPr id="4" name="Image 4" descr="Mapa  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Mapa  Descrição gerad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31" cy="271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8E88" w14:textId="2A9560FC" w:rsidR="0099132C" w:rsidRDefault="0099132C" w:rsidP="00E832FD">
      <w:pPr>
        <w:widowControl/>
        <w:ind w:left="851" w:right="851"/>
        <w:jc w:val="both"/>
        <w:rPr>
          <w:sz w:val="20"/>
          <w:szCs w:val="20"/>
        </w:rPr>
      </w:pPr>
      <w:r w:rsidRPr="0099132C">
        <w:rPr>
          <w:b/>
          <w:bCs/>
          <w:sz w:val="20"/>
          <w:szCs w:val="20"/>
        </w:rPr>
        <w:t>Figura 1.</w:t>
      </w:r>
      <w:r w:rsidRPr="0098394D">
        <w:rPr>
          <w:sz w:val="20"/>
          <w:szCs w:val="20"/>
        </w:rPr>
        <w:t xml:space="preserve"> Mapa final de interpolação de dados de </w:t>
      </w:r>
      <w:r>
        <w:rPr>
          <w:sz w:val="20"/>
          <w:szCs w:val="20"/>
        </w:rPr>
        <w:t>Kernel</w:t>
      </w:r>
      <w:r w:rsidRPr="0098394D">
        <w:rPr>
          <w:sz w:val="20"/>
          <w:szCs w:val="20"/>
        </w:rPr>
        <w:t xml:space="preserve"> para a cidade de Carolina – MA. </w:t>
      </w:r>
    </w:p>
    <w:p w14:paraId="05923DE7" w14:textId="77777777" w:rsidR="0099132C" w:rsidRDefault="0099132C" w:rsidP="00E832FD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O mapa de interpolação de Kernel apresentou as áreas com maior concentração de serviços em Carolina estão concentrados na região oeste e sudoeste. A quantidade de pontos Geradores de Valores (PGVs) foi maior para o lazer e a educação, especialmente em áreas de alta densidade (representada pela cor laranja e vermelha). Já os PGVs institucionais e de saúde foram menores. Observou-se no mapa uma alta densidade de PGVs, acima de 4,4702, na zona central da cidade, uma densidade moderada (representada pela cor verde e amarelo) estendendo radialmente a partir do centro, e uma baixa densidade (representada pela cor azul) ao norte, leste e sul, indicando uma menor concentração desses serviços. A dispersão dos serviços é relativamente distribuída, evidenciando uma dominância no centro da cidade.</w:t>
      </w:r>
    </w:p>
    <w:p w14:paraId="565D76F2" w14:textId="77777777" w:rsidR="0099132C" w:rsidRDefault="0099132C" w:rsidP="0099132C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O município de Carolina – MA tem um grande potencial turístico natural, principalmente por nessa região está concentrado o Parque Nacional da Chapada das Mesas, o que pode explicar uma maior densidade dos PGVs no centro da cidade, pois uma melhor infraestrutura de serviços, como o lazer, nesses locais acaba atraindo os turistas e a população local, principalmente no período de férias. </w:t>
      </w:r>
    </w:p>
    <w:p w14:paraId="5AA90C50" w14:textId="77777777" w:rsidR="0099132C" w:rsidRDefault="0099132C" w:rsidP="0099132C">
      <w:pPr>
        <w:widowControl/>
        <w:ind w:firstLine="720"/>
        <w:jc w:val="both"/>
        <w:rPr>
          <w:sz w:val="20"/>
          <w:szCs w:val="20"/>
        </w:rPr>
      </w:pPr>
      <w:r w:rsidRPr="00FB63FE">
        <w:rPr>
          <w:sz w:val="20"/>
          <w:szCs w:val="20"/>
        </w:rPr>
        <w:t xml:space="preserve">A alta </w:t>
      </w:r>
      <w:r>
        <w:rPr>
          <w:sz w:val="20"/>
          <w:szCs w:val="20"/>
        </w:rPr>
        <w:t>densidades</w:t>
      </w:r>
      <w:r w:rsidRPr="00FB63FE">
        <w:rPr>
          <w:sz w:val="20"/>
          <w:szCs w:val="20"/>
        </w:rPr>
        <w:t xml:space="preserve"> de serviços em áre</w:t>
      </w:r>
      <w:r>
        <w:rPr>
          <w:sz w:val="20"/>
          <w:szCs w:val="20"/>
        </w:rPr>
        <w:t>as</w:t>
      </w:r>
      <w:r w:rsidRPr="00FB63FE">
        <w:rPr>
          <w:sz w:val="20"/>
          <w:szCs w:val="20"/>
        </w:rPr>
        <w:t xml:space="preserve"> próximas ao rio Tocantins, indica um modelo de urbanização que pode </w:t>
      </w:r>
      <w:r>
        <w:rPr>
          <w:sz w:val="20"/>
          <w:szCs w:val="20"/>
        </w:rPr>
        <w:t>contribuir para</w:t>
      </w:r>
      <w:r w:rsidRPr="00FB63FE">
        <w:rPr>
          <w:sz w:val="20"/>
          <w:szCs w:val="20"/>
        </w:rPr>
        <w:t xml:space="preserve"> impactos ambientais</w:t>
      </w:r>
      <w:r>
        <w:rPr>
          <w:sz w:val="20"/>
          <w:szCs w:val="20"/>
        </w:rPr>
        <w:t xml:space="preserve"> negativos</w:t>
      </w:r>
      <w:r w:rsidRPr="00FB63FE">
        <w:rPr>
          <w:sz w:val="20"/>
          <w:szCs w:val="20"/>
        </w:rPr>
        <w:t>, como poluição hídrica, supressão da vegetação</w:t>
      </w:r>
      <w:r>
        <w:rPr>
          <w:sz w:val="20"/>
          <w:szCs w:val="20"/>
        </w:rPr>
        <w:t xml:space="preserve"> </w:t>
      </w:r>
      <w:r w:rsidRPr="00FB63FE">
        <w:rPr>
          <w:sz w:val="20"/>
          <w:szCs w:val="20"/>
        </w:rPr>
        <w:t>e assoreamento do</w:t>
      </w:r>
      <w:r>
        <w:rPr>
          <w:sz w:val="20"/>
          <w:szCs w:val="20"/>
        </w:rPr>
        <w:t xml:space="preserve"> rio</w:t>
      </w:r>
      <w:r w:rsidRPr="00FB63FE">
        <w:rPr>
          <w:sz w:val="20"/>
          <w:szCs w:val="20"/>
        </w:rPr>
        <w:t xml:space="preserve">. </w:t>
      </w:r>
      <w:r>
        <w:rPr>
          <w:sz w:val="20"/>
          <w:szCs w:val="20"/>
        </w:rPr>
        <w:t>Esses</w:t>
      </w:r>
      <w:r w:rsidRPr="00FB63FE">
        <w:rPr>
          <w:sz w:val="20"/>
          <w:szCs w:val="20"/>
        </w:rPr>
        <w:t xml:space="preserve"> padrões</w:t>
      </w:r>
      <w:r>
        <w:rPr>
          <w:sz w:val="20"/>
          <w:szCs w:val="20"/>
        </w:rPr>
        <w:t xml:space="preserve"> são</w:t>
      </w:r>
      <w:r w:rsidRPr="00FB63FE">
        <w:rPr>
          <w:sz w:val="20"/>
          <w:szCs w:val="20"/>
        </w:rPr>
        <w:t xml:space="preserve"> preocupa</w:t>
      </w:r>
      <w:r>
        <w:rPr>
          <w:sz w:val="20"/>
          <w:szCs w:val="20"/>
        </w:rPr>
        <w:t>ntes</w:t>
      </w:r>
      <w:r w:rsidRPr="00FB63FE">
        <w:rPr>
          <w:sz w:val="20"/>
          <w:szCs w:val="20"/>
        </w:rPr>
        <w:t>,</w:t>
      </w:r>
      <w:r>
        <w:rPr>
          <w:sz w:val="20"/>
          <w:szCs w:val="20"/>
        </w:rPr>
        <w:t xml:space="preserve"> pois </w:t>
      </w:r>
      <w:r w:rsidRPr="00FB63FE">
        <w:rPr>
          <w:sz w:val="20"/>
          <w:szCs w:val="20"/>
        </w:rPr>
        <w:t xml:space="preserve">ocorrem em uma região de importância ecológica e turística, </w:t>
      </w:r>
      <w:r>
        <w:rPr>
          <w:sz w:val="20"/>
          <w:szCs w:val="20"/>
        </w:rPr>
        <w:t xml:space="preserve">onde a </w:t>
      </w:r>
      <w:r w:rsidRPr="00FB63FE">
        <w:rPr>
          <w:sz w:val="20"/>
          <w:szCs w:val="20"/>
        </w:rPr>
        <w:t xml:space="preserve">conservação é </w:t>
      </w:r>
      <w:r>
        <w:rPr>
          <w:sz w:val="20"/>
          <w:szCs w:val="20"/>
        </w:rPr>
        <w:t>muito importante</w:t>
      </w:r>
      <w:r w:rsidRPr="00FB63FE">
        <w:rPr>
          <w:sz w:val="20"/>
          <w:szCs w:val="20"/>
        </w:rPr>
        <w:t xml:space="preserve"> para o equilíbrio ambiental e para a sustentabilidade da atividade turística local. Além disso, a expansão des</w:t>
      </w:r>
      <w:r>
        <w:rPr>
          <w:sz w:val="20"/>
          <w:szCs w:val="20"/>
        </w:rPr>
        <w:t>enfreada</w:t>
      </w:r>
      <w:r w:rsidRPr="00FB63FE">
        <w:rPr>
          <w:sz w:val="20"/>
          <w:szCs w:val="20"/>
        </w:rPr>
        <w:t xml:space="preserve"> </w:t>
      </w:r>
      <w:r>
        <w:rPr>
          <w:sz w:val="20"/>
          <w:szCs w:val="20"/>
        </w:rPr>
        <w:t>apresentadas</w:t>
      </w:r>
      <w:r w:rsidRPr="00FB63FE">
        <w:rPr>
          <w:sz w:val="20"/>
          <w:szCs w:val="20"/>
        </w:rPr>
        <w:t xml:space="preserve"> nas bordas urbanas, em áreas de baixa densidade, evidencia desigualdades no acesso aos serviços e a ausência de uma lógica de ocupação integrada à proteção dos recursos naturais</w:t>
      </w:r>
    </w:p>
    <w:p w14:paraId="224A3035" w14:textId="72CE03CA" w:rsidR="0099132C" w:rsidRDefault="0099132C" w:rsidP="0099132C">
      <w:pPr>
        <w:widowControl/>
        <w:ind w:firstLine="72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A explicação para os padrões espaciais identificados pode </w:t>
      </w:r>
      <w:r w:rsidR="00143EFC">
        <w:rPr>
          <w:sz w:val="20"/>
          <w:szCs w:val="20"/>
        </w:rPr>
        <w:t>está</w:t>
      </w:r>
      <w:r>
        <w:rPr>
          <w:sz w:val="20"/>
          <w:szCs w:val="20"/>
        </w:rPr>
        <w:t xml:space="preserve"> atrelado a áreas de maior circulação de pessoas ocupando o centro da cidade, resultou na maior densidade dos PGVs. Outro fator pode está associado ao planejamento urbano com base em atender ao turismo, centralizando a organização da cidade em áreas com melhor infraestrutura preexistente. Mas, a metodologia utilizada para esse estudo pode não ter sido suficiente para explicar os resultados obtidos, pois é baseado em um momento especifico. Para melhores análises, faz-se necessário a utilização de dados de séries históricas e incluir o aspecto ambiental para melhor compreensão dos impactos que a estruturação dessa urbanização apresenta.  </w:t>
      </w:r>
    </w:p>
    <w:p w14:paraId="67424689" w14:textId="75C68CD5" w:rsidR="00CE0D1F" w:rsidRDefault="002C4135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6571811" w14:textId="432F5A46" w:rsidR="007960F7" w:rsidRDefault="00000000" w:rsidP="00C02883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7CA3EAB0" w14:textId="77777777" w:rsidR="007960F7" w:rsidRDefault="007960F7" w:rsidP="00C02883">
      <w:pPr>
        <w:widowControl/>
        <w:jc w:val="both"/>
        <w:rPr>
          <w:b/>
          <w:sz w:val="20"/>
          <w:szCs w:val="20"/>
        </w:rPr>
      </w:pPr>
    </w:p>
    <w:p w14:paraId="320A6355" w14:textId="4CF9931A" w:rsidR="0099132C" w:rsidRDefault="0099132C" w:rsidP="0099132C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Dessa forma, a </w:t>
      </w:r>
      <w:r w:rsidRPr="00FB63FE">
        <w:rPr>
          <w:sz w:val="20"/>
          <w:szCs w:val="20"/>
        </w:rPr>
        <w:t xml:space="preserve">distribuição espacial </w:t>
      </w:r>
      <w:r>
        <w:rPr>
          <w:sz w:val="20"/>
          <w:szCs w:val="20"/>
        </w:rPr>
        <w:t>apresentada no mapa de interpolação de Kernel</w:t>
      </w:r>
      <w:r w:rsidRPr="00FB63FE">
        <w:rPr>
          <w:sz w:val="20"/>
          <w:szCs w:val="20"/>
        </w:rPr>
        <w:t xml:space="preserve"> reflete um planejamento urbano centrado nas demandas turísticas e na infraestrutura, </w:t>
      </w:r>
      <w:r>
        <w:rPr>
          <w:sz w:val="20"/>
          <w:szCs w:val="20"/>
        </w:rPr>
        <w:t>levando</w:t>
      </w:r>
      <w:r w:rsidRPr="00FB63FE">
        <w:rPr>
          <w:sz w:val="20"/>
          <w:szCs w:val="20"/>
        </w:rPr>
        <w:t xml:space="preserve"> a concentração dos serviços em áreas de maior circulação.</w:t>
      </w:r>
      <w:r>
        <w:rPr>
          <w:sz w:val="20"/>
          <w:szCs w:val="20"/>
        </w:rPr>
        <w:t xml:space="preserve"> Porém</w:t>
      </w:r>
      <w:r w:rsidRPr="00FB63FE">
        <w:rPr>
          <w:sz w:val="20"/>
          <w:szCs w:val="20"/>
        </w:rPr>
        <w:t>,</w:t>
      </w:r>
      <w:r>
        <w:rPr>
          <w:sz w:val="20"/>
          <w:szCs w:val="20"/>
        </w:rPr>
        <w:t xml:space="preserve"> se não for </w:t>
      </w:r>
      <w:r w:rsidRPr="00FB63FE">
        <w:rPr>
          <w:sz w:val="20"/>
          <w:szCs w:val="20"/>
        </w:rPr>
        <w:t>considera</w:t>
      </w:r>
      <w:r>
        <w:rPr>
          <w:sz w:val="20"/>
          <w:szCs w:val="20"/>
        </w:rPr>
        <w:t>do</w:t>
      </w:r>
      <w:r w:rsidRPr="00FB63FE">
        <w:rPr>
          <w:sz w:val="20"/>
          <w:szCs w:val="20"/>
        </w:rPr>
        <w:t xml:space="preserve"> os limites ecológicos do território</w:t>
      </w:r>
      <w:r>
        <w:rPr>
          <w:sz w:val="20"/>
          <w:szCs w:val="20"/>
        </w:rPr>
        <w:t xml:space="preserve">, </w:t>
      </w:r>
      <w:r w:rsidRPr="00FB63FE">
        <w:rPr>
          <w:sz w:val="20"/>
          <w:szCs w:val="20"/>
        </w:rPr>
        <w:t>pode agravar os processos de degradação ambiental se não for acompanhada de medidas de controle territorial e zoneamento ambiental. Assim, o uso de mapas de calor como instrumento de análise espacial se mostra eficaz para identificar áreas críticas, orientar a descentralização de serviços e promover a conservação da natureza como eixo estruturante do desenvolvimento urbano</w:t>
      </w:r>
      <w:r w:rsidR="00F213B1">
        <w:rPr>
          <w:sz w:val="20"/>
          <w:szCs w:val="20"/>
        </w:rPr>
        <w:t>.</w:t>
      </w:r>
    </w:p>
    <w:p w14:paraId="1C90B637" w14:textId="77777777" w:rsidR="00143EFC" w:rsidRDefault="00C0172D" w:rsidP="00143EFC">
      <w:pPr>
        <w:widowControl/>
        <w:ind w:firstLine="709"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</w:p>
    <w:p w14:paraId="06068CAE" w14:textId="72D97CAC" w:rsidR="00C802EF" w:rsidRPr="00D722DA" w:rsidRDefault="00000000" w:rsidP="00143EFC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444FAB74" w14:textId="77777777" w:rsidR="00C802EF" w:rsidRDefault="00C802EF">
      <w:pPr>
        <w:widowControl/>
        <w:jc w:val="both"/>
        <w:rPr>
          <w:sz w:val="20"/>
          <w:szCs w:val="20"/>
        </w:rPr>
      </w:pPr>
    </w:p>
    <w:p w14:paraId="51CABF8B" w14:textId="5A4038A7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D86250">
        <w:rPr>
          <w:sz w:val="20"/>
          <w:szCs w:val="20"/>
        </w:rPr>
        <w:t xml:space="preserve">MAXIMIANO CASTILLEJO, A. Geoestadística y arqueológia: una nueva perspectiva analítico-interpretativa en el análisis espacial intra-site, </w:t>
      </w:r>
      <w:r w:rsidRPr="005332BB">
        <w:rPr>
          <w:b/>
          <w:bCs/>
          <w:sz w:val="20"/>
          <w:szCs w:val="20"/>
        </w:rPr>
        <w:t>Analítika: revista de análisis estadístico</w:t>
      </w:r>
      <w:r w:rsidRPr="00D86250">
        <w:rPr>
          <w:sz w:val="20"/>
          <w:szCs w:val="20"/>
        </w:rPr>
        <w:t>, nº 4, Ecuador, 2012, pp. 83-98. Disponível em: https://ideas.repec.org/a/inp/inpana/v4y2012i2p83-95.html</w:t>
      </w:r>
      <w:r>
        <w:rPr>
          <w:sz w:val="20"/>
          <w:szCs w:val="20"/>
        </w:rPr>
        <w:t>.</w:t>
      </w:r>
      <w:r w:rsidRPr="00D86250">
        <w:rPr>
          <w:sz w:val="20"/>
          <w:szCs w:val="20"/>
        </w:rPr>
        <w:t xml:space="preserve"> Acesso em: 2</w:t>
      </w:r>
      <w:r>
        <w:rPr>
          <w:sz w:val="20"/>
          <w:szCs w:val="20"/>
        </w:rPr>
        <w:t>8 maio. 2025</w:t>
      </w:r>
      <w:r w:rsidRPr="00D86250">
        <w:rPr>
          <w:sz w:val="20"/>
          <w:szCs w:val="20"/>
        </w:rPr>
        <w:t>.</w:t>
      </w:r>
    </w:p>
    <w:p w14:paraId="5F0F19E5" w14:textId="6CCA40F9" w:rsidR="0099132C" w:rsidRPr="00A34D4F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C00F1F">
        <w:rPr>
          <w:sz w:val="20"/>
          <w:szCs w:val="20"/>
        </w:rPr>
        <w:t xml:space="preserve">MODREGO FERNÁNDEZ, R. La dimensión espacial de la toponímia histórica a través del análisis </w:t>
      </w:r>
      <w:r>
        <w:rPr>
          <w:sz w:val="20"/>
          <w:szCs w:val="20"/>
        </w:rPr>
        <w:t>Kernel</w:t>
      </w:r>
      <w:r w:rsidRPr="00C00F1F">
        <w:rPr>
          <w:sz w:val="20"/>
          <w:szCs w:val="20"/>
        </w:rPr>
        <w:t xml:space="preserve">. Hacia umna arqueologia del paisaje medieval em Sierra Mágina (Jaén). </w:t>
      </w:r>
      <w:r w:rsidRPr="005332BB">
        <w:rPr>
          <w:b/>
          <w:bCs/>
          <w:sz w:val="20"/>
          <w:szCs w:val="20"/>
        </w:rPr>
        <w:t>Arqeuología y Território</w:t>
      </w:r>
      <w:r w:rsidRPr="00C00F1F">
        <w:rPr>
          <w:sz w:val="20"/>
          <w:szCs w:val="20"/>
        </w:rPr>
        <w:t xml:space="preserve">.n.17, p. 159-172, 2020. Disponível em: </w:t>
      </w:r>
      <w:r w:rsidRPr="005332BB">
        <w:rPr>
          <w:sz w:val="20"/>
          <w:szCs w:val="20"/>
        </w:rPr>
        <w:t>https://dialnet.unirioja.es/servlet/articulo?codigo=7702262</w:t>
      </w:r>
      <w:r>
        <w:rPr>
          <w:sz w:val="20"/>
          <w:szCs w:val="20"/>
        </w:rPr>
        <w:t>. A</w:t>
      </w:r>
      <w:r w:rsidRPr="00C00F1F">
        <w:rPr>
          <w:sz w:val="20"/>
          <w:szCs w:val="20"/>
        </w:rPr>
        <w:t xml:space="preserve">cesso em: </w:t>
      </w:r>
      <w:r>
        <w:rPr>
          <w:sz w:val="20"/>
          <w:szCs w:val="20"/>
        </w:rPr>
        <w:t>28 maio. 2025</w:t>
      </w:r>
      <w:r w:rsidRPr="00C00F1F">
        <w:rPr>
          <w:sz w:val="20"/>
          <w:szCs w:val="20"/>
        </w:rPr>
        <w:t>. ISSN-e 1698-5664.</w:t>
      </w:r>
    </w:p>
    <w:p w14:paraId="6CC52ED9" w14:textId="262B7649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D86250">
        <w:rPr>
          <w:sz w:val="20"/>
          <w:szCs w:val="20"/>
        </w:rPr>
        <w:t xml:space="preserve">MEDEIROS, A. M. L. de </w:t>
      </w:r>
      <w:r w:rsidRPr="005332BB">
        <w:rPr>
          <w:b/>
          <w:bCs/>
          <w:sz w:val="20"/>
          <w:szCs w:val="20"/>
        </w:rPr>
        <w:t xml:space="preserve">E – Book: </w:t>
      </w:r>
      <w:r w:rsidRPr="009F5D35">
        <w:rPr>
          <w:sz w:val="20"/>
          <w:szCs w:val="20"/>
        </w:rPr>
        <w:t>Artigos sobre conceitos em geoprocessamento</w:t>
      </w:r>
      <w:r w:rsidRPr="005332BB">
        <w:rPr>
          <w:b/>
          <w:bCs/>
          <w:sz w:val="20"/>
          <w:szCs w:val="20"/>
        </w:rPr>
        <w:t>.</w:t>
      </w:r>
      <w:r w:rsidRPr="00D86250">
        <w:rPr>
          <w:sz w:val="20"/>
          <w:szCs w:val="20"/>
        </w:rPr>
        <w:t xml:space="preserve"> 2012. Disponível em: https://www.clickgeo.com.br/e-book-sobre-conceitos-em geoprocessamento/</w:t>
      </w:r>
      <w:r>
        <w:rPr>
          <w:sz w:val="20"/>
          <w:szCs w:val="20"/>
        </w:rPr>
        <w:t xml:space="preserve">. </w:t>
      </w:r>
      <w:r w:rsidRPr="00D86250">
        <w:rPr>
          <w:sz w:val="20"/>
          <w:szCs w:val="20"/>
        </w:rPr>
        <w:t>Acesso em:</w:t>
      </w:r>
      <w:r>
        <w:rPr>
          <w:sz w:val="20"/>
          <w:szCs w:val="20"/>
        </w:rPr>
        <w:t xml:space="preserve"> 28 maio. 2025</w:t>
      </w:r>
      <w:r w:rsidRPr="00D86250">
        <w:rPr>
          <w:sz w:val="20"/>
          <w:szCs w:val="20"/>
        </w:rPr>
        <w:t>.</w:t>
      </w:r>
    </w:p>
    <w:p w14:paraId="07C65DE6" w14:textId="6C65A2A9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C2255F">
        <w:rPr>
          <w:sz w:val="20"/>
          <w:szCs w:val="20"/>
        </w:rPr>
        <w:t xml:space="preserve">MUNIZ, Gisselly Poliana Santos; CASTRO, Claudio Eduardo. </w:t>
      </w:r>
      <w:r w:rsidRPr="005332BB">
        <w:rPr>
          <w:b/>
          <w:bCs/>
          <w:sz w:val="20"/>
          <w:szCs w:val="20"/>
        </w:rPr>
        <w:t>A Produção do espaço e o turismo em Carolina-Maranhão.</w:t>
      </w:r>
      <w:r>
        <w:rPr>
          <w:sz w:val="20"/>
          <w:szCs w:val="20"/>
        </w:rPr>
        <w:t xml:space="preserve"> </w:t>
      </w:r>
      <w:r w:rsidRPr="00C2255F">
        <w:rPr>
          <w:sz w:val="20"/>
          <w:szCs w:val="20"/>
        </w:rPr>
        <w:t>BRASIL. 2019.</w:t>
      </w:r>
    </w:p>
    <w:p w14:paraId="6E3C6E95" w14:textId="121E2CED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D86250">
        <w:rPr>
          <w:sz w:val="20"/>
          <w:szCs w:val="20"/>
        </w:rPr>
        <w:t xml:space="preserve">NAGEM, J.T.F.K. Mapa de </w:t>
      </w:r>
      <w:r>
        <w:rPr>
          <w:sz w:val="20"/>
          <w:szCs w:val="20"/>
        </w:rPr>
        <w:t>Kernel</w:t>
      </w:r>
      <w:r w:rsidRPr="00D86250">
        <w:rPr>
          <w:sz w:val="20"/>
          <w:szCs w:val="20"/>
        </w:rPr>
        <w:t xml:space="preserve"> das notificações de violência sexual no estado do Pará, nos anos de 2012, 2012 e 2014. </w:t>
      </w:r>
      <w:r w:rsidRPr="005332BB">
        <w:rPr>
          <w:b/>
          <w:bCs/>
          <w:sz w:val="20"/>
          <w:szCs w:val="20"/>
        </w:rPr>
        <w:t>In:</w:t>
      </w:r>
      <w:r w:rsidRPr="00D86250">
        <w:rPr>
          <w:sz w:val="20"/>
          <w:szCs w:val="20"/>
        </w:rPr>
        <w:t xml:space="preserve"> Anais do XXI Simpósio Brasileiro de Sensoriamento Remoto 14 a 17 de abril 2019 – INPE – Santos, SP, Brasil, 2019. Disponível em: http://marte2.sid.inpe.br/col/sid.inpe.br/marte2/2019/09.03.18.04/doc/97249.pdf Acesso em: 2</w:t>
      </w:r>
      <w:r>
        <w:rPr>
          <w:sz w:val="20"/>
          <w:szCs w:val="20"/>
        </w:rPr>
        <w:t>8 maio. 2025</w:t>
      </w:r>
      <w:r w:rsidRPr="00D86250">
        <w:rPr>
          <w:sz w:val="20"/>
          <w:szCs w:val="20"/>
        </w:rPr>
        <w:t>. ISBN:978-85-17-00097-3</w:t>
      </w:r>
      <w:r>
        <w:rPr>
          <w:sz w:val="20"/>
          <w:szCs w:val="20"/>
        </w:rPr>
        <w:t>.</w:t>
      </w:r>
    </w:p>
    <w:p w14:paraId="1F6B332E" w14:textId="77777777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C00F1F">
        <w:rPr>
          <w:sz w:val="20"/>
          <w:szCs w:val="20"/>
        </w:rPr>
        <w:t xml:space="preserve">OLIVEIRA, U.C.; OLIVEIRA, P. S. de Mapas de </w:t>
      </w:r>
      <w:r>
        <w:rPr>
          <w:sz w:val="20"/>
          <w:szCs w:val="20"/>
        </w:rPr>
        <w:t>Kernel</w:t>
      </w:r>
      <w:r w:rsidRPr="00C00F1F">
        <w:rPr>
          <w:sz w:val="20"/>
          <w:szCs w:val="20"/>
        </w:rPr>
        <w:t xml:space="preserve"> como subsídio à gestão ambiental: Análise dos focos de calo na Bacia Hidrográfica do rio Acaraú, Ceará, nos anos 2010 a 2015. </w:t>
      </w:r>
      <w:r w:rsidRPr="005332BB">
        <w:rPr>
          <w:b/>
          <w:bCs/>
          <w:sz w:val="20"/>
          <w:szCs w:val="20"/>
        </w:rPr>
        <w:t>Espaço Aberto</w:t>
      </w:r>
      <w:r w:rsidRPr="00C00F1F">
        <w:rPr>
          <w:sz w:val="20"/>
          <w:szCs w:val="20"/>
        </w:rPr>
        <w:t xml:space="preserve">, PPGG-UFRRJ, Rio de </w:t>
      </w:r>
      <w:r w:rsidRPr="00C00F1F">
        <w:rPr>
          <w:sz w:val="20"/>
          <w:szCs w:val="20"/>
        </w:rPr>
        <w:lastRenderedPageBreak/>
        <w:t>Janeiro, v. 7, n.1, p. 87- 99, 2017. Disponível em: https://dialnet.unirioja.es/servlet/articulo?codigo=6120679 Acesso em: 2</w:t>
      </w:r>
      <w:r>
        <w:rPr>
          <w:sz w:val="20"/>
          <w:szCs w:val="20"/>
        </w:rPr>
        <w:t>8 maio. 2025</w:t>
      </w:r>
      <w:r w:rsidRPr="00C00F1F">
        <w:rPr>
          <w:sz w:val="20"/>
          <w:szCs w:val="20"/>
        </w:rPr>
        <w:t>. ISSN: 2237 – 3071</w:t>
      </w:r>
      <w:r>
        <w:rPr>
          <w:sz w:val="20"/>
          <w:szCs w:val="20"/>
        </w:rPr>
        <w:t>.</w:t>
      </w:r>
    </w:p>
    <w:p w14:paraId="6E9738A9" w14:textId="77777777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</w:p>
    <w:p w14:paraId="49B0C6CB" w14:textId="2AAE3992" w:rsidR="00E832FD" w:rsidRDefault="00E832FD" w:rsidP="00E739EC">
      <w:pPr>
        <w:widowControl/>
        <w:spacing w:after="120"/>
        <w:jc w:val="both"/>
        <w:rPr>
          <w:sz w:val="20"/>
          <w:szCs w:val="20"/>
        </w:rPr>
      </w:pPr>
      <w:r w:rsidRPr="00E832FD">
        <w:rPr>
          <w:sz w:val="20"/>
          <w:szCs w:val="20"/>
        </w:rPr>
        <w:t xml:space="preserve">SILVERMAN, B. W. </w:t>
      </w:r>
      <w:r w:rsidRPr="00E832FD">
        <w:rPr>
          <w:b/>
          <w:bCs/>
          <w:sz w:val="20"/>
          <w:szCs w:val="20"/>
        </w:rPr>
        <w:t>Density Estimation for Statistics and Data Analysis</w:t>
      </w:r>
      <w:r w:rsidRPr="00E832FD">
        <w:rPr>
          <w:sz w:val="20"/>
          <w:szCs w:val="20"/>
        </w:rPr>
        <w:t>. Nova York:</w:t>
      </w:r>
      <w:r>
        <w:rPr>
          <w:sz w:val="20"/>
          <w:szCs w:val="20"/>
        </w:rPr>
        <w:t xml:space="preserve"> </w:t>
      </w:r>
      <w:r w:rsidRPr="00E832FD">
        <w:rPr>
          <w:sz w:val="20"/>
          <w:szCs w:val="20"/>
        </w:rPr>
        <w:t>Chapman and Hall,</w:t>
      </w:r>
      <w:r>
        <w:rPr>
          <w:sz w:val="20"/>
          <w:szCs w:val="20"/>
        </w:rPr>
        <w:t xml:space="preserve"> </w:t>
      </w:r>
      <w:r w:rsidRPr="00E832FD">
        <w:rPr>
          <w:sz w:val="20"/>
          <w:szCs w:val="20"/>
        </w:rPr>
        <w:t>1986.</w:t>
      </w:r>
      <w:r>
        <w:rPr>
          <w:sz w:val="20"/>
          <w:szCs w:val="20"/>
        </w:rPr>
        <w:t xml:space="preserve"> </w:t>
      </w:r>
      <w:r w:rsidRPr="00E832FD">
        <w:rPr>
          <w:sz w:val="20"/>
          <w:szCs w:val="20"/>
        </w:rPr>
        <w:t>Disponível em:</w:t>
      </w:r>
      <w:r>
        <w:rPr>
          <w:sz w:val="20"/>
          <w:szCs w:val="20"/>
        </w:rPr>
        <w:t xml:space="preserve"> </w:t>
      </w:r>
      <w:r w:rsidRPr="00E832FD">
        <w:rPr>
          <w:sz w:val="20"/>
          <w:szCs w:val="20"/>
        </w:rPr>
        <w:t>https://books.google.com.br/books?hl=pt-BR&amp;lr=&amp;id=e xsrjsL7WkC&amp;oi=fnd&amp;pg=PR9&amp;dq=Density+Estimation+for+Statistics+and+Data+Analysis.+Nova+York:+Chapman+and+Hall,&amp;ots=iyKtko5BZq&amp;sig=MZF2u_e9ko_LM9ZfV3_dIXXdQdE#v=onepage&amp;q=Density%20Estimation%20for%20Statistics%20and%20Data%20Analysis.%20Nova%20York%3A%20Chapman%20and%20Hall%2C&amp;f= false</w:t>
      </w:r>
      <w:r>
        <w:rPr>
          <w:sz w:val="20"/>
          <w:szCs w:val="20"/>
        </w:rPr>
        <w:t>.</w:t>
      </w:r>
      <w:r w:rsidRPr="00E832FD">
        <w:rPr>
          <w:sz w:val="20"/>
          <w:szCs w:val="20"/>
        </w:rPr>
        <w:t xml:space="preserve"> Acesso em: </w:t>
      </w:r>
      <w:r>
        <w:rPr>
          <w:sz w:val="20"/>
          <w:szCs w:val="20"/>
        </w:rPr>
        <w:t>28 maio. 2025</w:t>
      </w:r>
      <w:r w:rsidRPr="00E832FD">
        <w:rPr>
          <w:sz w:val="20"/>
          <w:szCs w:val="20"/>
        </w:rPr>
        <w:t>.</w:t>
      </w:r>
    </w:p>
    <w:p w14:paraId="66D71C89" w14:textId="78E355BA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24108B">
        <w:rPr>
          <w:sz w:val="20"/>
          <w:szCs w:val="20"/>
        </w:rPr>
        <w:t xml:space="preserve">SOUZA, N.P. de </w:t>
      </w:r>
      <w:r w:rsidRPr="00E1712D">
        <w:rPr>
          <w:i/>
          <w:iCs/>
          <w:sz w:val="20"/>
          <w:szCs w:val="20"/>
        </w:rPr>
        <w:t>et al</w:t>
      </w:r>
      <w:r w:rsidRPr="0024108B">
        <w:rPr>
          <w:sz w:val="20"/>
          <w:szCs w:val="20"/>
        </w:rPr>
        <w:t xml:space="preserve">. Aplicação do estimador de densidade de </w:t>
      </w:r>
      <w:r>
        <w:rPr>
          <w:sz w:val="20"/>
          <w:szCs w:val="20"/>
        </w:rPr>
        <w:t>Kernel</w:t>
      </w:r>
      <w:r w:rsidRPr="0024108B">
        <w:rPr>
          <w:sz w:val="20"/>
          <w:szCs w:val="20"/>
        </w:rPr>
        <w:t xml:space="preserve"> em Unidades de Conservação na bacia hidrográfica do rio São Francisco para análise de focos de desmatamento e focos de calor. </w:t>
      </w:r>
      <w:r w:rsidRPr="005332BB">
        <w:rPr>
          <w:b/>
          <w:bCs/>
          <w:sz w:val="20"/>
          <w:szCs w:val="20"/>
        </w:rPr>
        <w:t>In</w:t>
      </w:r>
      <w:r w:rsidRPr="0024108B">
        <w:rPr>
          <w:sz w:val="20"/>
          <w:szCs w:val="20"/>
        </w:rPr>
        <w:t>: Anais XVI Simpósio Brasileiro de Sensoriamento Remoto – SBSR, Foz do Iguaçú, Pr, Brasil. 13 a 18 de abril de 2013, INPE, 2013. Disponível em</w:t>
      </w:r>
      <w:r>
        <w:rPr>
          <w:sz w:val="20"/>
          <w:szCs w:val="20"/>
        </w:rPr>
        <w:t xml:space="preserve">: </w:t>
      </w:r>
      <w:r w:rsidRPr="0024108B">
        <w:rPr>
          <w:sz w:val="20"/>
          <w:szCs w:val="20"/>
        </w:rPr>
        <w:t>http://marte2.sid.inpe.br/col/dpi.inpe.br/marte2/2013/05.29.00.28.09/doc/p1135.pdf</w:t>
      </w:r>
      <w:r>
        <w:rPr>
          <w:sz w:val="20"/>
          <w:szCs w:val="20"/>
        </w:rPr>
        <w:t>.</w:t>
      </w:r>
      <w:r w:rsidRPr="0024108B">
        <w:rPr>
          <w:sz w:val="20"/>
          <w:szCs w:val="20"/>
        </w:rPr>
        <w:t xml:space="preserve"> Acesso em:</w:t>
      </w:r>
      <w:r>
        <w:rPr>
          <w:sz w:val="20"/>
          <w:szCs w:val="20"/>
        </w:rPr>
        <w:t xml:space="preserve"> 28 maio. 2025</w:t>
      </w:r>
      <w:r w:rsidRPr="0024108B">
        <w:rPr>
          <w:sz w:val="20"/>
          <w:szCs w:val="20"/>
        </w:rPr>
        <w:t>.</w:t>
      </w:r>
    </w:p>
    <w:p w14:paraId="656E9C38" w14:textId="77777777" w:rsidR="0099132C" w:rsidRDefault="0099132C" w:rsidP="00E739EC">
      <w:pPr>
        <w:widowControl/>
        <w:spacing w:after="120"/>
        <w:jc w:val="both"/>
        <w:rPr>
          <w:sz w:val="20"/>
          <w:szCs w:val="20"/>
        </w:rPr>
      </w:pPr>
      <w:r w:rsidRPr="001370AA">
        <w:rPr>
          <w:sz w:val="20"/>
          <w:szCs w:val="20"/>
        </w:rPr>
        <w:t xml:space="preserve">VIEIRA, JM de S. </w:t>
      </w:r>
      <w:r w:rsidRPr="00E1712D">
        <w:rPr>
          <w:i/>
          <w:iCs/>
          <w:sz w:val="20"/>
          <w:szCs w:val="20"/>
        </w:rPr>
        <w:t>et al</w:t>
      </w:r>
      <w:r w:rsidRPr="001370AA">
        <w:rPr>
          <w:sz w:val="20"/>
          <w:szCs w:val="20"/>
        </w:rPr>
        <w:t>. Integração de Áreas Verdes na política urbana brasileira: desafios e perspectivas. </w:t>
      </w:r>
      <w:r w:rsidRPr="001370AA">
        <w:rPr>
          <w:b/>
          <w:bCs/>
          <w:sz w:val="20"/>
          <w:szCs w:val="20"/>
        </w:rPr>
        <w:t>Periódico Eletrônico Fórum Ambiental da Alta Paulista</w:t>
      </w:r>
      <w:r w:rsidRPr="001370AA">
        <w:rPr>
          <w:sz w:val="20"/>
          <w:szCs w:val="20"/>
        </w:rPr>
        <w:t>, v. 20, n. 4, 2024.</w:t>
      </w:r>
    </w:p>
    <w:p w14:paraId="651165A5" w14:textId="589B22F6" w:rsidR="00C802EF" w:rsidRPr="001D53B6" w:rsidRDefault="00C802EF" w:rsidP="00E739EC">
      <w:pPr>
        <w:widowControl/>
        <w:spacing w:after="120"/>
        <w:rPr>
          <w:sz w:val="20"/>
          <w:szCs w:val="20"/>
        </w:rPr>
      </w:pPr>
    </w:p>
    <w:sectPr w:rsidR="00C802EF" w:rsidRPr="001D53B6" w:rsidSect="001D53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C9DEE" w14:textId="77777777" w:rsidR="00FF0678" w:rsidRDefault="00FF0678">
      <w:r>
        <w:separator/>
      </w:r>
    </w:p>
  </w:endnote>
  <w:endnote w:type="continuationSeparator" w:id="0">
    <w:p w14:paraId="234E98BA" w14:textId="77777777" w:rsidR="00FF0678" w:rsidRDefault="00FF0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78848F9-5279-4E0E-A62C-F20B944EFF1F}"/>
    <w:embedItalic r:id="rId2" w:fontKey="{E3604B86-9956-4516-BA8F-5B4425CB1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783988-E0B5-4F5A-A81D-0621D35114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363EC3-2F58-4CB7-B215-6DE511CDD7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A3963" w14:textId="77777777" w:rsidR="00FF0678" w:rsidRDefault="00FF0678">
      <w:r>
        <w:separator/>
      </w:r>
    </w:p>
  </w:footnote>
  <w:footnote w:type="continuationSeparator" w:id="0">
    <w:p w14:paraId="2ABC7259" w14:textId="77777777" w:rsidR="00FF0678" w:rsidRDefault="00FF0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398F"/>
    <w:rsid w:val="000078B4"/>
    <w:rsid w:val="00013094"/>
    <w:rsid w:val="00023704"/>
    <w:rsid w:val="00025E90"/>
    <w:rsid w:val="000E705E"/>
    <w:rsid w:val="0013319A"/>
    <w:rsid w:val="00143EFC"/>
    <w:rsid w:val="001675FE"/>
    <w:rsid w:val="00187CD7"/>
    <w:rsid w:val="00187F0F"/>
    <w:rsid w:val="001D4CE4"/>
    <w:rsid w:val="001D53B6"/>
    <w:rsid w:val="002302FB"/>
    <w:rsid w:val="0023198A"/>
    <w:rsid w:val="002343C5"/>
    <w:rsid w:val="00261429"/>
    <w:rsid w:val="002C4135"/>
    <w:rsid w:val="002D77C8"/>
    <w:rsid w:val="0033715D"/>
    <w:rsid w:val="00367C7A"/>
    <w:rsid w:val="003B2FB0"/>
    <w:rsid w:val="004120FA"/>
    <w:rsid w:val="00431DCE"/>
    <w:rsid w:val="00462CC1"/>
    <w:rsid w:val="0046358D"/>
    <w:rsid w:val="004716E6"/>
    <w:rsid w:val="004B0A70"/>
    <w:rsid w:val="00587E27"/>
    <w:rsid w:val="005925B4"/>
    <w:rsid w:val="005B65BF"/>
    <w:rsid w:val="005E7B3B"/>
    <w:rsid w:val="005F5383"/>
    <w:rsid w:val="006237ED"/>
    <w:rsid w:val="00696F68"/>
    <w:rsid w:val="006B51CF"/>
    <w:rsid w:val="006F2BE0"/>
    <w:rsid w:val="00725AA8"/>
    <w:rsid w:val="007422EB"/>
    <w:rsid w:val="00747A77"/>
    <w:rsid w:val="00764DD0"/>
    <w:rsid w:val="0077034F"/>
    <w:rsid w:val="0078646C"/>
    <w:rsid w:val="0079562D"/>
    <w:rsid w:val="007960F7"/>
    <w:rsid w:val="007B7CB5"/>
    <w:rsid w:val="008114AE"/>
    <w:rsid w:val="008609A7"/>
    <w:rsid w:val="008E5754"/>
    <w:rsid w:val="009233CB"/>
    <w:rsid w:val="00967606"/>
    <w:rsid w:val="00972DAF"/>
    <w:rsid w:val="00974B09"/>
    <w:rsid w:val="009776AD"/>
    <w:rsid w:val="00987143"/>
    <w:rsid w:val="0099132C"/>
    <w:rsid w:val="00993545"/>
    <w:rsid w:val="009E26C4"/>
    <w:rsid w:val="009E6875"/>
    <w:rsid w:val="009F60E6"/>
    <w:rsid w:val="00A10DDC"/>
    <w:rsid w:val="00A22445"/>
    <w:rsid w:val="00A7413C"/>
    <w:rsid w:val="00A95A77"/>
    <w:rsid w:val="00AD57FB"/>
    <w:rsid w:val="00AD7C58"/>
    <w:rsid w:val="00AE1E26"/>
    <w:rsid w:val="00B06955"/>
    <w:rsid w:val="00B31C02"/>
    <w:rsid w:val="00B45105"/>
    <w:rsid w:val="00B84A84"/>
    <w:rsid w:val="00BC58A4"/>
    <w:rsid w:val="00C0172D"/>
    <w:rsid w:val="00C02883"/>
    <w:rsid w:val="00C1533D"/>
    <w:rsid w:val="00C36A00"/>
    <w:rsid w:val="00C52286"/>
    <w:rsid w:val="00C802EF"/>
    <w:rsid w:val="00CE0D1F"/>
    <w:rsid w:val="00D16C25"/>
    <w:rsid w:val="00D722DA"/>
    <w:rsid w:val="00E12E39"/>
    <w:rsid w:val="00E1712D"/>
    <w:rsid w:val="00E5343D"/>
    <w:rsid w:val="00E739EC"/>
    <w:rsid w:val="00E80E55"/>
    <w:rsid w:val="00E832FD"/>
    <w:rsid w:val="00EA435D"/>
    <w:rsid w:val="00EC3F66"/>
    <w:rsid w:val="00EE1374"/>
    <w:rsid w:val="00F10266"/>
    <w:rsid w:val="00F213B1"/>
    <w:rsid w:val="00F37648"/>
    <w:rsid w:val="00F5520E"/>
    <w:rsid w:val="00F7645F"/>
    <w:rsid w:val="00FD507F"/>
    <w:rsid w:val="00FF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CE0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1932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Filipe Silva Liá</cp:lastModifiedBy>
  <cp:revision>4</cp:revision>
  <cp:lastPrinted>2025-05-30T00:30:00Z</cp:lastPrinted>
  <dcterms:created xsi:type="dcterms:W3CDTF">2025-05-30T21:53:00Z</dcterms:created>
  <dcterms:modified xsi:type="dcterms:W3CDTF">2025-05-30T22:01:00Z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