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D8D0" w14:textId="557F197D" w:rsidR="00536D46" w:rsidRPr="00E54202" w:rsidRDefault="00536D46" w:rsidP="00910786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360" w:lineRule="auto"/>
        <w:ind w:firstLine="0"/>
        <w:jc w:val="left"/>
        <w:rPr>
          <w:color w:val="C0C0C0"/>
          <w:sz w:val="40"/>
          <w:szCs w:val="40"/>
        </w:rPr>
      </w:pPr>
    </w:p>
    <w:p w14:paraId="137259EF" w14:textId="088D813F" w:rsidR="00536D46" w:rsidRPr="005C0580" w:rsidRDefault="00910786" w:rsidP="004872D9">
      <w:pPr>
        <w:spacing w:before="0" w:after="0"/>
        <w:ind w:firstLine="0"/>
        <w:rPr>
          <w:rFonts w:ascii="Arial" w:eastAsia="Arial" w:hAnsi="Arial" w:cs="Arial"/>
          <w:bCs/>
          <w:sz w:val="40"/>
          <w:szCs w:val="40"/>
        </w:rPr>
      </w:pPr>
      <w:bookmarkStart w:id="0" w:name="_Hlk149635034"/>
      <w:r w:rsidRPr="005C0580">
        <w:rPr>
          <w:rFonts w:eastAsia="Arial" w:cs="Arial"/>
          <w:bCs/>
          <w:sz w:val="40"/>
          <w:szCs w:val="40"/>
        </w:rPr>
        <w:t>ÓLEO DE UCUUBA (</w:t>
      </w:r>
      <w:r w:rsidRPr="005C0580">
        <w:rPr>
          <w:rFonts w:eastAsia="Arial" w:cs="Arial"/>
          <w:bCs/>
          <w:i/>
          <w:iCs/>
          <w:sz w:val="40"/>
          <w:szCs w:val="40"/>
        </w:rPr>
        <w:t>Virola surinamensis</w:t>
      </w:r>
      <w:r w:rsidRPr="005C0580">
        <w:rPr>
          <w:rFonts w:eastAsia="Arial" w:cs="Arial"/>
          <w:bCs/>
          <w:sz w:val="40"/>
          <w:szCs w:val="40"/>
        </w:rPr>
        <w:t xml:space="preserve"> (Rol.) Warb.) NA FERMENTAÇÃO RUMINAL IN VITRO DE DIETAS COM DIFERENTES RELAÇÃO VOLUMOSO: CONCENTRADO</w:t>
      </w:r>
      <w:bookmarkEnd w:id="0"/>
    </w:p>
    <w:p w14:paraId="58E0A731" w14:textId="77777777" w:rsidR="009B50EC" w:rsidRPr="004872D9" w:rsidRDefault="009B50EC" w:rsidP="009B50EC">
      <w:pPr>
        <w:spacing w:before="0" w:after="0"/>
        <w:ind w:firstLine="0"/>
        <w:rPr>
          <w:rFonts w:ascii="Arial" w:eastAsia="Arial" w:hAnsi="Arial" w:cs="Arial"/>
          <w:bCs/>
        </w:rPr>
      </w:pPr>
    </w:p>
    <w:p w14:paraId="56A2873A" w14:textId="342A9AEE" w:rsidR="0014098A" w:rsidRDefault="001632C8" w:rsidP="005C0580">
      <w:pPr>
        <w:spacing w:before="0" w:after="0"/>
        <w:jc w:val="right"/>
        <w:rPr>
          <w:rFonts w:eastAsia="Arial" w:cs="Arial"/>
          <w:b/>
          <w:sz w:val="24"/>
          <w:szCs w:val="24"/>
        </w:rPr>
      </w:pPr>
      <w:r w:rsidRPr="004F4186">
        <w:rPr>
          <w:rFonts w:eastAsia="Arial" w:cs="Arial"/>
          <w:b/>
          <w:sz w:val="24"/>
          <w:szCs w:val="24"/>
        </w:rPr>
        <w:t>Vitoria Pereira Barcelo, Universidade Federal do Norte do Tocantins,</w:t>
      </w:r>
    </w:p>
    <w:p w14:paraId="61DEFE0C" w14:textId="66C60B0B" w:rsidR="001632C8" w:rsidRPr="004F4186" w:rsidRDefault="001632C8" w:rsidP="005C0580">
      <w:pPr>
        <w:spacing w:before="0" w:after="0"/>
        <w:jc w:val="right"/>
        <w:rPr>
          <w:rFonts w:eastAsia="Arial" w:cs="Arial"/>
          <w:b/>
          <w:sz w:val="24"/>
          <w:szCs w:val="24"/>
        </w:rPr>
      </w:pPr>
      <w:r w:rsidRPr="004F4186">
        <w:rPr>
          <w:rFonts w:eastAsia="Arial" w:cs="Arial"/>
          <w:b/>
          <w:sz w:val="24"/>
          <w:szCs w:val="24"/>
        </w:rPr>
        <w:t>e-mail:</w:t>
      </w:r>
      <w:r w:rsidR="001B2503" w:rsidRPr="004F4186">
        <w:rPr>
          <w:rFonts w:eastAsia="Arial" w:cs="Arial"/>
          <w:b/>
          <w:sz w:val="24"/>
          <w:szCs w:val="24"/>
        </w:rPr>
        <w:t xml:space="preserve"> </w:t>
      </w:r>
      <w:hyperlink r:id="rId7" w:history="1">
        <w:r w:rsidR="001B2503" w:rsidRPr="004F4186">
          <w:rPr>
            <w:rStyle w:val="Hyperlink"/>
            <w:rFonts w:eastAsia="Arial" w:cs="Arial"/>
            <w:bCs/>
            <w:sz w:val="24"/>
            <w:szCs w:val="24"/>
          </w:rPr>
          <w:t>vitoria.barcelo@mail.uft.edu.br</w:t>
        </w:r>
      </w:hyperlink>
      <w:r w:rsidR="001B2503" w:rsidRPr="004F4186">
        <w:rPr>
          <w:rFonts w:eastAsia="Arial" w:cs="Arial"/>
          <w:b/>
          <w:sz w:val="24"/>
          <w:szCs w:val="24"/>
        </w:rPr>
        <w:t xml:space="preserve"> </w:t>
      </w:r>
    </w:p>
    <w:p w14:paraId="78242EBC" w14:textId="77777777" w:rsidR="0014098A" w:rsidRDefault="001632C8" w:rsidP="005C0580">
      <w:pPr>
        <w:spacing w:before="0" w:after="0"/>
        <w:jc w:val="right"/>
        <w:rPr>
          <w:rFonts w:eastAsia="Arial" w:cs="Arial"/>
          <w:b/>
          <w:sz w:val="24"/>
          <w:szCs w:val="24"/>
        </w:rPr>
      </w:pPr>
      <w:r w:rsidRPr="004F4186">
        <w:rPr>
          <w:rFonts w:eastAsia="Arial" w:cs="Arial"/>
          <w:b/>
          <w:sz w:val="24"/>
          <w:szCs w:val="24"/>
        </w:rPr>
        <w:t>Luciano Fernandes</w:t>
      </w:r>
      <w:r w:rsidR="009B50EC" w:rsidRPr="004F4186">
        <w:rPr>
          <w:rFonts w:eastAsia="Arial" w:cs="Arial"/>
          <w:b/>
          <w:sz w:val="24"/>
          <w:szCs w:val="24"/>
        </w:rPr>
        <w:t xml:space="preserve"> S</w:t>
      </w:r>
      <w:r w:rsidRPr="004F4186">
        <w:rPr>
          <w:rFonts w:eastAsia="Arial" w:cs="Arial"/>
          <w:b/>
          <w:sz w:val="24"/>
          <w:szCs w:val="24"/>
        </w:rPr>
        <w:t>ousa, Universidade Federal do Norte do Tocantins,</w:t>
      </w:r>
    </w:p>
    <w:p w14:paraId="13FB5B61" w14:textId="7E35FC7C" w:rsidR="009B50EC" w:rsidRPr="004F4186" w:rsidRDefault="001632C8" w:rsidP="005C0580">
      <w:pPr>
        <w:spacing w:before="0" w:after="0"/>
        <w:jc w:val="right"/>
        <w:rPr>
          <w:rFonts w:eastAsia="Arial" w:cs="Arial"/>
          <w:bCs/>
          <w:sz w:val="24"/>
          <w:szCs w:val="24"/>
        </w:rPr>
      </w:pPr>
      <w:r w:rsidRPr="004F4186">
        <w:rPr>
          <w:rFonts w:eastAsia="Arial" w:cs="Arial"/>
          <w:b/>
          <w:sz w:val="24"/>
          <w:szCs w:val="24"/>
        </w:rPr>
        <w:t xml:space="preserve">e-mail: </w:t>
      </w:r>
      <w:hyperlink r:id="rId8" w:history="1">
        <w:r w:rsidR="001B2503" w:rsidRPr="004F4186">
          <w:rPr>
            <w:rStyle w:val="Hyperlink"/>
            <w:rFonts w:eastAsia="Arial" w:cs="Arial"/>
            <w:bCs/>
            <w:sz w:val="24"/>
            <w:szCs w:val="24"/>
          </w:rPr>
          <w:t>luciano.sousa@mail.uft.edu.br</w:t>
        </w:r>
      </w:hyperlink>
      <w:r w:rsidR="001B2503" w:rsidRPr="004F4186">
        <w:rPr>
          <w:rFonts w:eastAsia="Arial" w:cs="Arial"/>
          <w:bCs/>
          <w:sz w:val="24"/>
          <w:szCs w:val="24"/>
        </w:rPr>
        <w:t xml:space="preserve"> </w:t>
      </w:r>
    </w:p>
    <w:p w14:paraId="6F043C63" w14:textId="77777777" w:rsidR="0014098A" w:rsidRDefault="005C0580" w:rsidP="005C0580">
      <w:pPr>
        <w:spacing w:before="0" w:after="0"/>
        <w:jc w:val="right"/>
        <w:rPr>
          <w:rFonts w:eastAsia="Arial" w:cs="Arial"/>
          <w:b/>
          <w:sz w:val="24"/>
          <w:szCs w:val="24"/>
        </w:rPr>
      </w:pPr>
      <w:proofErr w:type="spellStart"/>
      <w:r w:rsidRPr="004F4186">
        <w:rPr>
          <w:rFonts w:eastAsia="Arial" w:cs="Arial"/>
          <w:b/>
          <w:sz w:val="24"/>
          <w:szCs w:val="24"/>
        </w:rPr>
        <w:t>Laysa</w:t>
      </w:r>
      <w:proofErr w:type="spellEnd"/>
      <w:r w:rsidRPr="004F4186">
        <w:rPr>
          <w:rFonts w:eastAsia="Arial" w:cs="Arial"/>
          <w:b/>
          <w:sz w:val="24"/>
          <w:szCs w:val="24"/>
        </w:rPr>
        <w:t xml:space="preserve"> Barbosa Nunes</w:t>
      </w:r>
      <w:r w:rsidRPr="004F4186">
        <w:rPr>
          <w:rFonts w:eastAsia="Arial" w:cs="Arial"/>
          <w:b/>
          <w:sz w:val="24"/>
          <w:szCs w:val="24"/>
        </w:rPr>
        <w:t xml:space="preserve">, Universidade </w:t>
      </w:r>
      <w:r w:rsidRPr="004F4186">
        <w:rPr>
          <w:rFonts w:eastAsia="Arial" w:cs="Arial"/>
          <w:b/>
          <w:sz w:val="24"/>
          <w:szCs w:val="24"/>
        </w:rPr>
        <w:t>F</w:t>
      </w:r>
      <w:r w:rsidRPr="004F4186">
        <w:rPr>
          <w:rFonts w:eastAsia="Arial" w:cs="Arial"/>
          <w:b/>
          <w:sz w:val="24"/>
          <w:szCs w:val="24"/>
        </w:rPr>
        <w:t xml:space="preserve">ederal do Norte do Tocantins, </w:t>
      </w:r>
    </w:p>
    <w:p w14:paraId="6C1D68DE" w14:textId="1F21CEB8" w:rsidR="005C0580" w:rsidRPr="004F4186" w:rsidRDefault="005C0580" w:rsidP="005C0580">
      <w:pPr>
        <w:spacing w:before="0" w:after="0"/>
        <w:jc w:val="right"/>
        <w:rPr>
          <w:rFonts w:eastAsia="Arial" w:cs="Arial"/>
          <w:bCs/>
          <w:sz w:val="24"/>
          <w:szCs w:val="24"/>
        </w:rPr>
      </w:pPr>
      <w:r w:rsidRPr="004F4186">
        <w:rPr>
          <w:rFonts w:eastAsia="Arial" w:cs="Arial"/>
          <w:b/>
          <w:sz w:val="24"/>
          <w:szCs w:val="24"/>
        </w:rPr>
        <w:t xml:space="preserve">e-mail: </w:t>
      </w:r>
      <w:hyperlink r:id="rId9" w:history="1">
        <w:r w:rsidRPr="004F4186">
          <w:rPr>
            <w:rStyle w:val="Hyperlink"/>
            <w:rFonts w:eastAsia="Arial" w:cs="Arial"/>
            <w:bCs/>
            <w:sz w:val="24"/>
            <w:szCs w:val="24"/>
          </w:rPr>
          <w:t>l</w:t>
        </w:r>
        <w:r w:rsidRPr="004F4186">
          <w:rPr>
            <w:rStyle w:val="Hyperlink"/>
            <w:rFonts w:eastAsia="Arial" w:cs="Arial"/>
            <w:bCs/>
            <w:sz w:val="24"/>
            <w:szCs w:val="24"/>
          </w:rPr>
          <w:t>aysa.barbosa</w:t>
        </w:r>
        <w:r w:rsidRPr="004F4186">
          <w:rPr>
            <w:rStyle w:val="Hyperlink"/>
            <w:rFonts w:eastAsia="Arial" w:cs="Arial"/>
            <w:bCs/>
            <w:sz w:val="24"/>
            <w:szCs w:val="24"/>
          </w:rPr>
          <w:t>@mail.uft.edu.br</w:t>
        </w:r>
      </w:hyperlink>
      <w:r w:rsidRPr="004F4186">
        <w:rPr>
          <w:rFonts w:eastAsia="Arial" w:cs="Arial"/>
          <w:bCs/>
          <w:sz w:val="24"/>
          <w:szCs w:val="24"/>
        </w:rPr>
        <w:t xml:space="preserve"> </w:t>
      </w:r>
    </w:p>
    <w:p w14:paraId="5B76801B" w14:textId="6AFD6D8D" w:rsidR="005C0580" w:rsidRPr="004F4186" w:rsidRDefault="005C0580" w:rsidP="005C0580">
      <w:pPr>
        <w:spacing w:before="0" w:after="0"/>
        <w:jc w:val="right"/>
        <w:rPr>
          <w:rFonts w:eastAsia="Arial" w:cs="Arial"/>
          <w:bCs/>
          <w:sz w:val="24"/>
          <w:szCs w:val="24"/>
        </w:rPr>
      </w:pPr>
      <w:r w:rsidRPr="004F4186">
        <w:rPr>
          <w:rFonts w:eastAsia="Arial" w:cs="Arial"/>
          <w:b/>
          <w:sz w:val="24"/>
          <w:szCs w:val="24"/>
        </w:rPr>
        <w:t>Isabella Martins Chaves</w:t>
      </w:r>
      <w:r w:rsidRPr="004F4186">
        <w:rPr>
          <w:rFonts w:eastAsia="Arial" w:cs="Arial"/>
          <w:b/>
          <w:sz w:val="24"/>
          <w:szCs w:val="24"/>
        </w:rPr>
        <w:t xml:space="preserve">, Universidade Federal do Norte do Tocantins, e-mail: </w:t>
      </w:r>
      <w:hyperlink r:id="rId10" w:history="1">
        <w:r w:rsidRPr="004F4186">
          <w:rPr>
            <w:rStyle w:val="Hyperlink"/>
            <w:rFonts w:eastAsia="Arial" w:cs="Arial"/>
            <w:bCs/>
            <w:sz w:val="24"/>
            <w:szCs w:val="24"/>
          </w:rPr>
          <w:t>isabella.martins</w:t>
        </w:r>
        <w:r w:rsidRPr="004F4186">
          <w:rPr>
            <w:rStyle w:val="Hyperlink"/>
            <w:rFonts w:eastAsia="Arial" w:cs="Arial"/>
            <w:bCs/>
            <w:sz w:val="24"/>
            <w:szCs w:val="24"/>
          </w:rPr>
          <w:t>@mail.uft.edu.br</w:t>
        </w:r>
      </w:hyperlink>
      <w:r w:rsidRPr="004F4186">
        <w:rPr>
          <w:rFonts w:eastAsia="Arial" w:cs="Arial"/>
          <w:bCs/>
          <w:sz w:val="24"/>
          <w:szCs w:val="24"/>
        </w:rPr>
        <w:t xml:space="preserve"> </w:t>
      </w:r>
    </w:p>
    <w:p w14:paraId="07D04070" w14:textId="5D162E0E" w:rsidR="005C0580" w:rsidRPr="00A77D77" w:rsidRDefault="005C0580" w:rsidP="005C0580">
      <w:pPr>
        <w:spacing w:before="0" w:after="0"/>
        <w:jc w:val="right"/>
        <w:rPr>
          <w:rFonts w:eastAsia="Arial" w:cs="Arial"/>
          <w:bCs/>
          <w:sz w:val="28"/>
          <w:szCs w:val="28"/>
        </w:rPr>
      </w:pPr>
      <w:r w:rsidRPr="004F4186">
        <w:rPr>
          <w:rFonts w:eastAsia="Arial" w:cs="Arial"/>
          <w:b/>
          <w:sz w:val="24"/>
          <w:szCs w:val="24"/>
        </w:rPr>
        <w:t xml:space="preserve">Amanda Araújo </w:t>
      </w:r>
      <w:r w:rsidR="007F5261" w:rsidRPr="004F4186">
        <w:rPr>
          <w:rFonts w:eastAsia="Arial" w:cs="Arial"/>
          <w:b/>
          <w:sz w:val="24"/>
          <w:szCs w:val="24"/>
        </w:rPr>
        <w:t>Borges,</w:t>
      </w:r>
      <w:r w:rsidRPr="004F4186">
        <w:rPr>
          <w:rFonts w:eastAsia="Arial" w:cs="Arial"/>
          <w:b/>
          <w:sz w:val="24"/>
          <w:szCs w:val="24"/>
        </w:rPr>
        <w:t xml:space="preserve"> Universidade Federal do Norte do Tocantins, e-mail: </w:t>
      </w:r>
      <w:hyperlink r:id="rId11" w:history="1">
        <w:r w:rsidRPr="004F4186">
          <w:rPr>
            <w:rStyle w:val="Hyperlink"/>
            <w:rFonts w:eastAsia="Arial" w:cs="Arial"/>
            <w:bCs/>
            <w:sz w:val="24"/>
            <w:szCs w:val="24"/>
          </w:rPr>
          <w:t>amanda.borges1</w:t>
        </w:r>
        <w:r w:rsidRPr="004F4186">
          <w:rPr>
            <w:rStyle w:val="Hyperlink"/>
            <w:rFonts w:eastAsia="Arial" w:cs="Arial"/>
            <w:bCs/>
            <w:sz w:val="24"/>
            <w:szCs w:val="24"/>
          </w:rPr>
          <w:t>@mail.uft.edu.br</w:t>
        </w:r>
      </w:hyperlink>
      <w:r w:rsidRPr="00A77D77">
        <w:rPr>
          <w:rFonts w:eastAsia="Arial" w:cs="Arial"/>
          <w:bCs/>
          <w:sz w:val="28"/>
          <w:szCs w:val="28"/>
        </w:rPr>
        <w:t xml:space="preserve"> </w:t>
      </w:r>
    </w:p>
    <w:p w14:paraId="2B20C9B8" w14:textId="77777777" w:rsidR="005C0580" w:rsidRDefault="005C0580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</w:p>
    <w:p w14:paraId="4BDFB062" w14:textId="70AAF51A" w:rsidR="00910786" w:rsidRDefault="00910786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  <w:r w:rsidRPr="00910786">
        <w:rPr>
          <w:rFonts w:ascii="Century Gothic" w:hAnsi="Century Gothic" w:cs="Open Sans"/>
          <w:sz w:val="20"/>
          <w:szCs w:val="20"/>
        </w:rPr>
        <w:t>Objetivou-se</w:t>
      </w:r>
      <w:r w:rsidRPr="00910786">
        <w:rPr>
          <w:rFonts w:ascii="Century Gothic" w:hAnsi="Century Gothic" w:cs="Open Sans"/>
          <w:spacing w:val="-5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avaliar</w:t>
      </w:r>
      <w:r w:rsidRPr="00910786">
        <w:rPr>
          <w:rFonts w:ascii="Century Gothic" w:hAnsi="Century Gothic" w:cs="Open Sans"/>
          <w:spacing w:val="-4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o</w:t>
      </w:r>
      <w:r w:rsidRPr="00910786">
        <w:rPr>
          <w:rFonts w:ascii="Century Gothic" w:hAnsi="Century Gothic" w:cs="Open Sans"/>
          <w:spacing w:val="-5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efeito</w:t>
      </w:r>
      <w:r w:rsidRPr="00910786">
        <w:rPr>
          <w:rFonts w:ascii="Century Gothic" w:hAnsi="Century Gothic" w:cs="Open Sans"/>
          <w:spacing w:val="-6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da</w:t>
      </w:r>
      <w:r w:rsidRPr="00910786">
        <w:rPr>
          <w:rFonts w:ascii="Century Gothic" w:hAnsi="Century Gothic" w:cs="Open Sans"/>
          <w:spacing w:val="-5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adição</w:t>
      </w:r>
      <w:r w:rsidRPr="00910786">
        <w:rPr>
          <w:rFonts w:ascii="Century Gothic" w:hAnsi="Century Gothic" w:cs="Open Sans"/>
          <w:spacing w:val="-5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de</w:t>
      </w:r>
      <w:r w:rsidRPr="00910786">
        <w:rPr>
          <w:rFonts w:ascii="Century Gothic" w:hAnsi="Century Gothic" w:cs="Open Sans"/>
          <w:spacing w:val="-6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óleo de ucuuba (OU)</w:t>
      </w:r>
      <w:r w:rsidRPr="00910786">
        <w:rPr>
          <w:rFonts w:ascii="Century Gothic" w:hAnsi="Century Gothic" w:cs="Open Sans"/>
          <w:spacing w:val="-5"/>
          <w:sz w:val="20"/>
          <w:szCs w:val="20"/>
        </w:rPr>
        <w:t xml:space="preserve"> em dietas </w:t>
      </w:r>
      <w:r w:rsidRPr="00910786">
        <w:rPr>
          <w:rFonts w:ascii="Century Gothic" w:hAnsi="Century Gothic" w:cs="Open Sans"/>
          <w:sz w:val="20"/>
          <w:szCs w:val="20"/>
        </w:rPr>
        <w:t>com</w:t>
      </w:r>
      <w:r w:rsidRPr="00910786">
        <w:rPr>
          <w:rFonts w:ascii="Century Gothic" w:hAnsi="Century Gothic" w:cs="Open Sans"/>
          <w:spacing w:val="-8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diferentes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relações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volumoso:concentrado sobre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a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fermentação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 xml:space="preserve">ruminal </w:t>
      </w:r>
      <w:r w:rsidRPr="00910786">
        <w:rPr>
          <w:rFonts w:ascii="Century Gothic" w:hAnsi="Century Gothic" w:cs="Open Sans"/>
          <w:i/>
          <w:iCs/>
          <w:sz w:val="20"/>
          <w:szCs w:val="20"/>
        </w:rPr>
        <w:t xml:space="preserve">in vitro. </w:t>
      </w:r>
      <w:r w:rsidRPr="00910786">
        <w:rPr>
          <w:rFonts w:ascii="Century Gothic" w:hAnsi="Century Gothic" w:cs="Open Sans"/>
          <w:sz w:val="20"/>
          <w:szCs w:val="20"/>
        </w:rPr>
        <w:t>O experimento foi desenvolvido na Universidade Federal do Norte do Tocantins</w:t>
      </w:r>
      <w:r w:rsidRPr="00910786">
        <w:rPr>
          <w:rFonts w:ascii="Century Gothic" w:hAnsi="Century Gothic" w:cs="Open Sans"/>
          <w:spacing w:val="-64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(UFNT), Campus de Araguaína - TO. O inóculo ruminal foi obtido de três bovinos</w:t>
      </w:r>
      <w:r w:rsidRPr="00910786">
        <w:rPr>
          <w:rFonts w:ascii="Century Gothic" w:hAnsi="Century Gothic" w:cs="Open Sans"/>
          <w:spacing w:val="1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pacing w:val="-1"/>
          <w:sz w:val="20"/>
          <w:szCs w:val="20"/>
        </w:rPr>
        <w:t>fistulados</w:t>
      </w:r>
      <w:r w:rsidRPr="00910786">
        <w:rPr>
          <w:rFonts w:ascii="Century Gothic" w:hAnsi="Century Gothic" w:cs="Open Sans"/>
          <w:spacing w:val="-10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pacing w:val="-1"/>
          <w:sz w:val="20"/>
          <w:szCs w:val="20"/>
        </w:rPr>
        <w:t>(250 ± 25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pacing w:val="-1"/>
          <w:sz w:val="20"/>
          <w:szCs w:val="20"/>
        </w:rPr>
        <w:t>kg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pacing w:val="-1"/>
          <w:sz w:val="20"/>
          <w:szCs w:val="20"/>
        </w:rPr>
        <w:t>de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pacing w:val="-1"/>
          <w:sz w:val="20"/>
          <w:szCs w:val="20"/>
        </w:rPr>
        <w:t>peso</w:t>
      </w:r>
      <w:r w:rsidRPr="00910786">
        <w:rPr>
          <w:rFonts w:ascii="Century Gothic" w:hAnsi="Century Gothic" w:cs="Open Sans"/>
          <w:spacing w:val="-10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pacing w:val="-1"/>
          <w:sz w:val="20"/>
          <w:szCs w:val="20"/>
        </w:rPr>
        <w:t>corporal).</w:t>
      </w:r>
      <w:r w:rsidRPr="00910786">
        <w:rPr>
          <w:rFonts w:ascii="Century Gothic" w:hAnsi="Century Gothic" w:cs="Open Sans"/>
          <w:spacing w:val="-8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Os</w:t>
      </w:r>
      <w:r w:rsidRPr="00910786">
        <w:rPr>
          <w:rFonts w:ascii="Century Gothic" w:hAnsi="Century Gothic" w:cs="Open Sans"/>
          <w:spacing w:val="-11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tratamentos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consistiram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="007F5261" w:rsidRPr="00910786">
        <w:rPr>
          <w:rFonts w:ascii="Century Gothic" w:hAnsi="Century Gothic" w:cs="Open Sans"/>
          <w:sz w:val="20"/>
          <w:szCs w:val="20"/>
        </w:rPr>
        <w:t>em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quatro</w:t>
      </w:r>
      <w:r w:rsidRPr="00910786">
        <w:rPr>
          <w:rFonts w:ascii="Century Gothic" w:hAnsi="Century Gothic" w:cs="Open Sans"/>
          <w:spacing w:val="-10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dietas</w:t>
      </w:r>
      <w:r w:rsidRPr="00910786">
        <w:rPr>
          <w:rFonts w:ascii="Century Gothic" w:hAnsi="Century Gothic" w:cs="Open Sans"/>
          <w:spacing w:val="-64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com diferentes relações volumoso:concentrado (100:0; 67:33, 33:67 e 0:100) e da</w:t>
      </w:r>
      <w:r w:rsidRPr="00910786">
        <w:rPr>
          <w:rFonts w:ascii="Century Gothic" w:hAnsi="Century Gothic" w:cs="Open Sans"/>
          <w:spacing w:val="1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 xml:space="preserve">adição de três níveis de óleo de ucuuba (0; 1 e 2%). O </w:t>
      </w:r>
      <w:r w:rsidRPr="00910786">
        <w:rPr>
          <w:rFonts w:ascii="Century Gothic" w:hAnsi="Century Gothic" w:cs="Open Sans"/>
          <w:color w:val="000000" w:themeColor="text1"/>
          <w:sz w:val="20"/>
          <w:szCs w:val="20"/>
        </w:rPr>
        <w:t>padrão cinético de produção de gases foi alterado com a inclusão de óleo de ucuuba nos níveis de 1 e 2%, ambos promoveram a redução na produção total de gases (mL).</w:t>
      </w:r>
      <w:r w:rsidRPr="00910786">
        <w:rPr>
          <w:rFonts w:ascii="Century Gothic" w:hAnsi="Century Gothic" w:cs="Open Sans"/>
          <w:sz w:val="20"/>
          <w:szCs w:val="20"/>
        </w:rPr>
        <w:t xml:space="preserve"> A produção cumulativa de gases aumentou conforme elevou-se a proporção de concentrado nas dietas. Foi verificado </w:t>
      </w:r>
      <w:r w:rsidRPr="00910786">
        <w:rPr>
          <w:rFonts w:ascii="Century Gothic" w:hAnsi="Century Gothic" w:cs="Open Sans"/>
          <w:color w:val="000000" w:themeColor="text1"/>
          <w:sz w:val="20"/>
          <w:szCs w:val="20"/>
        </w:rPr>
        <w:t>interações entre as dietas e os níveis de inclusão de OU (p&lt;0,05) após às 96 horas de incubação para degradabilidade da matéria seca (DMS) e matéria orgânica (DMO). As</w:t>
      </w:r>
      <w:r w:rsidRPr="00910786">
        <w:rPr>
          <w:rFonts w:ascii="Century Gothic" w:hAnsi="Century Gothic" w:cs="Open Sans"/>
          <w:sz w:val="20"/>
          <w:szCs w:val="20"/>
        </w:rPr>
        <w:t xml:space="preserve"> dietas com concentrações mais elevadas de fibra em detergente neutro (FDN) manifestaram menor DMS e DMO</w:t>
      </w:r>
      <w:r w:rsidRPr="00910786">
        <w:rPr>
          <w:rFonts w:ascii="Century Gothic" w:hAnsi="Century Gothic" w:cs="Open Sans"/>
          <w:color w:val="000000" w:themeColor="text1"/>
          <w:sz w:val="20"/>
          <w:szCs w:val="20"/>
        </w:rPr>
        <w:t xml:space="preserve">. A inclusão do </w:t>
      </w:r>
      <w:r w:rsidRPr="00910786">
        <w:rPr>
          <w:rFonts w:ascii="Century Gothic" w:hAnsi="Century Gothic" w:cs="Open Sans"/>
          <w:sz w:val="20"/>
          <w:szCs w:val="20"/>
        </w:rPr>
        <w:t>óleo de ucuuba reduziu a produção de metano às dietas que possuíam maiores níveis de concentrado. Concluiu-se que a adição do óleo de ucuuba nas dietas influencia a cinética de degradação de carboidrato e reduz a produção total de gases e a degradabilidade</w:t>
      </w:r>
      <w:r w:rsidRPr="00910786">
        <w:rPr>
          <w:rFonts w:ascii="Century Gothic" w:hAnsi="Century Gothic" w:cs="Open Sans"/>
          <w:spacing w:val="-8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sz w:val="20"/>
          <w:szCs w:val="20"/>
        </w:rPr>
        <w:t>ruminal</w:t>
      </w:r>
      <w:r w:rsidRPr="00910786">
        <w:rPr>
          <w:rFonts w:ascii="Century Gothic" w:hAnsi="Century Gothic" w:cs="Open Sans"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/>
          <w:sz w:val="20"/>
          <w:szCs w:val="20"/>
        </w:rPr>
        <w:t>in</w:t>
      </w:r>
      <w:r w:rsidRPr="00910786">
        <w:rPr>
          <w:rFonts w:ascii="Century Gothic" w:hAnsi="Century Gothic" w:cs="Open Sans"/>
          <w:i/>
          <w:spacing w:val="-8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/>
          <w:sz w:val="20"/>
          <w:szCs w:val="20"/>
        </w:rPr>
        <w:t>vitro</w:t>
      </w:r>
      <w:r w:rsidRPr="00910786">
        <w:rPr>
          <w:rFonts w:ascii="Century Gothic" w:hAnsi="Century Gothic" w:cs="Open Sans"/>
          <w:sz w:val="20"/>
          <w:szCs w:val="20"/>
        </w:rPr>
        <w:t xml:space="preserve">. No entanto, </w:t>
      </w:r>
      <w:r w:rsidRPr="00910786">
        <w:rPr>
          <w:rFonts w:ascii="Century Gothic" w:hAnsi="Century Gothic" w:cs="Open Sans"/>
          <w:iCs/>
          <w:spacing w:val="-9"/>
          <w:sz w:val="20"/>
          <w:szCs w:val="20"/>
        </w:rPr>
        <w:t xml:space="preserve">a </w:t>
      </w:r>
      <w:r w:rsidRPr="00910786">
        <w:rPr>
          <w:rFonts w:ascii="Century Gothic" w:hAnsi="Century Gothic" w:cs="Open Sans"/>
          <w:iCs/>
          <w:sz w:val="20"/>
          <w:szCs w:val="20"/>
        </w:rPr>
        <w:t>atuação do óleo de ucuuba</w:t>
      </w:r>
      <w:r w:rsidRPr="00910786">
        <w:rPr>
          <w:rFonts w:ascii="Century Gothic" w:hAnsi="Century Gothic" w:cs="Open Sans"/>
          <w:iCs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sobre</w:t>
      </w:r>
      <w:r w:rsidRPr="00910786">
        <w:rPr>
          <w:rFonts w:ascii="Century Gothic" w:hAnsi="Century Gothic" w:cs="Open Sans"/>
          <w:iCs/>
          <w:spacing w:val="-7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a</w:t>
      </w:r>
      <w:r w:rsidRPr="00910786">
        <w:rPr>
          <w:rFonts w:ascii="Century Gothic" w:hAnsi="Century Gothic" w:cs="Open Sans"/>
          <w:iCs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produção</w:t>
      </w:r>
      <w:r w:rsidRPr="00910786">
        <w:rPr>
          <w:rFonts w:ascii="Century Gothic" w:hAnsi="Century Gothic" w:cs="Open Sans"/>
          <w:iCs/>
          <w:spacing w:val="-8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de</w:t>
      </w:r>
      <w:r w:rsidRPr="00910786">
        <w:rPr>
          <w:rFonts w:ascii="Century Gothic" w:hAnsi="Century Gothic" w:cs="Open Sans"/>
          <w:iCs/>
          <w:spacing w:val="-9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metano</w:t>
      </w:r>
      <w:r w:rsidRPr="00910786">
        <w:rPr>
          <w:rFonts w:ascii="Century Gothic" w:hAnsi="Century Gothic" w:cs="Open Sans"/>
          <w:iCs/>
          <w:spacing w:val="-8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/>
          <w:sz w:val="20"/>
          <w:szCs w:val="20"/>
        </w:rPr>
        <w:t>in</w:t>
      </w:r>
      <w:r w:rsidRPr="00910786">
        <w:rPr>
          <w:rFonts w:ascii="Century Gothic" w:hAnsi="Century Gothic" w:cs="Open Sans"/>
          <w:i/>
          <w:spacing w:val="-8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/>
          <w:sz w:val="20"/>
          <w:szCs w:val="20"/>
        </w:rPr>
        <w:t xml:space="preserve">vitro </w:t>
      </w:r>
      <w:r w:rsidRPr="00910786">
        <w:rPr>
          <w:rFonts w:ascii="Century Gothic" w:hAnsi="Century Gothic" w:cs="Open Sans"/>
          <w:iCs/>
          <w:sz w:val="20"/>
          <w:szCs w:val="20"/>
        </w:rPr>
        <w:t>depende</w:t>
      </w:r>
      <w:r w:rsidRPr="00910786">
        <w:rPr>
          <w:rFonts w:ascii="Century Gothic" w:hAnsi="Century Gothic" w:cs="Open Sans"/>
          <w:iCs/>
          <w:spacing w:val="-1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da relação</w:t>
      </w:r>
      <w:r w:rsidRPr="00910786">
        <w:rPr>
          <w:rFonts w:ascii="Century Gothic" w:hAnsi="Century Gothic" w:cs="Open Sans"/>
          <w:iCs/>
          <w:spacing w:val="-1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volumoso:concentrado da</w:t>
      </w:r>
      <w:r w:rsidRPr="00910786">
        <w:rPr>
          <w:rFonts w:ascii="Century Gothic" w:hAnsi="Century Gothic" w:cs="Open Sans"/>
          <w:iCs/>
          <w:spacing w:val="-1"/>
          <w:sz w:val="20"/>
          <w:szCs w:val="20"/>
        </w:rPr>
        <w:t xml:space="preserve"> </w:t>
      </w:r>
      <w:r w:rsidRPr="00910786">
        <w:rPr>
          <w:rFonts w:ascii="Century Gothic" w:hAnsi="Century Gothic" w:cs="Open Sans"/>
          <w:iCs/>
          <w:sz w:val="20"/>
          <w:szCs w:val="20"/>
        </w:rPr>
        <w:t>dieta, onde, dietas com maior proporção</w:t>
      </w:r>
      <w:r w:rsidRPr="00910786">
        <w:rPr>
          <w:rFonts w:ascii="Century Gothic" w:hAnsi="Century Gothic" w:cs="Open Sans"/>
          <w:sz w:val="20"/>
          <w:szCs w:val="20"/>
        </w:rPr>
        <w:t xml:space="preserve"> de concentrado reduz a produção de metano. </w:t>
      </w:r>
    </w:p>
    <w:p w14:paraId="06078741" w14:textId="77777777" w:rsidR="005777EF" w:rsidRDefault="005777EF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</w:p>
    <w:p w14:paraId="0719FD4B" w14:textId="610A9D7B" w:rsidR="005777EF" w:rsidRPr="00910786" w:rsidRDefault="005777EF" w:rsidP="00B10DF0">
      <w:pPr>
        <w:pStyle w:val="Contedodoquadro"/>
        <w:jc w:val="both"/>
        <w:rPr>
          <w:rFonts w:ascii="Century Gothic" w:hAnsi="Century Gothic" w:cs="Open Sans"/>
          <w:sz w:val="20"/>
          <w:szCs w:val="20"/>
        </w:rPr>
      </w:pPr>
      <w:r w:rsidRPr="00573ACB">
        <w:rPr>
          <w:rFonts w:ascii="Century Gothic" w:hAnsi="Century Gothic" w:cs="Open Sans"/>
          <w:b/>
          <w:bCs/>
          <w:sz w:val="20"/>
          <w:szCs w:val="20"/>
        </w:rPr>
        <w:t>Palavras chave</w:t>
      </w:r>
      <w:r w:rsidR="007F5261">
        <w:rPr>
          <w:rFonts w:ascii="Century Gothic" w:hAnsi="Century Gothic" w:cs="Open Sans"/>
          <w:b/>
          <w:bCs/>
          <w:sz w:val="20"/>
          <w:szCs w:val="20"/>
        </w:rPr>
        <w:t>s</w:t>
      </w:r>
      <w:r w:rsidRPr="00573ACB">
        <w:rPr>
          <w:rFonts w:ascii="Century Gothic" w:hAnsi="Century Gothic" w:cs="Open Sans"/>
          <w:b/>
          <w:bCs/>
          <w:sz w:val="20"/>
          <w:szCs w:val="20"/>
        </w:rPr>
        <w:t>:</w:t>
      </w:r>
      <w:r>
        <w:rPr>
          <w:rFonts w:ascii="Century Gothic" w:hAnsi="Century Gothic" w:cs="Open Sans"/>
          <w:sz w:val="20"/>
          <w:szCs w:val="20"/>
        </w:rPr>
        <w:t xml:space="preserve"> </w:t>
      </w:r>
      <w:r w:rsidR="00FC7A7C">
        <w:rPr>
          <w:rFonts w:ascii="Century Gothic" w:hAnsi="Century Gothic" w:cs="Open Sans"/>
          <w:sz w:val="20"/>
          <w:szCs w:val="20"/>
        </w:rPr>
        <w:t>fermentação ruminal</w:t>
      </w:r>
      <w:r w:rsidR="00370F73">
        <w:rPr>
          <w:rFonts w:ascii="Century Gothic" w:hAnsi="Century Gothic" w:cs="Open Sans"/>
          <w:sz w:val="20"/>
          <w:szCs w:val="20"/>
        </w:rPr>
        <w:t>,</w:t>
      </w:r>
      <w:r w:rsidR="00573ACB">
        <w:rPr>
          <w:rFonts w:ascii="Century Gothic" w:hAnsi="Century Gothic" w:cs="Open Sans"/>
          <w:sz w:val="20"/>
          <w:szCs w:val="20"/>
        </w:rPr>
        <w:t xml:space="preserve"> metano,</w:t>
      </w:r>
      <w:r w:rsidR="005C0580" w:rsidRPr="005C0580">
        <w:rPr>
          <w:rFonts w:ascii="Century Gothic" w:hAnsi="Century Gothic" w:cs="Open Sans"/>
          <w:sz w:val="20"/>
          <w:szCs w:val="20"/>
        </w:rPr>
        <w:t xml:space="preserve"> </w:t>
      </w:r>
      <w:r w:rsidR="005C0580">
        <w:rPr>
          <w:rFonts w:ascii="Century Gothic" w:hAnsi="Century Gothic" w:cs="Open Sans"/>
          <w:sz w:val="20"/>
          <w:szCs w:val="20"/>
        </w:rPr>
        <w:t>óleo de ucuuba</w:t>
      </w:r>
      <w:r w:rsidR="00573ACB">
        <w:rPr>
          <w:rFonts w:ascii="Century Gothic" w:hAnsi="Century Gothic" w:cs="Open Sans"/>
          <w:sz w:val="20"/>
          <w:szCs w:val="20"/>
        </w:rPr>
        <w:t>.</w:t>
      </w:r>
    </w:p>
    <w:p w14:paraId="3454DCB6" w14:textId="77777777" w:rsidR="00536D46" w:rsidRPr="001B2503" w:rsidRDefault="00000000" w:rsidP="00B10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40"/>
          <w:szCs w:val="40"/>
        </w:rPr>
      </w:pPr>
      <w:bookmarkStart w:id="1" w:name="_30j0zll" w:colFirst="0" w:colLast="0"/>
      <w:bookmarkStart w:id="2" w:name="1fob9te" w:colFirst="0" w:colLast="0"/>
      <w:bookmarkEnd w:id="1"/>
      <w:bookmarkEnd w:id="2"/>
      <w:r w:rsidRPr="001B2503">
        <w:rPr>
          <w:color w:val="000000"/>
          <w:sz w:val="40"/>
          <w:szCs w:val="40"/>
        </w:rPr>
        <w:t>Apresentação e Justificativa</w:t>
      </w:r>
    </w:p>
    <w:p w14:paraId="0A90C423" w14:textId="4C74781E" w:rsidR="0035561D" w:rsidRPr="002E6AFC" w:rsidRDefault="0035561D" w:rsidP="0035561D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lastRenderedPageBreak/>
        <w:t>O Brasil é listado como um dos maiores contribuintes para as emissões de gases de efeito estufa (GEE), como os gases carbônico e metano devido às emissões advindas da pecuária, principalmente da produção de bovinos (M</w:t>
      </w:r>
      <w:r w:rsidR="004D1574">
        <w:rPr>
          <w:rFonts w:ascii="Century Gothic" w:hAnsi="Century Gothic" w:cs="Open Sans"/>
          <w:sz w:val="20"/>
          <w:szCs w:val="20"/>
        </w:rPr>
        <w:t xml:space="preserve">OMBACH </w:t>
      </w:r>
      <w:r w:rsidRPr="002E6AFC">
        <w:rPr>
          <w:rFonts w:ascii="Century Gothic" w:hAnsi="Century Gothic" w:cs="Open Sans"/>
          <w:sz w:val="20"/>
          <w:szCs w:val="20"/>
        </w:rPr>
        <w:t>et al., 2016).</w:t>
      </w:r>
    </w:p>
    <w:p w14:paraId="6EC12451" w14:textId="77777777" w:rsidR="0035561D" w:rsidRPr="002E6AFC" w:rsidRDefault="0035561D" w:rsidP="0035561D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>A produção de acetato e butirato libera maior quantidade 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2</w:t>
      </w:r>
      <w:r w:rsidRPr="002E6AFC">
        <w:rPr>
          <w:rFonts w:ascii="Century Gothic" w:hAnsi="Century Gothic" w:cs="Open Sans"/>
          <w:sz w:val="20"/>
          <w:szCs w:val="20"/>
        </w:rPr>
        <w:t>, produto da oxidação do NADH durante a fermentação ruminal de carboidratos em bovinos. Esse gás é metabolizado por bactérias metanogênicas para produzir CO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2</w:t>
      </w:r>
      <w:r w:rsidRPr="002E6AFC">
        <w:rPr>
          <w:rFonts w:ascii="Century Gothic" w:hAnsi="Century Gothic" w:cs="Open Sans"/>
          <w:sz w:val="20"/>
          <w:szCs w:val="20"/>
        </w:rPr>
        <w:t xml:space="preserve"> e CH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Pr="002E6AFC">
        <w:rPr>
          <w:rFonts w:ascii="Century Gothic" w:hAnsi="Century Gothic" w:cs="Open Sans"/>
          <w:sz w:val="20"/>
          <w:szCs w:val="20"/>
        </w:rPr>
        <w:t>. A quantidade de CH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Pr="002E6AFC">
        <w:rPr>
          <w:rFonts w:ascii="Century Gothic" w:hAnsi="Century Gothic" w:cs="Open Sans"/>
          <w:sz w:val="20"/>
          <w:szCs w:val="20"/>
        </w:rPr>
        <w:t xml:space="preserve"> produzido no rúmen é proporcional à produção de acetato, dietas com maior nível de volumoso geram maior produção de CH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Pr="002E6AFC">
        <w:rPr>
          <w:rFonts w:ascii="Century Gothic" w:hAnsi="Century Gothic" w:cs="Open Sans"/>
          <w:sz w:val="20"/>
          <w:szCs w:val="20"/>
        </w:rPr>
        <w:t>, enquanto dietas altas em concentrado aumentam a produção de propiônico reduzindo a produção de 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2</w:t>
      </w:r>
      <w:r w:rsidRPr="002E6AFC">
        <w:rPr>
          <w:rFonts w:ascii="Century Gothic" w:hAnsi="Century Gothic" w:cs="Open Sans"/>
          <w:sz w:val="20"/>
          <w:szCs w:val="20"/>
        </w:rPr>
        <w:t>, portanto, a síntese de CH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Pr="002E6AFC">
        <w:rPr>
          <w:rFonts w:ascii="Century Gothic" w:hAnsi="Century Gothic" w:cs="Open Sans"/>
          <w:sz w:val="20"/>
          <w:szCs w:val="20"/>
        </w:rPr>
        <w:t xml:space="preserve"> (KOZLOSKI, 2019).</w:t>
      </w:r>
    </w:p>
    <w:p w14:paraId="16858099" w14:textId="619FD970" w:rsidR="00536D46" w:rsidRPr="0013628F" w:rsidRDefault="0035561D" w:rsidP="0013628F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>O uso de aditivos ionóforos e antibióticos são meios de mitigar a produção de CH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Pr="002E6AFC">
        <w:rPr>
          <w:rFonts w:ascii="Century Gothic" w:hAnsi="Century Gothic" w:cs="Open Sans"/>
          <w:sz w:val="20"/>
          <w:szCs w:val="20"/>
        </w:rPr>
        <w:t>, no entanto, tais a</w:t>
      </w:r>
      <w:r w:rsidR="008B7460">
        <w:rPr>
          <w:rFonts w:ascii="Century Gothic" w:hAnsi="Century Gothic" w:cs="Open Sans"/>
          <w:sz w:val="20"/>
          <w:szCs w:val="20"/>
        </w:rPr>
        <w:t>diti</w:t>
      </w:r>
      <w:r w:rsidRPr="002E6AFC">
        <w:rPr>
          <w:rFonts w:ascii="Century Gothic" w:hAnsi="Century Gothic" w:cs="Open Sans"/>
          <w:sz w:val="20"/>
          <w:szCs w:val="20"/>
        </w:rPr>
        <w:t>vos foram proibidos na União Europeia (Portaria 1831/2003/EC) com alegação do risco de resistência bacteriana nos animais e humanos, assim alternativas como uso de óleo essencial tem sido cada vez mais estudados</w:t>
      </w:r>
      <w:r w:rsidRPr="002E6AFC">
        <w:rPr>
          <w:rFonts w:ascii="Century Gothic" w:hAnsi="Century Gothic" w:cs="Open Sans"/>
          <w:color w:val="000000" w:themeColor="text1"/>
          <w:sz w:val="20"/>
          <w:szCs w:val="20"/>
        </w:rPr>
        <w:t xml:space="preserve"> devidos seus efeitos bactericidas e bacteriostáticos sobre as bactérias gram-positivas e metanogênicas (</w:t>
      </w:r>
      <w:r w:rsidR="004D1574">
        <w:rPr>
          <w:rFonts w:ascii="Century Gothic" w:hAnsi="Century Gothic" w:cs="Open Sans"/>
          <w:color w:val="000000" w:themeColor="text1"/>
          <w:sz w:val="20"/>
          <w:szCs w:val="20"/>
        </w:rPr>
        <w:t>SMITH-PALMER</w:t>
      </w:r>
      <w:r w:rsidRPr="002E6AFC">
        <w:rPr>
          <w:rFonts w:ascii="Century Gothic" w:hAnsi="Century Gothic" w:cs="Open Sans"/>
          <w:color w:val="000000" w:themeColor="text1"/>
          <w:sz w:val="20"/>
          <w:szCs w:val="20"/>
        </w:rPr>
        <w:t xml:space="preserve"> et al., 1998)</w:t>
      </w:r>
      <w:r w:rsidRPr="002E6AFC">
        <w:rPr>
          <w:rFonts w:ascii="Century Gothic" w:hAnsi="Century Gothic" w:cs="Open Sans"/>
          <w:sz w:val="20"/>
          <w:szCs w:val="20"/>
        </w:rPr>
        <w:t xml:space="preserve">. </w:t>
      </w:r>
      <w:r w:rsidR="008B7460">
        <w:rPr>
          <w:rFonts w:ascii="Century Gothic" w:hAnsi="Century Gothic" w:cs="Open Sans"/>
          <w:sz w:val="20"/>
          <w:szCs w:val="20"/>
        </w:rPr>
        <w:t xml:space="preserve"> </w:t>
      </w:r>
      <w:r w:rsidRPr="002E6AFC">
        <w:rPr>
          <w:rFonts w:ascii="Century Gothic" w:hAnsi="Century Gothic" w:cs="Open Sans"/>
          <w:sz w:val="20"/>
          <w:szCs w:val="20"/>
        </w:rPr>
        <w:t>Atualmente, instituições de pesquisa da região Norte do Brasil estão estudando os óleos de árvores da Amazônia Brasileira com efeito antimicrobiano conhecido na saúde humana, entre estas espécies está a ucuuba (R</w:t>
      </w:r>
      <w:r w:rsidR="004D1574">
        <w:rPr>
          <w:rFonts w:ascii="Century Gothic" w:hAnsi="Century Gothic" w:cs="Open Sans"/>
          <w:sz w:val="20"/>
          <w:szCs w:val="20"/>
        </w:rPr>
        <w:t>ODRIGUES</w:t>
      </w:r>
      <w:r w:rsidRPr="002E6AFC">
        <w:rPr>
          <w:rFonts w:ascii="Century Gothic" w:hAnsi="Century Gothic" w:cs="Open Sans"/>
          <w:sz w:val="20"/>
          <w:szCs w:val="20"/>
        </w:rPr>
        <w:t xml:space="preserve">, 1972). </w:t>
      </w:r>
      <w:r w:rsidR="001B2503" w:rsidRPr="002E6AFC">
        <w:rPr>
          <w:rFonts w:ascii="Century Gothic" w:hAnsi="Century Gothic" w:cs="Open Sans"/>
          <w:color w:val="000000" w:themeColor="text1"/>
          <w:sz w:val="20"/>
          <w:szCs w:val="20"/>
        </w:rPr>
        <w:t>A</w:t>
      </w:r>
      <w:r w:rsidRPr="002E6AFC">
        <w:rPr>
          <w:rFonts w:ascii="Century Gothic" w:hAnsi="Century Gothic" w:cs="Open Sans"/>
          <w:color w:val="000000" w:themeColor="text1"/>
          <w:sz w:val="20"/>
          <w:szCs w:val="20"/>
        </w:rPr>
        <w:t xml:space="preserve"> </w:t>
      </w:r>
      <w:r w:rsidRPr="002E6AFC">
        <w:rPr>
          <w:rFonts w:ascii="Century Gothic" w:hAnsi="Century Gothic" w:cs="Open Sans"/>
          <w:sz w:val="20"/>
          <w:szCs w:val="20"/>
        </w:rPr>
        <w:t>ucuuba (</w:t>
      </w:r>
      <w:r w:rsidRPr="002E6AFC">
        <w:rPr>
          <w:rFonts w:ascii="Century Gothic" w:hAnsi="Century Gothic" w:cs="Open Sans"/>
          <w:i/>
          <w:iCs/>
          <w:sz w:val="20"/>
          <w:szCs w:val="20"/>
        </w:rPr>
        <w:t>Virola surinamensis</w:t>
      </w:r>
      <w:r w:rsidRPr="002E6AFC">
        <w:rPr>
          <w:rFonts w:ascii="Century Gothic" w:hAnsi="Century Gothic" w:cs="Open Sans"/>
          <w:sz w:val="20"/>
          <w:szCs w:val="20"/>
        </w:rPr>
        <w:t xml:space="preserve"> (Rol.) 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Warb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>.) uma árvore que se encontra na floresta amazônica, principalmente no estuário do rio Amazonas (NEVES et al., 2002).</w:t>
      </w:r>
      <w:r w:rsidR="0013628F">
        <w:rPr>
          <w:rFonts w:ascii="Century Gothic" w:hAnsi="Century Gothic" w:cs="Open Sans"/>
          <w:sz w:val="20"/>
          <w:szCs w:val="20"/>
        </w:rPr>
        <w:t xml:space="preserve"> </w:t>
      </w:r>
      <w:r w:rsidRPr="002E6AFC">
        <w:rPr>
          <w:rFonts w:ascii="Century Gothic" w:hAnsi="Century Gothic" w:cs="Open Sans"/>
          <w:color w:val="000000" w:themeColor="text1"/>
          <w:sz w:val="20"/>
          <w:szCs w:val="20"/>
        </w:rPr>
        <w:t>Acredita-se que</w:t>
      </w:r>
      <w:r w:rsidR="0013628F">
        <w:rPr>
          <w:rFonts w:ascii="Century Gothic" w:hAnsi="Century Gothic" w:cs="Open Sans"/>
          <w:color w:val="000000" w:themeColor="text1"/>
          <w:sz w:val="20"/>
          <w:szCs w:val="20"/>
        </w:rPr>
        <w:t xml:space="preserve"> devido </w:t>
      </w:r>
      <w:r w:rsidR="004F4186">
        <w:rPr>
          <w:rFonts w:ascii="Century Gothic" w:hAnsi="Century Gothic" w:cs="Open Sans"/>
          <w:color w:val="000000" w:themeColor="text1"/>
          <w:sz w:val="20"/>
          <w:szCs w:val="20"/>
        </w:rPr>
        <w:t>a</w:t>
      </w:r>
      <w:r w:rsidR="0013628F">
        <w:rPr>
          <w:rFonts w:ascii="Century Gothic" w:hAnsi="Century Gothic" w:cs="Open Sans"/>
          <w:color w:val="000000" w:themeColor="text1"/>
          <w:sz w:val="20"/>
          <w:szCs w:val="20"/>
        </w:rPr>
        <w:t>o efeito antimicrobiano</w:t>
      </w:r>
      <w:r w:rsidR="00E90764">
        <w:rPr>
          <w:rFonts w:ascii="Century Gothic" w:hAnsi="Century Gothic" w:cs="Open Sans"/>
          <w:color w:val="000000" w:themeColor="text1"/>
          <w:sz w:val="20"/>
          <w:szCs w:val="20"/>
        </w:rPr>
        <w:t xml:space="preserve"> ela poderá mitigar </w:t>
      </w:r>
      <w:r w:rsidRPr="002E6AFC">
        <w:rPr>
          <w:rFonts w:ascii="Century Gothic" w:hAnsi="Century Gothic" w:cs="Open Sans"/>
          <w:color w:val="000000" w:themeColor="text1"/>
          <w:sz w:val="20"/>
          <w:szCs w:val="20"/>
        </w:rPr>
        <w:t xml:space="preserve">a produção de </w:t>
      </w:r>
      <w:r w:rsidR="00E90764">
        <w:rPr>
          <w:rFonts w:ascii="Century Gothic" w:hAnsi="Century Gothic" w:cs="Open Sans"/>
          <w:color w:val="000000" w:themeColor="text1"/>
          <w:sz w:val="20"/>
          <w:szCs w:val="20"/>
        </w:rPr>
        <w:t xml:space="preserve">gases de efeito estufa </w:t>
      </w:r>
      <w:r w:rsidRPr="002E6AFC">
        <w:rPr>
          <w:rFonts w:ascii="Century Gothic" w:hAnsi="Century Gothic" w:cs="Open Sans"/>
          <w:color w:val="000000" w:themeColor="text1"/>
          <w:sz w:val="20"/>
          <w:szCs w:val="20"/>
        </w:rPr>
        <w:t>(LE COINTE et al., 1947).</w:t>
      </w:r>
    </w:p>
    <w:p w14:paraId="1AA3191E" w14:textId="77777777" w:rsidR="00536D46" w:rsidRPr="002E6AFC" w:rsidRDefault="00000000" w:rsidP="00B10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40"/>
          <w:szCs w:val="40"/>
        </w:rPr>
      </w:pPr>
      <w:r w:rsidRPr="002E6AFC">
        <w:rPr>
          <w:color w:val="000000"/>
          <w:sz w:val="40"/>
          <w:szCs w:val="40"/>
        </w:rPr>
        <w:t>Objetivos</w:t>
      </w:r>
    </w:p>
    <w:p w14:paraId="78A59F78" w14:textId="0CED65AD" w:rsidR="004D1574" w:rsidRPr="00BA414F" w:rsidRDefault="004D1574" w:rsidP="004D1574">
      <w:pPr>
        <w:spacing w:line="360" w:lineRule="auto"/>
        <w:ind w:firstLine="360"/>
        <w:rPr>
          <w:color w:val="000000" w:themeColor="text1"/>
        </w:rPr>
      </w:pPr>
      <w:bookmarkStart w:id="3" w:name="_Hlk149634525"/>
      <w:r w:rsidRPr="00BA414F">
        <w:rPr>
          <w:b/>
          <w:bCs/>
        </w:rPr>
        <w:t xml:space="preserve">Objetivo </w:t>
      </w:r>
      <w:r w:rsidRPr="00BA414F">
        <w:rPr>
          <w:b/>
          <w:bCs/>
        </w:rPr>
        <w:t>g</w:t>
      </w:r>
      <w:r w:rsidRPr="00BA414F">
        <w:rPr>
          <w:b/>
          <w:bCs/>
        </w:rPr>
        <w:t>eral</w:t>
      </w:r>
      <w:r w:rsidRPr="00BA414F">
        <w:rPr>
          <w:b/>
          <w:bCs/>
        </w:rPr>
        <w:t>:</w:t>
      </w:r>
      <w:r w:rsidRPr="00BA414F">
        <w:rPr>
          <w:rFonts w:cs="Arial"/>
          <w:color w:val="000000" w:themeColor="text1"/>
        </w:rPr>
        <w:t xml:space="preserve"> </w:t>
      </w:r>
      <w:r w:rsidR="009B50EC" w:rsidRPr="00BA414F">
        <w:rPr>
          <w:rFonts w:cs="Arial"/>
          <w:color w:val="000000" w:themeColor="text1"/>
        </w:rPr>
        <w:t>O</w:t>
      </w:r>
      <w:r w:rsidRPr="00BA414F">
        <w:rPr>
          <w:color w:val="000000" w:themeColor="text1"/>
        </w:rPr>
        <w:t xml:space="preserve"> </w:t>
      </w:r>
      <w:r w:rsidRPr="00BA414F">
        <w:rPr>
          <w:color w:val="000000" w:themeColor="text1"/>
        </w:rPr>
        <w:t xml:space="preserve">Avaliar o efeito da adição de óleo de ucuuba em dietas com diferente relação volumoso: concentrado sobre a fermentação ruminal </w:t>
      </w:r>
      <w:r w:rsidRPr="00BA414F">
        <w:rPr>
          <w:i/>
          <w:iCs/>
          <w:color w:val="000000" w:themeColor="text1"/>
        </w:rPr>
        <w:t>in vitro</w:t>
      </w:r>
      <w:r w:rsidRPr="00BA414F">
        <w:rPr>
          <w:color w:val="000000" w:themeColor="text1"/>
        </w:rPr>
        <w:t>.</w:t>
      </w:r>
    </w:p>
    <w:p w14:paraId="259169C6" w14:textId="77777777" w:rsidR="00BA414F" w:rsidRDefault="004D1574" w:rsidP="00BA414F">
      <w:pPr>
        <w:spacing w:line="360" w:lineRule="auto"/>
        <w:ind w:firstLine="0"/>
        <w:rPr>
          <w:b/>
          <w:bCs/>
        </w:rPr>
      </w:pPr>
      <w:r w:rsidRPr="00BA414F">
        <w:rPr>
          <w:b/>
          <w:bCs/>
        </w:rPr>
        <w:t xml:space="preserve">Objetivo </w:t>
      </w:r>
      <w:r w:rsidRPr="00BA414F">
        <w:rPr>
          <w:b/>
          <w:bCs/>
        </w:rPr>
        <w:t>específico</w:t>
      </w:r>
      <w:r w:rsidR="00BA414F" w:rsidRPr="00BA414F">
        <w:rPr>
          <w:b/>
          <w:bCs/>
        </w:rPr>
        <w:t>s:</w:t>
      </w:r>
      <w:r w:rsidRPr="00BA414F">
        <w:rPr>
          <w:b/>
          <w:bCs/>
        </w:rPr>
        <w:t xml:space="preserve"> </w:t>
      </w:r>
    </w:p>
    <w:p w14:paraId="6C7F95B5" w14:textId="26F524CC" w:rsidR="004D1574" w:rsidRPr="00BA414F" w:rsidRDefault="004D1574" w:rsidP="00BA414F">
      <w:pPr>
        <w:spacing w:line="360" w:lineRule="auto"/>
        <w:rPr>
          <w:b/>
          <w:bCs/>
        </w:rPr>
      </w:pPr>
      <w:r w:rsidRPr="00BA414F">
        <w:rPr>
          <w:color w:val="000000" w:themeColor="text1"/>
        </w:rPr>
        <w:t>1</w:t>
      </w:r>
      <w:r w:rsidRPr="00BA414F">
        <w:rPr>
          <w:color w:val="000000" w:themeColor="text1"/>
        </w:rPr>
        <w:t xml:space="preserve">) Avaliar o efeito da adição de óleo de ucuuba sobre a produção de gases </w:t>
      </w:r>
      <w:r w:rsidRPr="00BA414F">
        <w:rPr>
          <w:i/>
          <w:iCs/>
          <w:color w:val="000000" w:themeColor="text1"/>
        </w:rPr>
        <w:t>in vitro</w:t>
      </w:r>
      <w:r w:rsidRPr="00BA414F">
        <w:rPr>
          <w:color w:val="000000" w:themeColor="text1"/>
        </w:rPr>
        <w:t xml:space="preserve"> de dietas com diferente relação volumoso: concentrado.</w:t>
      </w:r>
    </w:p>
    <w:p w14:paraId="759F2F0C" w14:textId="77777777" w:rsidR="004D1574" w:rsidRPr="00BA414F" w:rsidRDefault="004D1574" w:rsidP="00BA414F">
      <w:pPr>
        <w:spacing w:line="360" w:lineRule="auto"/>
        <w:rPr>
          <w:color w:val="000000" w:themeColor="text1"/>
        </w:rPr>
      </w:pPr>
      <w:r w:rsidRPr="00BA414F">
        <w:rPr>
          <w:color w:val="000000" w:themeColor="text1"/>
        </w:rPr>
        <w:t xml:space="preserve">2) Avaliar o efeito da adição de óleo de ucuuba sobre a degradação ruminal da matéria seca </w:t>
      </w:r>
      <w:r w:rsidRPr="00BA414F">
        <w:rPr>
          <w:i/>
          <w:iCs/>
          <w:color w:val="000000" w:themeColor="text1"/>
        </w:rPr>
        <w:t>in vitro</w:t>
      </w:r>
      <w:r w:rsidRPr="00BA414F">
        <w:rPr>
          <w:color w:val="000000" w:themeColor="text1"/>
        </w:rPr>
        <w:t xml:space="preserve"> de dietas com diferente relação volumoso: concentrado.</w:t>
      </w:r>
    </w:p>
    <w:p w14:paraId="0FAFF611" w14:textId="76DCC795" w:rsidR="004D1574" w:rsidRPr="00BA414F" w:rsidRDefault="004D1574" w:rsidP="00BA414F">
      <w:pPr>
        <w:spacing w:line="360" w:lineRule="auto"/>
      </w:pPr>
      <w:r w:rsidRPr="00BA414F">
        <w:rPr>
          <w:color w:val="000000" w:themeColor="text1"/>
        </w:rPr>
        <w:t xml:space="preserve">3) Avaliar o efeito da adição de óleo de ucuuba sobre a produção de ácidos graxos voláteis e alguns gases de interesse ambiental </w:t>
      </w:r>
      <w:r w:rsidRPr="00BA414F">
        <w:rPr>
          <w:i/>
          <w:iCs/>
          <w:color w:val="000000" w:themeColor="text1"/>
        </w:rPr>
        <w:t>in vitro</w:t>
      </w:r>
      <w:r w:rsidRPr="00BA414F">
        <w:rPr>
          <w:color w:val="000000" w:themeColor="text1"/>
        </w:rPr>
        <w:t xml:space="preserve"> de dietas com diferente relação </w:t>
      </w:r>
      <w:proofErr w:type="spellStart"/>
      <w:r w:rsidRPr="00BA414F">
        <w:rPr>
          <w:color w:val="000000" w:themeColor="text1"/>
        </w:rPr>
        <w:t>volumoso:concentrado</w:t>
      </w:r>
      <w:proofErr w:type="spellEnd"/>
    </w:p>
    <w:bookmarkEnd w:id="3"/>
    <w:p w14:paraId="0DCC2993" w14:textId="77777777" w:rsidR="00536D46" w:rsidRPr="002E6AFC" w:rsidRDefault="00000000" w:rsidP="00B10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40"/>
          <w:szCs w:val="40"/>
        </w:rPr>
      </w:pPr>
      <w:r w:rsidRPr="002E6AFC">
        <w:rPr>
          <w:color w:val="000000"/>
          <w:sz w:val="40"/>
          <w:szCs w:val="40"/>
        </w:rPr>
        <w:t>Metodologia</w:t>
      </w:r>
    </w:p>
    <w:p w14:paraId="642E9753" w14:textId="77777777" w:rsidR="005777EF" w:rsidRDefault="0035561D" w:rsidP="005777EF">
      <w:pPr>
        <w:spacing w:before="0" w:after="0" w:line="360" w:lineRule="auto"/>
        <w:ind w:firstLine="709"/>
        <w:rPr>
          <w:rFonts w:cs="Open Sans"/>
        </w:rPr>
      </w:pPr>
      <w:r w:rsidRPr="002E6AFC">
        <w:rPr>
          <w:rFonts w:cs="Open Sans"/>
        </w:rPr>
        <w:lastRenderedPageBreak/>
        <w:t xml:space="preserve">O experimento foi conduzido na Universidade Federal do Norte do Tocantins (UFNT). Foi obtido de três bovinos (250 ± 25 kg de peso corporal) fistulados e canulados no rúmen. As proporções de ingredientes e composição química das dietas estão dispostas na tabela 1. </w:t>
      </w:r>
    </w:p>
    <w:p w14:paraId="041EBBC4" w14:textId="692EADD0" w:rsidR="005777EF" w:rsidRPr="002E6AFC" w:rsidRDefault="005777EF" w:rsidP="005777EF">
      <w:pPr>
        <w:spacing w:before="0" w:after="0" w:line="360" w:lineRule="auto"/>
        <w:ind w:firstLine="709"/>
        <w:rPr>
          <w:rFonts w:cs="Open Sans"/>
          <w:color w:val="000000" w:themeColor="text1"/>
        </w:rPr>
      </w:pPr>
      <w:r w:rsidRPr="002E6AFC">
        <w:rPr>
          <w:rFonts w:cs="Open Sans"/>
          <w:color w:val="000000" w:themeColor="text1"/>
        </w:rPr>
        <w:t xml:space="preserve">A produção de gases das dietas foi mensurada por meio da técnica </w:t>
      </w:r>
      <w:r w:rsidR="007F5261" w:rsidRPr="002E6AFC">
        <w:rPr>
          <w:rFonts w:cs="Open Sans"/>
          <w:color w:val="000000" w:themeColor="text1"/>
        </w:rPr>
        <w:t>semiautomática</w:t>
      </w:r>
      <w:r w:rsidRPr="002E6AFC">
        <w:rPr>
          <w:rFonts w:cs="Open Sans"/>
          <w:color w:val="000000" w:themeColor="text1"/>
        </w:rPr>
        <w:t xml:space="preserve"> de produção de gases, proposta por Maurício et al. (1999). As medidas de pressão e volume de gases serão tomadas utilizando-se um transdutor de pressão modelo DPI800-P. </w:t>
      </w:r>
    </w:p>
    <w:p w14:paraId="2A1600C8" w14:textId="3F0DCFE9" w:rsidR="005777EF" w:rsidRPr="002E6AFC" w:rsidRDefault="005777EF" w:rsidP="005777EF">
      <w:pPr>
        <w:spacing w:after="0" w:line="360" w:lineRule="auto"/>
        <w:ind w:firstLine="709"/>
        <w:rPr>
          <w:rFonts w:cs="Open Sans"/>
          <w:color w:val="000000" w:themeColor="text1"/>
        </w:rPr>
      </w:pPr>
      <w:r w:rsidRPr="002E6AFC">
        <w:rPr>
          <w:rFonts w:cs="Open Sans"/>
          <w:color w:val="000000" w:themeColor="text1"/>
        </w:rPr>
        <w:t xml:space="preserve">As leituras foram realizadas nos tempos </w:t>
      </w:r>
      <w:r w:rsidR="004F4186" w:rsidRPr="004F4186">
        <w:rPr>
          <w:rFonts w:cs="Open Sans"/>
          <w:color w:val="000000" w:themeColor="text1"/>
        </w:rPr>
        <w:t>3; 6; 9; 12; 16; 20; 24; 30; 36; 48; 72 e 96</w:t>
      </w:r>
      <w:r w:rsidR="004F4186">
        <w:rPr>
          <w:rFonts w:cs="Open Sans"/>
          <w:color w:val="000000" w:themeColor="text1"/>
        </w:rPr>
        <w:t xml:space="preserve"> </w:t>
      </w:r>
      <w:r w:rsidRPr="002E6AFC">
        <w:rPr>
          <w:rFonts w:cs="Open Sans"/>
          <w:color w:val="000000" w:themeColor="text1"/>
        </w:rPr>
        <w:t>horas após o início do processo de fermentação. Utilizou-se o analisador de gases portátil TEC-GA21BIO</w:t>
      </w:r>
      <w:r w:rsidRPr="002E6AFC">
        <w:rPr>
          <w:rFonts w:cs="Open Sans"/>
          <w:color w:val="000000" w:themeColor="text1"/>
          <w:vertAlign w:val="superscript"/>
        </w:rPr>
        <w:t xml:space="preserve">® </w:t>
      </w:r>
      <w:r w:rsidRPr="002E6AFC">
        <w:rPr>
          <w:rFonts w:cs="Open Sans"/>
          <w:color w:val="000000" w:themeColor="text1"/>
        </w:rPr>
        <w:t>para mensurar o gás metano.</w:t>
      </w:r>
    </w:p>
    <w:p w14:paraId="6E698D68" w14:textId="66E03860" w:rsidR="0035561D" w:rsidRPr="002E6AFC" w:rsidRDefault="005777EF" w:rsidP="005777EF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>Os dados foram ajustados ao modelo de France et al. (1993): Y= A {1 – exp [- b (t – L) – c x (</w:t>
      </w:r>
      <w:r w:rsidRPr="002E6AFC">
        <w:rPr>
          <w:rFonts w:ascii="Century Gothic" w:hAnsi="Century Gothic" w:cs="Arial"/>
          <w:sz w:val="20"/>
          <w:szCs w:val="20"/>
        </w:rPr>
        <w:t>√</w:t>
      </w:r>
      <w:r w:rsidRPr="002E6AFC">
        <w:rPr>
          <w:rFonts w:ascii="Century Gothic" w:hAnsi="Century Gothic" w:cs="Open Sans"/>
          <w:sz w:val="20"/>
          <w:szCs w:val="20"/>
        </w:rPr>
        <w:t xml:space="preserve"> t - </w:t>
      </w:r>
      <w:r w:rsidRPr="002E6AFC">
        <w:rPr>
          <w:rFonts w:ascii="Century Gothic" w:hAnsi="Century Gothic" w:cs="Arial"/>
          <w:sz w:val="20"/>
          <w:szCs w:val="20"/>
        </w:rPr>
        <w:t>√</w:t>
      </w:r>
      <w:r w:rsidRPr="002E6AFC">
        <w:rPr>
          <w:rFonts w:ascii="Century Gothic" w:hAnsi="Century Gothic" w:cs="Open Sans"/>
          <w:sz w:val="20"/>
          <w:szCs w:val="20"/>
        </w:rPr>
        <w:t>L)]} obtendo-se os seguintes parâmetros referentes à cinética de produção de gases: produção de gases acumulada (mL) “Y”, tempo de incubação “t” (horas), total de gases produzidos (mL) “A”, tempo de colonização “T” (horas) e taxa de degradação fracional (h-1) “</w:t>
      </w:r>
      <w:r w:rsidRPr="002E6AFC">
        <w:rPr>
          <w:rFonts w:ascii="Century Gothic" w:hAnsi="Century Gothic" w:cs="Calibri"/>
          <w:sz w:val="20"/>
          <w:szCs w:val="20"/>
        </w:rPr>
        <w:t>μ</w:t>
      </w:r>
      <w:r w:rsidRPr="002E6AFC">
        <w:rPr>
          <w:rFonts w:ascii="Century Gothic" w:hAnsi="Century Gothic" w:cs="Open Sans"/>
          <w:sz w:val="20"/>
          <w:szCs w:val="20"/>
        </w:rPr>
        <w:t>”. As equações geradas foram comparadas por meio de teste de paralelismo e identidade de curvas (</w:t>
      </w:r>
      <w:r w:rsidR="0081148F">
        <w:rPr>
          <w:rFonts w:ascii="Century Gothic" w:hAnsi="Century Gothic" w:cs="Open Sans"/>
          <w:sz w:val="20"/>
          <w:szCs w:val="20"/>
        </w:rPr>
        <w:t>REGAZZI et al.,</w:t>
      </w:r>
      <w:r w:rsidRPr="002E6AFC">
        <w:rPr>
          <w:rFonts w:ascii="Century Gothic" w:hAnsi="Century Gothic" w:cs="Open Sans"/>
          <w:sz w:val="20"/>
          <w:szCs w:val="20"/>
        </w:rPr>
        <w:t xml:space="preserve"> 2004). </w:t>
      </w:r>
    </w:p>
    <w:p w14:paraId="3C9166F3" w14:textId="77777777" w:rsidR="0035561D" w:rsidRPr="002E6AFC" w:rsidRDefault="0035561D" w:rsidP="0060723D">
      <w:pPr>
        <w:spacing w:after="0" w:line="360" w:lineRule="auto"/>
        <w:ind w:firstLine="0"/>
        <w:rPr>
          <w:rFonts w:cs="Arial"/>
        </w:rPr>
      </w:pPr>
      <w:r w:rsidRPr="002E6AFC">
        <w:rPr>
          <w:rFonts w:cs="Arial"/>
          <w:b/>
          <w:bCs/>
        </w:rPr>
        <w:t>Tabela 1</w:t>
      </w:r>
      <w:r w:rsidRPr="002E6AFC">
        <w:rPr>
          <w:rFonts w:cs="Arial"/>
        </w:rPr>
        <w:t>. Proporção de ingredientes e composição das dietas experimentais.</w:t>
      </w:r>
    </w:p>
    <w:tbl>
      <w:tblPr>
        <w:tblW w:w="8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1118"/>
        <w:gridCol w:w="1091"/>
        <w:gridCol w:w="942"/>
        <w:gridCol w:w="1614"/>
      </w:tblGrid>
      <w:tr w:rsidR="00481EF3" w:rsidRPr="002E6AFC" w14:paraId="78FD21F1" w14:textId="77777777" w:rsidTr="00B14E03">
        <w:trPr>
          <w:trHeight w:val="103"/>
          <w:jc w:val="center"/>
        </w:trPr>
        <w:tc>
          <w:tcPr>
            <w:tcW w:w="42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75531" w14:textId="77777777" w:rsidR="0035561D" w:rsidRPr="002E6AFC" w:rsidRDefault="0035561D" w:rsidP="00910786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Ingredientes</w:t>
            </w:r>
          </w:p>
        </w:tc>
        <w:tc>
          <w:tcPr>
            <w:tcW w:w="4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BF54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Composição (% da MS Total)</w:t>
            </w:r>
          </w:p>
        </w:tc>
      </w:tr>
      <w:tr w:rsidR="00481EF3" w:rsidRPr="002E6AFC" w14:paraId="20FE5E60" w14:textId="77777777" w:rsidTr="00B14E03">
        <w:trPr>
          <w:trHeight w:val="95"/>
          <w:jc w:val="center"/>
        </w:trPr>
        <w:tc>
          <w:tcPr>
            <w:tcW w:w="42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0C1E80" w14:textId="77777777" w:rsidR="0035561D" w:rsidRPr="002E6AFC" w:rsidRDefault="0035561D" w:rsidP="00A721CA">
            <w:pPr>
              <w:spacing w:after="0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E965" w14:textId="71A741EF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Dieta</w:t>
            </w:r>
            <w:r w:rsidR="00910786" w:rsidRPr="002E6AFC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r w:rsidRPr="002E6AFC">
              <w:rPr>
                <w:rFonts w:eastAsia="Times New Roman" w:cs="Arial"/>
                <w:b/>
                <w:bCs/>
                <w:color w:val="000000"/>
              </w:rPr>
              <w:t>volumosa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899D0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Dieta (67:33)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19D67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Dieta (33:67)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02DE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Dieta concentrada</w:t>
            </w:r>
          </w:p>
        </w:tc>
      </w:tr>
      <w:tr w:rsidR="00481EF3" w:rsidRPr="002E6AFC" w14:paraId="5A36AF1D" w14:textId="77777777" w:rsidTr="00B14E03">
        <w:trPr>
          <w:trHeight w:val="69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3FB9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Feno Mombaça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748C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97,00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FE9E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67,00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D27B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33,00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A5C7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0,00</w:t>
            </w:r>
          </w:p>
        </w:tc>
      </w:tr>
      <w:tr w:rsidR="00481EF3" w:rsidRPr="002E6AFC" w14:paraId="47F108F3" w14:textId="77777777" w:rsidTr="00B14E03">
        <w:trPr>
          <w:trHeight w:val="120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D40E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Milho grão moído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2C33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77F7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17,00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3DF5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41,00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CA2E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54,92</w:t>
            </w:r>
          </w:p>
        </w:tc>
      </w:tr>
      <w:tr w:rsidR="00481EF3" w:rsidRPr="002E6AFC" w14:paraId="6F8A60D3" w14:textId="77777777" w:rsidTr="00B14E03">
        <w:trPr>
          <w:trHeight w:val="83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1BA3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Farelo de Soja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E906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567D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10,96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9B9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20,96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5003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34,35</w:t>
            </w:r>
          </w:p>
        </w:tc>
      </w:tr>
      <w:tr w:rsidR="00481EF3" w:rsidRPr="002E6AFC" w14:paraId="55830630" w14:textId="77777777" w:rsidTr="00B14E03">
        <w:trPr>
          <w:trHeight w:val="79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6169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Fosfato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BC3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068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0,58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821E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0,58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BCA0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1,15</w:t>
            </w:r>
          </w:p>
        </w:tc>
      </w:tr>
      <w:tr w:rsidR="00481EF3" w:rsidRPr="002E6AFC" w14:paraId="1B0D822E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44E5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Sal Mineral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B66B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0DAC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616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3,00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08EE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6,42</w:t>
            </w:r>
          </w:p>
        </w:tc>
      </w:tr>
      <w:tr w:rsidR="00481EF3" w:rsidRPr="002E6AFC" w14:paraId="0AD1FBEC" w14:textId="77777777" w:rsidTr="00B14E03">
        <w:trPr>
          <w:trHeight w:val="55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F1F4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Calcário dolomítico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1647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665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6C41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1,46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C045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3,12</w:t>
            </w:r>
          </w:p>
        </w:tc>
      </w:tr>
      <w:tr w:rsidR="0035561D" w:rsidRPr="002E6AFC" w14:paraId="6B0CC8F5" w14:textId="77777777" w:rsidTr="00B14E03">
        <w:trPr>
          <w:trHeight w:val="49"/>
          <w:jc w:val="center"/>
        </w:trPr>
        <w:tc>
          <w:tcPr>
            <w:tcW w:w="8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A52F1" w14:textId="0163B6EF" w:rsidR="0035561D" w:rsidRPr="002E6AFC" w:rsidRDefault="0035561D" w:rsidP="0091078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Composição química (g kg</w:t>
            </w:r>
            <w:r w:rsidRPr="002E6AFC">
              <w:rPr>
                <w:rFonts w:eastAsia="Times New Roman" w:cs="Arial"/>
                <w:b/>
                <w:bCs/>
                <w:color w:val="000000"/>
                <w:vertAlign w:val="superscript"/>
              </w:rPr>
              <w:t>-1</w:t>
            </w:r>
            <w:r w:rsidRPr="002E6AFC">
              <w:rPr>
                <w:rFonts w:eastAsia="Times New Roman" w:cs="Arial"/>
                <w:b/>
                <w:bCs/>
                <w:color w:val="000000"/>
              </w:rPr>
              <w:t xml:space="preserve"> de MS)</w:t>
            </w:r>
          </w:p>
        </w:tc>
      </w:tr>
      <w:tr w:rsidR="00481EF3" w:rsidRPr="002E6AFC" w14:paraId="3BF7D1FB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3DF0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Matéria Seca, g kg</w:t>
            </w:r>
            <w:r w:rsidRPr="002E6AFC">
              <w:rPr>
                <w:rFonts w:eastAsia="Times New Roman" w:cs="Arial"/>
                <w:b/>
                <w:bCs/>
                <w:color w:val="000000"/>
                <w:vertAlign w:val="superscript"/>
              </w:rPr>
              <w:t>-1</w:t>
            </w:r>
            <w:r w:rsidRPr="002E6AFC">
              <w:rPr>
                <w:rFonts w:eastAsia="Times New Roman" w:cs="Arial"/>
                <w:b/>
                <w:bCs/>
                <w:color w:val="000000"/>
              </w:rPr>
              <w:t xml:space="preserve"> MN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FF6D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91,69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A6E7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91,22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8CF7F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90,54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2456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89,72</w:t>
            </w:r>
          </w:p>
        </w:tc>
      </w:tr>
      <w:tr w:rsidR="00481EF3" w:rsidRPr="002E6AFC" w14:paraId="01C98527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62C0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Matéria Mineral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2E0C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7,35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7B72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9,65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8C45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9,14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1453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13,31</w:t>
            </w:r>
          </w:p>
        </w:tc>
      </w:tr>
      <w:tr w:rsidR="00481EF3" w:rsidRPr="002E6AFC" w14:paraId="01C9E214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EA35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Proteína Bruta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C036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10,61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90A3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12,44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9FD2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13,30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16A0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19,00</w:t>
            </w:r>
          </w:p>
        </w:tc>
      </w:tr>
      <w:tr w:rsidR="00481EF3" w:rsidRPr="002E6AFC" w14:paraId="0F68A8B3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C699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Extrato Etéreo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B14D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C005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2,79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72FB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3,97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E811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4,15</w:t>
            </w:r>
          </w:p>
        </w:tc>
      </w:tr>
      <w:tr w:rsidR="00481EF3" w:rsidRPr="002E6AFC" w14:paraId="2FC1FBAC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8A4F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Proteína Insolúvel em Detergente Neutro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C3C8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2,39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8349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40C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7,67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705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5,95</w:t>
            </w:r>
          </w:p>
        </w:tc>
      </w:tr>
      <w:tr w:rsidR="00481EF3" w:rsidRPr="002E6AFC" w14:paraId="5581253A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0BA32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Proteína Insolúvel em Detergente Ácido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D94C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F6E0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C70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B867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0,03</w:t>
            </w:r>
          </w:p>
        </w:tc>
      </w:tr>
      <w:tr w:rsidR="00481EF3" w:rsidRPr="002E6AFC" w14:paraId="4B0AAFE0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0BCB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Fibra em Detergente Neutro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4FE6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63,70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0CA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44,68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9A23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32,41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1126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15,44</w:t>
            </w:r>
          </w:p>
        </w:tc>
      </w:tr>
      <w:tr w:rsidR="00481EF3" w:rsidRPr="002E6AFC" w14:paraId="5F224E49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A12BE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Fibra em Detergente Ácido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F238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31,18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171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23,79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023C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14,02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7DB5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5,08</w:t>
            </w:r>
          </w:p>
        </w:tc>
      </w:tr>
      <w:tr w:rsidR="00481EF3" w:rsidRPr="002E6AFC" w14:paraId="744ABF4E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35F0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Carboidratos Não Fibrosos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15D9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18,34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019E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30,44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F7C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41,18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081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48,10</w:t>
            </w:r>
          </w:p>
        </w:tc>
      </w:tr>
      <w:tr w:rsidR="00481EF3" w:rsidRPr="002E6AFC" w14:paraId="21A8CF1E" w14:textId="77777777" w:rsidTr="00B14E03">
        <w:trPr>
          <w:trHeight w:val="216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FD95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Cinza Insolúvel em Detergente Ácido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2CD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1,79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541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558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1,32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538B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1,58</w:t>
            </w:r>
          </w:p>
        </w:tc>
      </w:tr>
      <w:tr w:rsidR="00481EF3" w:rsidRPr="002E6AFC" w14:paraId="1A52AD03" w14:textId="77777777" w:rsidTr="00B14E03">
        <w:trPr>
          <w:trHeight w:val="79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80A5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Cinza Insolúvel em Detergente Neutro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367A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1,84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9574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2,19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4048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2,30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F7E3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4,08</w:t>
            </w:r>
          </w:p>
        </w:tc>
      </w:tr>
      <w:tr w:rsidR="00481EF3" w:rsidRPr="002E6AFC" w14:paraId="1A4AC97D" w14:textId="77777777" w:rsidTr="00B14E03">
        <w:trPr>
          <w:trHeight w:val="80"/>
          <w:jc w:val="center"/>
        </w:trPr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414FE" w14:textId="77777777" w:rsidR="0035561D" w:rsidRPr="002E6AFC" w:rsidRDefault="0035561D" w:rsidP="0035561D">
            <w:pPr>
              <w:spacing w:after="0"/>
              <w:ind w:firstLine="0"/>
              <w:rPr>
                <w:rFonts w:eastAsia="Times New Roman" w:cs="Arial"/>
                <w:b/>
                <w:bCs/>
                <w:color w:val="000000"/>
              </w:rPr>
            </w:pPr>
            <w:r w:rsidRPr="002E6AFC">
              <w:rPr>
                <w:rFonts w:eastAsia="Times New Roman" w:cs="Arial"/>
                <w:b/>
                <w:bCs/>
                <w:color w:val="000000"/>
              </w:rPr>
              <w:t>Lignina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64A5D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6,12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F8F73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4,24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F1B6C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3,24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E69C" w14:textId="77777777" w:rsidR="0035561D" w:rsidRPr="002E6AFC" w:rsidRDefault="0035561D" w:rsidP="00910786">
            <w:pPr>
              <w:spacing w:after="0"/>
              <w:ind w:firstLine="0"/>
              <w:jc w:val="center"/>
              <w:rPr>
                <w:rFonts w:eastAsia="Times New Roman" w:cs="Arial"/>
                <w:color w:val="000000"/>
              </w:rPr>
            </w:pPr>
            <w:r w:rsidRPr="002E6AFC">
              <w:rPr>
                <w:rFonts w:eastAsia="Times New Roman" w:cs="Arial"/>
                <w:color w:val="000000"/>
              </w:rPr>
              <w:t>0,66</w:t>
            </w:r>
          </w:p>
        </w:tc>
      </w:tr>
    </w:tbl>
    <w:p w14:paraId="60DAAAB0" w14:textId="77777777" w:rsidR="00910786" w:rsidRPr="002E6AFC" w:rsidRDefault="00910786" w:rsidP="0060723D">
      <w:pPr>
        <w:spacing w:after="0"/>
        <w:ind w:firstLine="709"/>
        <w:rPr>
          <w:rFonts w:cs="Open Sans"/>
          <w:color w:val="000000" w:themeColor="text1"/>
          <w:sz w:val="18"/>
          <w:szCs w:val="18"/>
        </w:rPr>
      </w:pPr>
    </w:p>
    <w:p w14:paraId="431C6A4B" w14:textId="77777777" w:rsidR="002A1AE9" w:rsidRDefault="002A1AE9" w:rsidP="002A1AE9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 xml:space="preserve">O modelo estatístico adotado foi: 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Yijk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 xml:space="preserve"> = </w:t>
      </w:r>
      <w:r w:rsidRPr="002E6AFC">
        <w:rPr>
          <w:rFonts w:ascii="Century Gothic" w:hAnsi="Century Gothic" w:cs="Calibri"/>
          <w:sz w:val="20"/>
          <w:szCs w:val="20"/>
        </w:rPr>
        <w:t>μ</w:t>
      </w:r>
      <w:r w:rsidRPr="002E6AFC">
        <w:rPr>
          <w:rFonts w:ascii="Century Gothic" w:hAnsi="Century Gothic" w:cs="Open Sans"/>
          <w:sz w:val="20"/>
          <w:szCs w:val="20"/>
        </w:rPr>
        <w:t xml:space="preserve"> + Bi + F1j + F2j + F1× F2j + 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eijk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 xml:space="preserve">, em que: </w:t>
      </w:r>
      <w:r w:rsidRPr="002E6AFC">
        <w:rPr>
          <w:rFonts w:ascii="Century Gothic" w:hAnsi="Century Gothic" w:cs="Calibri"/>
          <w:sz w:val="20"/>
          <w:szCs w:val="20"/>
        </w:rPr>
        <w:t>μ</w:t>
      </w:r>
      <w:r w:rsidRPr="002E6AFC">
        <w:rPr>
          <w:rFonts w:ascii="Century Gothic" w:hAnsi="Century Gothic" w:cs="Open Sans"/>
          <w:sz w:val="20"/>
          <w:szCs w:val="20"/>
        </w:rPr>
        <w:t xml:space="preserve"> = média geral; Bi = efeito do Bloco i, i = 1, 2, 3, 4, 5; F1j = efeito das dietas j, j = 1, 2, 3, 4; F2j = efeito dos níveis de OU j, j = 1, 2, 3; F1 × F2j = efeito da interação (Dieta × Níveis dos OU); 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eijk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 xml:space="preserve"> = erro.</w:t>
      </w:r>
      <w:r w:rsidRPr="002A1AE9">
        <w:rPr>
          <w:rFonts w:ascii="Century Gothic" w:hAnsi="Century Gothic" w:cs="Open Sans"/>
          <w:sz w:val="20"/>
          <w:szCs w:val="20"/>
        </w:rPr>
        <w:t xml:space="preserve"> </w:t>
      </w:r>
      <w:r w:rsidRPr="002E6AFC">
        <w:rPr>
          <w:rFonts w:ascii="Century Gothic" w:hAnsi="Century Gothic" w:cs="Open Sans"/>
          <w:sz w:val="20"/>
          <w:szCs w:val="20"/>
        </w:rPr>
        <w:t xml:space="preserve">Os procedimentos estatísticos foram realizados utilizando o </w:t>
      </w:r>
      <w:proofErr w:type="spellStart"/>
      <w:r w:rsidRPr="002E6AFC">
        <w:rPr>
          <w:rStyle w:val="selectable-text"/>
          <w:rFonts w:ascii="Century Gothic" w:hAnsi="Century Gothic" w:cs="Open Sans"/>
          <w:sz w:val="20"/>
          <w:szCs w:val="20"/>
        </w:rPr>
        <w:t>Statistical</w:t>
      </w:r>
      <w:proofErr w:type="spellEnd"/>
      <w:r w:rsidRPr="002E6AFC">
        <w:rPr>
          <w:rStyle w:val="selectable-text"/>
          <w:rFonts w:ascii="Century Gothic" w:hAnsi="Century Gothic" w:cs="Open Sans"/>
          <w:sz w:val="20"/>
          <w:szCs w:val="20"/>
        </w:rPr>
        <w:t xml:space="preserve"> </w:t>
      </w:r>
      <w:proofErr w:type="spellStart"/>
      <w:r w:rsidRPr="002E6AFC">
        <w:rPr>
          <w:rStyle w:val="selectable-text"/>
          <w:rFonts w:ascii="Century Gothic" w:hAnsi="Century Gothic" w:cs="Open Sans"/>
          <w:sz w:val="20"/>
          <w:szCs w:val="20"/>
        </w:rPr>
        <w:t>Analysis</w:t>
      </w:r>
      <w:proofErr w:type="spellEnd"/>
      <w:r w:rsidRPr="002E6AFC">
        <w:rPr>
          <w:rStyle w:val="selectable-text"/>
          <w:rFonts w:ascii="Century Gothic" w:hAnsi="Century Gothic" w:cs="Open Sans"/>
          <w:sz w:val="20"/>
          <w:szCs w:val="20"/>
        </w:rPr>
        <w:t xml:space="preserve"> System</w:t>
      </w:r>
      <w:r w:rsidRPr="002E6AFC">
        <w:rPr>
          <w:rFonts w:ascii="Century Gothic" w:hAnsi="Century Gothic" w:cs="Open Sans"/>
          <w:sz w:val="20"/>
          <w:szCs w:val="20"/>
          <w:vertAlign w:val="superscript"/>
        </w:rPr>
        <w:t>®</w:t>
      </w:r>
      <w:r w:rsidRPr="002E6AFC">
        <w:rPr>
          <w:rStyle w:val="selectable-text"/>
          <w:rFonts w:ascii="Century Gothic" w:hAnsi="Century Gothic" w:cs="Open Sans"/>
          <w:sz w:val="20"/>
          <w:szCs w:val="20"/>
        </w:rPr>
        <w:t xml:space="preserve"> (SAS).</w:t>
      </w:r>
      <w:r>
        <w:rPr>
          <w:rFonts w:ascii="Century Gothic" w:hAnsi="Century Gothic" w:cs="Open Sans"/>
          <w:sz w:val="20"/>
          <w:szCs w:val="20"/>
        </w:rPr>
        <w:t xml:space="preserve"> </w:t>
      </w:r>
      <w:r w:rsidR="0035561D" w:rsidRPr="002E6AFC">
        <w:rPr>
          <w:rFonts w:ascii="Century Gothic" w:hAnsi="Century Gothic" w:cs="Open Sans"/>
          <w:sz w:val="20"/>
          <w:szCs w:val="20"/>
        </w:rPr>
        <w:t xml:space="preserve">Os dados obtidos foram submetidos à análise variância utilizando-se o delineamento em blocos casualizados com arranjo fatorial 4 × 3. Foi efetuado o contraste ortogonal para estimativa do efeito linear da adição do OU. As médias foram comparadas pelo teste de Tukey a 5% de probabilidade de erro tipo I. </w:t>
      </w:r>
    </w:p>
    <w:p w14:paraId="3FC237B8" w14:textId="77777777" w:rsidR="00435942" w:rsidRDefault="008B7460" w:rsidP="00435942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Open Sans"/>
          <w:sz w:val="20"/>
          <w:szCs w:val="20"/>
        </w:rPr>
        <w:t xml:space="preserve"> </w:t>
      </w:r>
      <w:r w:rsidR="00000000" w:rsidRPr="002E6AFC">
        <w:rPr>
          <w:color w:val="000000"/>
          <w:sz w:val="40"/>
          <w:szCs w:val="40"/>
        </w:rPr>
        <w:t>Resultados</w:t>
      </w:r>
    </w:p>
    <w:p w14:paraId="15A07374" w14:textId="603DD932" w:rsidR="008B7460" w:rsidRDefault="00642635" w:rsidP="00435942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Open Sans"/>
          <w:sz w:val="20"/>
          <w:szCs w:val="20"/>
        </w:rPr>
        <w:t>Com a</w:t>
      </w:r>
      <w:r>
        <w:rPr>
          <w:rFonts w:ascii="Century Gothic" w:hAnsi="Century Gothic" w:cs="Open Sans"/>
          <w:sz w:val="20"/>
          <w:szCs w:val="20"/>
        </w:rPr>
        <w:t xml:space="preserve"> </w:t>
      </w:r>
      <w:r w:rsidRPr="002E6AFC">
        <w:rPr>
          <w:rFonts w:ascii="Century Gothic" w:hAnsi="Century Gothic" w:cs="Open Sans"/>
          <w:sz w:val="20"/>
          <w:szCs w:val="20"/>
        </w:rPr>
        <w:t xml:space="preserve">inclusão de óleo de ucuuba (OU) nos níveis de 1 e </w:t>
      </w:r>
      <w:r w:rsidR="00AE5FA0" w:rsidRPr="002E6AFC">
        <w:rPr>
          <w:rFonts w:ascii="Century Gothic" w:hAnsi="Century Gothic" w:cs="Open Sans"/>
          <w:sz w:val="20"/>
          <w:szCs w:val="20"/>
        </w:rPr>
        <w:t>2% reduziram</w:t>
      </w:r>
      <w:r w:rsidRPr="002E6AFC">
        <w:rPr>
          <w:rFonts w:ascii="Century Gothic" w:hAnsi="Century Gothic" w:cs="Open Sans"/>
          <w:sz w:val="20"/>
          <w:szCs w:val="20"/>
        </w:rPr>
        <w:t xml:space="preserve"> a produção total de gases (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mL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>) em relação às dietas sem OU. Houve redução na produção total de gases ao aumentarmos o volumoso nas dietas. O tempo de colonização (T) foi maior para dietas ricas em concentrado. A taxa de degradação fracional (h</w:t>
      </w:r>
      <w:r w:rsidRPr="002E6AFC">
        <w:rPr>
          <w:rFonts w:ascii="Century Gothic" w:hAnsi="Century Gothic" w:cs="Open Sans"/>
          <w:sz w:val="20"/>
          <w:szCs w:val="20"/>
          <w:vertAlign w:val="superscript"/>
        </w:rPr>
        <w:t>-1</w:t>
      </w:r>
      <w:r w:rsidRPr="002E6AFC">
        <w:rPr>
          <w:rFonts w:ascii="Century Gothic" w:hAnsi="Century Gothic" w:cs="Open Sans"/>
          <w:sz w:val="20"/>
          <w:szCs w:val="20"/>
        </w:rPr>
        <w:t xml:space="preserve">) foi maior nos tratamentos com inclusão de 1 e 2% de OU, independentemente da relação volumoso: concentrado das dietas. A 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degradabilidade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 xml:space="preserve"> efetiva reduziu com o aumento nos níveis de OU para todas as taxas de passagens e dietas (tabela 2).</w:t>
      </w:r>
    </w:p>
    <w:p w14:paraId="53F5A493" w14:textId="77777777" w:rsidR="008B7460" w:rsidRPr="002E6AFC" w:rsidRDefault="008B7460" w:rsidP="008B7460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b/>
          <w:bCs/>
          <w:sz w:val="20"/>
          <w:szCs w:val="20"/>
        </w:rPr>
        <w:t xml:space="preserve">Tabela 2 - </w:t>
      </w:r>
      <w:r w:rsidRPr="002E6AFC">
        <w:rPr>
          <w:rFonts w:ascii="Century Gothic" w:hAnsi="Century Gothic" w:cs="Open Sans"/>
          <w:sz w:val="20"/>
          <w:szCs w:val="20"/>
        </w:rPr>
        <w:t xml:space="preserve">Parâmetros da cinética de fermentação ruminal </w:t>
      </w:r>
      <w:r w:rsidRPr="002E6AFC">
        <w:rPr>
          <w:rFonts w:ascii="Century Gothic" w:hAnsi="Century Gothic" w:cs="Open Sans"/>
          <w:i/>
          <w:iCs/>
          <w:sz w:val="20"/>
          <w:szCs w:val="20"/>
        </w:rPr>
        <w:t>in vitro</w:t>
      </w:r>
      <w:r w:rsidRPr="002E6AFC">
        <w:rPr>
          <w:rFonts w:ascii="Century Gothic" w:hAnsi="Century Gothic" w:cs="Open Sans"/>
          <w:sz w:val="20"/>
          <w:szCs w:val="20"/>
        </w:rPr>
        <w:t xml:space="preserve"> de dietas com adição crescente de concentrado, utilizando o modelo de France e degradabilidade efetiva</w:t>
      </w:r>
    </w:p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753"/>
        <w:gridCol w:w="1008"/>
        <w:gridCol w:w="877"/>
        <w:gridCol w:w="1014"/>
        <w:gridCol w:w="1008"/>
        <w:gridCol w:w="1008"/>
        <w:gridCol w:w="1024"/>
      </w:tblGrid>
      <w:tr w:rsidR="008B7460" w:rsidRPr="002E6AFC" w14:paraId="45BFA8A7" w14:textId="77777777" w:rsidTr="00141EF9">
        <w:trPr>
          <w:trHeight w:val="79"/>
        </w:trPr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782E2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Tratamentos</w:t>
            </w:r>
          </w:p>
        </w:tc>
        <w:tc>
          <w:tcPr>
            <w:tcW w:w="6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4C5A8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Parâmetros de France</w:t>
            </w:r>
          </w:p>
        </w:tc>
      </w:tr>
      <w:tr w:rsidR="008B7460" w:rsidRPr="002E6AFC" w14:paraId="73FFCF0D" w14:textId="77777777" w:rsidTr="00141EF9">
        <w:trPr>
          <w:trHeight w:val="79"/>
        </w:trPr>
        <w:tc>
          <w:tcPr>
            <w:tcW w:w="23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B5FAB6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0157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  <w:lang w:val="pt-PT"/>
              </w:rPr>
              <w:t>A*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49860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  <w:lang w:val="pt-PT"/>
              </w:rPr>
              <w:t>T* (h:Min.)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6776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pt-PT"/>
              </w:rPr>
              <w:t>μ</w:t>
            </w: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  <w:lang w:val="pt-PT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FDD7F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  <w:lang w:val="pt-PT"/>
              </w:rPr>
              <w:t>DE** (2%)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12F9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  <w:lang w:val="pt-PT"/>
              </w:rPr>
              <w:t>DE (4%)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CC27A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  <w:lang w:val="pt-PT"/>
              </w:rPr>
              <w:t>DE (6%)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D8263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  <w:lang w:val="pt-PT"/>
              </w:rPr>
              <w:t>DE (8%)</w:t>
            </w:r>
          </w:p>
        </w:tc>
      </w:tr>
      <w:tr w:rsidR="008B7460" w:rsidRPr="002E6AFC" w14:paraId="47AD3FA1" w14:textId="77777777" w:rsidTr="00141EF9">
        <w:trPr>
          <w:trHeight w:val="79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23AE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OUUcuuba0R100_0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8ABA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186,9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C41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01:28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250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0,0459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FB351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72,2822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F1DBD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68,8383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CA7A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65,5331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9D0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62,3615</w:t>
            </w:r>
          </w:p>
        </w:tc>
      </w:tr>
      <w:tr w:rsidR="008B7460" w:rsidRPr="002E6AFC" w14:paraId="04F3D8B3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E9C4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OUUcuuba1R100_0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DBB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fr-FR"/>
              </w:rPr>
              <w:t>121,1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01A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01:17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2FE6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0,0701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7388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18,5554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EE3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17,7439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7F18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16,9617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628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16,2078</w:t>
            </w:r>
          </w:p>
        </w:tc>
      </w:tr>
      <w:tr w:rsidR="008B7460" w:rsidRPr="002E6AFC" w14:paraId="28A62E3E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F49D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OUUcuuba2R100_0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FD9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039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01:23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A15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0,0718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F04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17,2260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CEC8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16,3976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9E74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15,6033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B323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14,8419</w:t>
            </w:r>
          </w:p>
        </w:tc>
      </w:tr>
      <w:tr w:rsidR="008B7460" w:rsidRPr="002E6AFC" w14:paraId="36C453EC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C2FD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OUUcuuba0R67_33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1BCF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9B03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01:31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682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sz w:val="20"/>
                <w:szCs w:val="20"/>
                <w:lang w:val="pt-PT"/>
              </w:rPr>
              <w:t>0,0559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847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76,8609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DE4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73,3285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BB4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69,9320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C9C5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66,6666</w:t>
            </w:r>
          </w:p>
        </w:tc>
      </w:tr>
      <w:tr w:rsidR="008B7460" w:rsidRPr="002E6AFC" w14:paraId="2DC9BB07" w14:textId="77777777" w:rsidTr="00141EF9">
        <w:trPr>
          <w:trHeight w:val="89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57E8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OUUcuuba1R67_33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2A9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8506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01:23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0A6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sz w:val="20"/>
                <w:szCs w:val="20"/>
                <w:lang w:val="pt-PT"/>
              </w:rPr>
              <w:t>0,0767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D55F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34,0481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7091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32,3064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651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30,6429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B55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29,0543</w:t>
            </w:r>
          </w:p>
        </w:tc>
      </w:tr>
      <w:tr w:rsidR="008B7460" w:rsidRPr="002E6AFC" w14:paraId="3D5C0B6B" w14:textId="77777777" w:rsidTr="00141EF9">
        <w:trPr>
          <w:trHeight w:val="89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DA41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OUUcuuba2R67_33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B9DD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53B6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02:05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53B1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sz w:val="20"/>
                <w:szCs w:val="20"/>
                <w:lang w:val="pt-PT"/>
              </w:rPr>
              <w:t>0,0718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A0B1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34,8166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75A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32,7710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48DC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30,8345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D472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29,0017</w:t>
            </w:r>
          </w:p>
        </w:tc>
      </w:tr>
      <w:tr w:rsidR="008B7460" w:rsidRPr="002E6AFC" w14:paraId="00D2B7FC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DC8B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OUUcuuba0R33_67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7DB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9852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02:02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362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sz w:val="20"/>
                <w:szCs w:val="20"/>
                <w:lang w:val="pt-PT"/>
              </w:rPr>
              <w:t>0,0605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C1D3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84,0278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8A19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79,1296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E81A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74,4893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1393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70,0941</w:t>
            </w:r>
          </w:p>
        </w:tc>
      </w:tr>
      <w:tr w:rsidR="008B7460" w:rsidRPr="002E6AFC" w14:paraId="62394126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0043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OUUcuuba1R33_67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C948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A450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02:20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686D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0,0762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15DD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44,7012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60E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41,8741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534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39,2119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2D01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36,7055</w:t>
            </w:r>
          </w:p>
        </w:tc>
      </w:tr>
      <w:tr w:rsidR="008B7460" w:rsidRPr="002E6AFC" w14:paraId="0AB65E77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3B13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OUUcuuba2R33_67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33CD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088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02:16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00B4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0,0748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D52D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50,3901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0CB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47,2512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B65A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44,2921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9906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41,5029</w:t>
            </w:r>
          </w:p>
        </w:tc>
      </w:tr>
      <w:tr w:rsidR="008B7460" w:rsidRPr="002E6AFC" w14:paraId="60674B63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A232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OUUcuuba0R0_100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1D06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225,8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463E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02:22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BB4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0,0647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44E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94,6838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D912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92,8474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3805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91,0133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DF4D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89,1815</w:t>
            </w:r>
          </w:p>
        </w:tc>
      </w:tr>
      <w:tr w:rsidR="008B7460" w:rsidRPr="002E6AFC" w14:paraId="7BD3B54C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FA91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OUUcuuba1R0_100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233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1386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02:16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E568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0,0792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C8593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64,8509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141F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60,8228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BA30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57,0244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7D82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53,4434</w:t>
            </w:r>
          </w:p>
        </w:tc>
      </w:tr>
      <w:tr w:rsidR="008B7460" w:rsidRPr="002E6AFC" w14:paraId="33B8DE2B" w14:textId="77777777" w:rsidTr="00141EF9">
        <w:trPr>
          <w:trHeight w:val="90"/>
        </w:trPr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F12FC" w14:textId="77777777" w:rsidR="008B7460" w:rsidRPr="002E6AFC" w:rsidRDefault="008B7460" w:rsidP="00141EF9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OUUcuuba2R0_100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7F017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27215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02:17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4D4C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val="pt-PT"/>
              </w:rPr>
              <w:t>0,0740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522E4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63,8175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86D34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59,8200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23EC8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56,0528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F3ECB" w14:textId="77777777" w:rsidR="008B7460" w:rsidRPr="002E6AFC" w:rsidRDefault="008B7460" w:rsidP="00141EF9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2E6AFC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52,5035</w:t>
            </w:r>
          </w:p>
        </w:tc>
      </w:tr>
    </w:tbl>
    <w:p w14:paraId="562FEB2A" w14:textId="77777777" w:rsidR="008B7460" w:rsidRPr="006859D6" w:rsidRDefault="008B7460" w:rsidP="008B7460">
      <w:pPr>
        <w:pStyle w:val="Contedodoquadro"/>
        <w:jc w:val="both"/>
        <w:rPr>
          <w:rFonts w:ascii="Century Gothic" w:hAnsi="Century Gothic" w:cs="Open Sans"/>
          <w:sz w:val="18"/>
          <w:szCs w:val="18"/>
        </w:rPr>
      </w:pPr>
      <w:r w:rsidRPr="006859D6">
        <w:rPr>
          <w:rFonts w:ascii="Century Gothic" w:hAnsi="Century Gothic" w:cs="Open Sans"/>
          <w:sz w:val="18"/>
          <w:szCs w:val="18"/>
        </w:rPr>
        <w:t xml:space="preserve">Total de gases (mL), T: Tempo de colonização (horas) e </w:t>
      </w:r>
      <w:r w:rsidRPr="006859D6">
        <w:rPr>
          <w:rFonts w:ascii="Century Gothic" w:hAnsi="Century Gothic" w:cs="Calibri"/>
          <w:sz w:val="18"/>
          <w:szCs w:val="18"/>
          <w:lang w:val="pt-PT"/>
        </w:rPr>
        <w:t>μ</w:t>
      </w:r>
      <w:r w:rsidRPr="006859D6">
        <w:rPr>
          <w:rFonts w:ascii="Century Gothic" w:hAnsi="Century Gothic" w:cs="Open Sans"/>
          <w:sz w:val="18"/>
          <w:szCs w:val="18"/>
        </w:rPr>
        <w:t>: Taxa de degradação fracional (h</w:t>
      </w:r>
      <w:r w:rsidRPr="006859D6">
        <w:rPr>
          <w:rFonts w:ascii="Century Gothic" w:hAnsi="Century Gothic" w:cs="Open Sans"/>
          <w:sz w:val="18"/>
          <w:szCs w:val="18"/>
          <w:vertAlign w:val="superscript"/>
        </w:rPr>
        <w:t>-1</w:t>
      </w:r>
      <w:r w:rsidRPr="006859D6">
        <w:rPr>
          <w:rFonts w:ascii="Century Gothic" w:hAnsi="Century Gothic" w:cs="Open Sans"/>
          <w:sz w:val="18"/>
          <w:szCs w:val="18"/>
        </w:rPr>
        <w:t>) *Parâmetros estimados pelo modelo de France et al. (1993). **Degradabilidade Efetiva</w:t>
      </w:r>
    </w:p>
    <w:p w14:paraId="5B5DE2FF" w14:textId="25AFC3DC" w:rsidR="008B7460" w:rsidRPr="002E6AFC" w:rsidRDefault="008B7460" w:rsidP="008B7460">
      <w:pPr>
        <w:tabs>
          <w:tab w:val="left" w:pos="540"/>
        </w:tabs>
        <w:spacing w:before="0" w:after="0"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E6AFC">
        <w:rPr>
          <w:rFonts w:cs="Open Sans"/>
        </w:rPr>
        <w:t>Segundo o teste de paralelismo de curvas (tabela 3), observou-se que houve paralelismo entre os tratamentos sem inclusão de OU, com dietas nas proporções de 100% e 67% de volumoso (</w:t>
      </w:r>
      <w:r w:rsidRPr="002E6AFC">
        <w:rPr>
          <w:rFonts w:cs="Open Sans"/>
          <w:color w:val="000000"/>
        </w:rPr>
        <w:t xml:space="preserve">OUUcuu0R100_0 e OUUcuu0R67_33) diferindo-se dos demais tratamentos que foram paralelos entre si, independente dos níveis de adição de OU e às proporções de </w:t>
      </w:r>
      <w:r w:rsidRPr="002E6AFC">
        <w:rPr>
          <w:rFonts w:cs="Open Sans"/>
          <w:color w:val="000000"/>
        </w:rPr>
        <w:lastRenderedPageBreak/>
        <w:t>V:C.</w:t>
      </w:r>
      <w:r w:rsidRPr="002E6AFC">
        <w:rPr>
          <w:rFonts w:cs="Open Sans"/>
          <w:b/>
          <w:bCs/>
        </w:rPr>
        <w:t xml:space="preserve"> </w:t>
      </w:r>
      <w:r w:rsidRPr="002E6AFC">
        <w:rPr>
          <w:rFonts w:cs="Open Sans"/>
        </w:rPr>
        <w:t xml:space="preserve">Pelo teste de identidade de curvas, observou-se que somente os tratamentos </w:t>
      </w:r>
      <w:r w:rsidRPr="002E6AFC">
        <w:rPr>
          <w:rFonts w:cs="Open Sans"/>
          <w:color w:val="000000"/>
        </w:rPr>
        <w:t>OUUcuu1R100_0 e OUUcuu2R100_0; OUUcuu1R33_67 e OUUcuu2R33_67 foram idênticos entre si, diferindo dos demais tratamentos.</w:t>
      </w:r>
      <w:r w:rsidRPr="002E6A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21BD0DE" w14:textId="41C03227" w:rsidR="00AF7AA2" w:rsidRPr="002E6AFC" w:rsidRDefault="00AF7AA2" w:rsidP="00AF7AA2">
      <w:pPr>
        <w:tabs>
          <w:tab w:val="left" w:pos="540"/>
        </w:tabs>
        <w:spacing w:after="0"/>
        <w:ind w:right="-1" w:firstLine="0"/>
        <w:rPr>
          <w:rFonts w:cs="Arial"/>
          <w:color w:val="000000" w:themeColor="text1"/>
        </w:rPr>
      </w:pPr>
      <w:r w:rsidRPr="002E6AFC">
        <w:rPr>
          <w:rFonts w:cs="Arial"/>
          <w:b/>
          <w:bCs/>
          <w:color w:val="000000" w:themeColor="text1"/>
        </w:rPr>
        <w:t xml:space="preserve">Tabela 3 </w:t>
      </w:r>
      <w:r w:rsidRPr="002E6AFC">
        <w:rPr>
          <w:rFonts w:cs="Arial"/>
          <w:color w:val="000000" w:themeColor="text1"/>
        </w:rPr>
        <w:t>- Equações da produção acumulativa de gases (PCG), em mL/g de MS de dietas com adição crescente de concentrado.</w:t>
      </w:r>
    </w:p>
    <w:tbl>
      <w:tblPr>
        <w:tblW w:w="90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6083"/>
        <w:gridCol w:w="621"/>
        <w:gridCol w:w="617"/>
      </w:tblGrid>
      <w:tr w:rsidR="00AF7AA2" w:rsidRPr="002E6AFC" w14:paraId="0A3A5AA4" w14:textId="77777777" w:rsidTr="00AF7AA2">
        <w:trPr>
          <w:trHeight w:val="2"/>
          <w:jc w:val="center"/>
        </w:trPr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8D873" w14:textId="362BDD86" w:rsidR="00AF7AA2" w:rsidRPr="002E6AFC" w:rsidRDefault="00AF7AA2" w:rsidP="00AF7AA2">
            <w:pPr>
              <w:spacing w:after="0"/>
              <w:ind w:left="-540" w:right="-15" w:firstLine="54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</w:rPr>
              <w:t>Tratamentos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0491AA" w14:textId="68F96DB1" w:rsidR="00AF7AA2" w:rsidRPr="002E6AFC" w:rsidRDefault="00AF7AA2" w:rsidP="00AF7AA2">
            <w:pPr>
              <w:spacing w:after="0"/>
              <w:ind w:left="-540" w:right="-15" w:hanging="9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</w:rPr>
              <w:t>Equações (Modelo de France)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54F117" w14:textId="77777777" w:rsidR="00AF7AA2" w:rsidRPr="002E6AFC" w:rsidRDefault="00AF7AA2" w:rsidP="00A721CA">
            <w:pPr>
              <w:spacing w:after="0"/>
              <w:ind w:left="-540" w:right="-15" w:hanging="90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1BA07" w14:textId="77777777" w:rsidR="00AF7AA2" w:rsidRPr="002E6AFC" w:rsidRDefault="00AF7AA2" w:rsidP="00A721CA">
            <w:pPr>
              <w:spacing w:after="0"/>
              <w:ind w:left="24" w:right="161" w:hanging="3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</w:rPr>
              <w:t>  R</w:t>
            </w:r>
            <w:r w:rsidRPr="002E6AFC">
              <w:rPr>
                <w:rFonts w:cs="Arial"/>
                <w:b/>
                <w:bCs/>
                <w:vertAlign w:val="superscript"/>
              </w:rPr>
              <w:t>2</w:t>
            </w:r>
            <w:r w:rsidRPr="002E6AFC">
              <w:rPr>
                <w:rFonts w:cs="Arial"/>
                <w:b/>
                <w:bCs/>
              </w:rPr>
              <w:t> </w:t>
            </w:r>
          </w:p>
        </w:tc>
      </w:tr>
      <w:tr w:rsidR="00AF7AA2" w:rsidRPr="002E6AFC" w14:paraId="33EB9E06" w14:textId="77777777" w:rsidTr="00AF7AA2">
        <w:trPr>
          <w:jc w:val="center"/>
        </w:trPr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B3EC9D" w14:textId="4BDE3E1D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OUUcuu0R100_0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89353A" w14:textId="23FCE726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186,9000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0,0550) x (t –1,4667) – (-0,0716) x (√ t – √1,4667)]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CBC503" w14:textId="77777777" w:rsidR="00AF7AA2" w:rsidRPr="002E6AFC" w:rsidRDefault="00AF7AA2" w:rsidP="00AF7AA2">
            <w:pPr>
              <w:spacing w:after="0"/>
              <w:ind w:right="165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a F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520737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99,45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4B85994C" w14:textId="77777777" w:rsidTr="00AF7AA2">
        <w:trPr>
          <w:trHeight w:val="1"/>
          <w:jc w:val="center"/>
        </w:trPr>
        <w:tc>
          <w:tcPr>
            <w:tcW w:w="1721" w:type="dxa"/>
            <w:vAlign w:val="center"/>
            <w:hideMark/>
          </w:tcPr>
          <w:p w14:paraId="711A2C3C" w14:textId="2801AF9C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OUUcuu1R100_0</w:t>
            </w:r>
          </w:p>
        </w:tc>
        <w:tc>
          <w:tcPr>
            <w:tcW w:w="6083" w:type="dxa"/>
            <w:hideMark/>
          </w:tcPr>
          <w:p w14:paraId="141FF4C2" w14:textId="7F7E6DB1" w:rsidR="00AF7AA2" w:rsidRPr="002E6AFC" w:rsidRDefault="00AF7AA2" w:rsidP="00A721CA">
            <w:pPr>
              <w:spacing w:after="0"/>
              <w:ind w:hanging="10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121,1000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0,0859) x (t 1,2924) – (-0,1101) x (√ t – √1,2924)]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28FD6CCD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J</w:t>
            </w:r>
          </w:p>
        </w:tc>
        <w:tc>
          <w:tcPr>
            <w:tcW w:w="617" w:type="dxa"/>
            <w:hideMark/>
          </w:tcPr>
          <w:p w14:paraId="1D43C267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97,43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1CBFD580" w14:textId="77777777" w:rsidTr="00AF7AA2">
        <w:trPr>
          <w:trHeight w:val="266"/>
          <w:jc w:val="center"/>
        </w:trPr>
        <w:tc>
          <w:tcPr>
            <w:tcW w:w="1721" w:type="dxa"/>
            <w:vAlign w:val="center"/>
            <w:hideMark/>
          </w:tcPr>
          <w:p w14:paraId="5F56D512" w14:textId="63BABBAD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OUUcuu2R100_0</w:t>
            </w:r>
          </w:p>
        </w:tc>
        <w:tc>
          <w:tcPr>
            <w:tcW w:w="6083" w:type="dxa"/>
            <w:hideMark/>
          </w:tcPr>
          <w:p w14:paraId="2138F2ED" w14:textId="19E00C67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114,9000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0,0890) x (t –1,5238) – (-0,1198) x (√ t – √1,5238)]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20CC2A58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J</w:t>
            </w:r>
          </w:p>
        </w:tc>
        <w:tc>
          <w:tcPr>
            <w:tcW w:w="617" w:type="dxa"/>
            <w:hideMark/>
          </w:tcPr>
          <w:p w14:paraId="538126F1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94,05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2BB55378" w14:textId="77777777" w:rsidTr="00AF7AA2">
        <w:trPr>
          <w:trHeight w:val="262"/>
          <w:jc w:val="center"/>
        </w:trPr>
        <w:tc>
          <w:tcPr>
            <w:tcW w:w="1721" w:type="dxa"/>
            <w:vAlign w:val="center"/>
            <w:hideMark/>
          </w:tcPr>
          <w:p w14:paraId="066E6333" w14:textId="0DBECB0B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OUUcuu0R67_33</w:t>
            </w:r>
          </w:p>
        </w:tc>
        <w:tc>
          <w:tcPr>
            <w:tcW w:w="6083" w:type="dxa"/>
            <w:hideMark/>
          </w:tcPr>
          <w:p w14:paraId="53E04AE2" w14:textId="52B6E0A4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208,2000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0,0670) x (t –1,3902) – (-0,0823) x (√ t – √1,3902)]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5EA59226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a C</w:t>
            </w:r>
          </w:p>
        </w:tc>
        <w:tc>
          <w:tcPr>
            <w:tcW w:w="617" w:type="dxa"/>
            <w:hideMark/>
          </w:tcPr>
          <w:p w14:paraId="10E491AD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98,48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4B28ED2D" w14:textId="77777777" w:rsidTr="00AF7AA2">
        <w:trPr>
          <w:trHeight w:val="246"/>
          <w:jc w:val="center"/>
        </w:trPr>
        <w:tc>
          <w:tcPr>
            <w:tcW w:w="1721" w:type="dxa"/>
            <w:vAlign w:val="center"/>
            <w:hideMark/>
          </w:tcPr>
          <w:p w14:paraId="664FF038" w14:textId="6B802DC0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OUUcuu1R67_33</w:t>
            </w:r>
          </w:p>
        </w:tc>
        <w:tc>
          <w:tcPr>
            <w:tcW w:w="6083" w:type="dxa"/>
            <w:hideMark/>
          </w:tcPr>
          <w:p w14:paraId="23BF7514" w14:textId="1E2F0D23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135,0000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0,0964) x (t –1,6919) – (-0,1352) x (√ t – √1,6919)]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02FB46DA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H</w:t>
            </w:r>
          </w:p>
        </w:tc>
        <w:tc>
          <w:tcPr>
            <w:tcW w:w="617" w:type="dxa"/>
            <w:hideMark/>
          </w:tcPr>
          <w:p w14:paraId="7CD9D0B7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97,76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05303ED2" w14:textId="77777777" w:rsidTr="00AF7AA2">
        <w:trPr>
          <w:trHeight w:val="246"/>
          <w:jc w:val="center"/>
        </w:trPr>
        <w:tc>
          <w:tcPr>
            <w:tcW w:w="1721" w:type="dxa"/>
            <w:vAlign w:val="center"/>
            <w:hideMark/>
          </w:tcPr>
          <w:p w14:paraId="7C1FA917" w14:textId="2F6806E7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OUUcuu2R67_33</w:t>
            </w:r>
          </w:p>
        </w:tc>
        <w:tc>
          <w:tcPr>
            <w:tcW w:w="6083" w:type="dxa"/>
            <w:hideMark/>
          </w:tcPr>
          <w:p w14:paraId="65A6DE13" w14:textId="3D8AE2E9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145,9000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0,0920) x (t –2,0897) – (-0,1441) x (√ t – √2,0897)]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4DA26F85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I</w:t>
            </w:r>
          </w:p>
        </w:tc>
        <w:tc>
          <w:tcPr>
            <w:tcW w:w="617" w:type="dxa"/>
            <w:hideMark/>
          </w:tcPr>
          <w:p w14:paraId="6B9D1B61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97,81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47E526EE" w14:textId="77777777" w:rsidTr="00AF7AA2">
        <w:trPr>
          <w:trHeight w:val="262"/>
          <w:jc w:val="center"/>
        </w:trPr>
        <w:tc>
          <w:tcPr>
            <w:tcW w:w="1721" w:type="dxa"/>
            <w:vAlign w:val="center"/>
            <w:hideMark/>
          </w:tcPr>
          <w:p w14:paraId="26E6A507" w14:textId="44DD91FA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OUUcuu0R33_67</w:t>
            </w:r>
          </w:p>
        </w:tc>
        <w:tc>
          <w:tcPr>
            <w:tcW w:w="6083" w:type="dxa"/>
            <w:hideMark/>
          </w:tcPr>
          <w:p w14:paraId="7955D3DB" w14:textId="0D965448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219,6000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0,0757) x (t –2,0494) – (-0,1139) x (√ t – √2,0494)]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6CAD8259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B</w:t>
            </w:r>
          </w:p>
        </w:tc>
        <w:tc>
          <w:tcPr>
            <w:tcW w:w="617" w:type="dxa"/>
            <w:hideMark/>
          </w:tcPr>
          <w:p w14:paraId="576E9208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99,04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3440BB9F" w14:textId="77777777" w:rsidTr="00AF7AA2">
        <w:trPr>
          <w:trHeight w:val="246"/>
          <w:jc w:val="center"/>
        </w:trPr>
        <w:tc>
          <w:tcPr>
            <w:tcW w:w="1721" w:type="dxa"/>
            <w:vAlign w:val="center"/>
            <w:hideMark/>
          </w:tcPr>
          <w:p w14:paraId="3D135320" w14:textId="0335F74B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OUUcuu1R33_67</w:t>
            </w:r>
          </w:p>
        </w:tc>
        <w:tc>
          <w:tcPr>
            <w:tcW w:w="6083" w:type="dxa"/>
            <w:hideMark/>
          </w:tcPr>
          <w:p w14:paraId="2968C439" w14:textId="4078AA58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173,2800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0,0990) x (t –2,3356) – (-0,1610) x (√ t – √2,3356)]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333C9121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G</w:t>
            </w:r>
          </w:p>
        </w:tc>
        <w:tc>
          <w:tcPr>
            <w:tcW w:w="617" w:type="dxa"/>
            <w:hideMark/>
          </w:tcPr>
          <w:p w14:paraId="35987156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95,74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6BEC0580" w14:textId="77777777" w:rsidTr="00AF7AA2">
        <w:trPr>
          <w:trHeight w:val="246"/>
          <w:jc w:val="center"/>
        </w:trPr>
        <w:tc>
          <w:tcPr>
            <w:tcW w:w="1721" w:type="dxa"/>
            <w:vAlign w:val="center"/>
            <w:hideMark/>
          </w:tcPr>
          <w:p w14:paraId="326A9243" w14:textId="485CB90F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OUUcuu2R33_67</w:t>
            </w:r>
          </w:p>
        </w:tc>
        <w:tc>
          <w:tcPr>
            <w:tcW w:w="6083" w:type="dxa"/>
            <w:hideMark/>
          </w:tcPr>
          <w:p w14:paraId="3D79E377" w14:textId="5CD7631E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169,2000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0,0967) x (t –2,2826) – (-0,1549) x (√ t – √2,2826)]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08181EE1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G</w:t>
            </w:r>
          </w:p>
        </w:tc>
        <w:tc>
          <w:tcPr>
            <w:tcW w:w="617" w:type="dxa"/>
            <w:hideMark/>
          </w:tcPr>
          <w:p w14:paraId="20655EA1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99,30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3CCFC202" w14:textId="77777777" w:rsidTr="00AF7AA2">
        <w:trPr>
          <w:trHeight w:val="262"/>
          <w:jc w:val="center"/>
        </w:trPr>
        <w:tc>
          <w:tcPr>
            <w:tcW w:w="1721" w:type="dxa"/>
            <w:vAlign w:val="center"/>
            <w:hideMark/>
          </w:tcPr>
          <w:p w14:paraId="589BF67C" w14:textId="283452DD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OUUcuu0R0_100</w:t>
            </w:r>
          </w:p>
        </w:tc>
        <w:tc>
          <w:tcPr>
            <w:tcW w:w="6083" w:type="dxa"/>
            <w:hideMark/>
          </w:tcPr>
          <w:p w14:paraId="724BDDF8" w14:textId="4C1B3BEA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225,8000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0,0826) x (t –2,3701) – (-0,1327) x (√ t – √2,3701)]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638F54A6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A</w:t>
            </w:r>
          </w:p>
        </w:tc>
        <w:tc>
          <w:tcPr>
            <w:tcW w:w="617" w:type="dxa"/>
            <w:hideMark/>
          </w:tcPr>
          <w:p w14:paraId="0CAF5154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98,81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2567518D" w14:textId="77777777" w:rsidTr="00AF7AA2">
        <w:trPr>
          <w:trHeight w:val="246"/>
          <w:jc w:val="center"/>
        </w:trPr>
        <w:tc>
          <w:tcPr>
            <w:tcW w:w="1721" w:type="dxa"/>
            <w:vAlign w:val="center"/>
            <w:hideMark/>
          </w:tcPr>
          <w:p w14:paraId="09528CF0" w14:textId="7A5BADAA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OUUcuu1R0_100</w:t>
            </w:r>
          </w:p>
        </w:tc>
        <w:tc>
          <w:tcPr>
            <w:tcW w:w="6083" w:type="dxa"/>
            <w:hideMark/>
          </w:tcPr>
          <w:p w14:paraId="3EF58E3B" w14:textId="7A7DDD46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192,7000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0,0923) x (t –2,2688) – (-0,1459) x (√ t – √2,2688)]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hideMark/>
          </w:tcPr>
          <w:p w14:paraId="6D5E4C5E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D</w:t>
            </w:r>
          </w:p>
        </w:tc>
        <w:tc>
          <w:tcPr>
            <w:tcW w:w="617" w:type="dxa"/>
            <w:hideMark/>
          </w:tcPr>
          <w:p w14:paraId="55A4914E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95,41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  <w:tr w:rsidR="00AF7AA2" w:rsidRPr="002E6AFC" w14:paraId="44A114BB" w14:textId="77777777" w:rsidTr="00642635">
        <w:trPr>
          <w:trHeight w:val="77"/>
          <w:jc w:val="center"/>
        </w:trPr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05D80" w14:textId="2A225A9B" w:rsidR="00AF7AA2" w:rsidRPr="002E6AFC" w:rsidRDefault="00AF7AA2" w:rsidP="00AF7AA2">
            <w:pPr>
              <w:spacing w:after="0"/>
              <w:ind w:firstLine="0"/>
              <w:jc w:val="center"/>
              <w:textAlignment w:val="baseline"/>
              <w:rPr>
                <w:rFonts w:cs="Arial"/>
                <w:b/>
                <w:bCs/>
              </w:rPr>
            </w:pPr>
            <w:r w:rsidRPr="002E6AFC">
              <w:rPr>
                <w:rFonts w:cs="Arial"/>
                <w:b/>
                <w:bCs/>
                <w:color w:val="000000"/>
              </w:rPr>
              <w:t>OUUcuu2R0_100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FFB1B9" w14:textId="6C33FB37" w:rsidR="00AF7AA2" w:rsidRPr="002E6AFC" w:rsidRDefault="00AF7AA2" w:rsidP="00A721CA">
            <w:pPr>
              <w:spacing w:after="0"/>
              <w:ind w:hanging="36"/>
              <w:jc w:val="center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fr-FR"/>
              </w:rPr>
              <w:t xml:space="preserve">Y = 182,0000 x {1 – </w:t>
            </w:r>
            <w:proofErr w:type="spellStart"/>
            <w:r w:rsidRPr="002E6AFC">
              <w:rPr>
                <w:rFonts w:cs="Arial"/>
                <w:color w:val="000000"/>
                <w:lang w:val="fr-FR"/>
              </w:rPr>
              <w:t>exp</w:t>
            </w:r>
            <w:proofErr w:type="spellEnd"/>
            <w:r w:rsidRPr="002E6AFC">
              <w:rPr>
                <w:rFonts w:cs="Arial"/>
                <w:color w:val="000000"/>
                <w:lang w:val="fr-FR"/>
              </w:rPr>
              <w:t xml:space="preserve"> </w:t>
            </w:r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[</w:t>
            </w:r>
            <w:proofErr w:type="gramStart"/>
            <w:r w:rsidR="007F5261" w:rsidRPr="002E6AFC">
              <w:rPr>
                <w:rFonts w:cs="Arial"/>
                <w:color w:val="000000"/>
                <w:vertAlign w:val="superscript"/>
                <w:lang w:val="fr-FR"/>
              </w:rPr>
              <w:t>–</w:t>
            </w:r>
            <w:r w:rsidRPr="002E6AFC">
              <w:rPr>
                <w:rFonts w:cs="Arial"/>
                <w:color w:val="000000"/>
                <w:vertAlign w:val="superscript"/>
                <w:lang w:val="fr-FR"/>
              </w:rPr>
              <w:t>(</w:t>
            </w:r>
            <w:proofErr w:type="gramEnd"/>
            <w:r w:rsidRPr="002E6AFC">
              <w:rPr>
                <w:rFonts w:cs="Arial"/>
                <w:color w:val="000000"/>
                <w:vertAlign w:val="superscript"/>
                <w:lang w:val="fr-FR"/>
              </w:rPr>
              <w:t>0,0950) x (t –2,2995) – (-0,1486) x (√ t – √2,2995)]</w:t>
            </w:r>
            <w:r w:rsidRPr="002E6AFC">
              <w:rPr>
                <w:rFonts w:cs="Arial"/>
                <w:color w:val="000000"/>
                <w:lang w:val="fr-FR"/>
              </w:rPr>
              <w:t>}</w:t>
            </w:r>
            <w:r w:rsidRPr="002E6AFC">
              <w:rPr>
                <w:rFonts w:cs="Arial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1BEDA" w14:textId="77777777" w:rsidR="00AF7AA2" w:rsidRPr="002E6AFC" w:rsidRDefault="00AF7AA2" w:rsidP="00AF7AA2">
            <w:pPr>
              <w:spacing w:after="0"/>
              <w:ind w:right="-270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b 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139754" w14:textId="77777777" w:rsidR="00AF7AA2" w:rsidRPr="002E6AFC" w:rsidRDefault="00AF7AA2" w:rsidP="00AF7AA2">
            <w:pPr>
              <w:spacing w:after="0"/>
              <w:ind w:right="19" w:firstLine="0"/>
              <w:textAlignment w:val="baseline"/>
              <w:rPr>
                <w:rFonts w:cs="Arial"/>
              </w:rPr>
            </w:pPr>
            <w:r w:rsidRPr="002E6AFC">
              <w:rPr>
                <w:rFonts w:cs="Arial"/>
                <w:color w:val="000000"/>
                <w:lang w:val="pt-PT"/>
              </w:rPr>
              <w:t>97,43</w:t>
            </w:r>
            <w:r w:rsidRPr="002E6AFC">
              <w:rPr>
                <w:rFonts w:cs="Arial"/>
                <w:color w:val="000000"/>
              </w:rPr>
              <w:t> </w:t>
            </w:r>
          </w:p>
        </w:tc>
      </w:tr>
    </w:tbl>
    <w:p w14:paraId="7552EE40" w14:textId="44261EDC" w:rsidR="00642635" w:rsidRDefault="00642635" w:rsidP="00642635">
      <w:pPr>
        <w:spacing w:before="0"/>
        <w:ind w:firstLine="0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E</w:t>
      </w:r>
      <w:r w:rsidR="00AF7AA2" w:rsidRPr="00642635">
        <w:rPr>
          <w:rFonts w:cs="Arial"/>
          <w:color w:val="000000" w:themeColor="text1"/>
          <w:sz w:val="18"/>
          <w:szCs w:val="18"/>
        </w:rPr>
        <w:t>quações acompanhadas por letras minúsculas iguais na mesma coluna são paralelas pelo teste de paralelismo de curvas a 5% de probabilidade (F</w:t>
      </w:r>
      <w:r>
        <w:rPr>
          <w:rFonts w:cs="Arial"/>
          <w:color w:val="000000" w:themeColor="text1"/>
          <w:sz w:val="18"/>
          <w:szCs w:val="18"/>
        </w:rPr>
        <w:t>REEZE</w:t>
      </w:r>
      <w:r w:rsidR="00AF7AA2" w:rsidRPr="00642635">
        <w:rPr>
          <w:rFonts w:cs="Arial"/>
          <w:color w:val="000000" w:themeColor="text1"/>
          <w:sz w:val="18"/>
          <w:szCs w:val="18"/>
        </w:rPr>
        <w:t>, 1970). Equações acompanhadas por letras maiúsculas iguais na mesma coluna são idênticas pelo teste de identidade de curvas a 5% de probabilidade (R</w:t>
      </w:r>
      <w:r w:rsidR="0081148F">
        <w:rPr>
          <w:rFonts w:cs="Arial"/>
          <w:color w:val="000000" w:themeColor="text1"/>
          <w:sz w:val="18"/>
          <w:szCs w:val="18"/>
        </w:rPr>
        <w:t>EGAZZI et al.,</w:t>
      </w:r>
      <w:r w:rsidR="00AF7AA2" w:rsidRPr="00642635">
        <w:rPr>
          <w:rFonts w:cs="Arial"/>
          <w:color w:val="000000" w:themeColor="text1"/>
          <w:sz w:val="18"/>
          <w:szCs w:val="18"/>
        </w:rPr>
        <w:t xml:space="preserve"> 2004).</w:t>
      </w:r>
    </w:p>
    <w:p w14:paraId="3BCD21A1" w14:textId="13321BDC" w:rsidR="00642635" w:rsidRPr="002E6AFC" w:rsidRDefault="00642635" w:rsidP="00642635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 xml:space="preserve">As curvas de produção cumulativa de gases (figura 1) para as médias sem OU e com 1 e 2% de OU apresentaram diferença a partir de 6 horas de incubação, com distanciamento da curva média sem OU das demais curvas. O pico de produção de gases ocorreu aproximadamente no tempo de incubação 72 horas para </w:t>
      </w:r>
      <w:r w:rsidR="004F4186" w:rsidRPr="002E6AFC">
        <w:rPr>
          <w:rFonts w:ascii="Century Gothic" w:hAnsi="Century Gothic" w:cs="Open Sans"/>
          <w:sz w:val="20"/>
          <w:szCs w:val="20"/>
        </w:rPr>
        <w:t>ambas as médias</w:t>
      </w:r>
      <w:r w:rsidRPr="002E6AFC">
        <w:rPr>
          <w:rFonts w:ascii="Century Gothic" w:hAnsi="Century Gothic" w:cs="Open Sans"/>
          <w:sz w:val="20"/>
          <w:szCs w:val="20"/>
        </w:rPr>
        <w:t>. A produção cumulativa de gases (figura 2), aumentou conforme elevou-se a proporção de concentrado nas dietas, devido à alta degradação do amido da dieta em relação às dietas mais fibrosas.</w:t>
      </w:r>
    </w:p>
    <w:p w14:paraId="41BBEE1F" w14:textId="77777777" w:rsidR="005777EF" w:rsidRDefault="005777EF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</w:p>
    <w:p w14:paraId="511C25F3" w14:textId="77777777" w:rsidR="00B10DF0" w:rsidRPr="002E6AFC" w:rsidRDefault="00B10DF0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  <w:sectPr w:rsidR="00B10DF0" w:rsidRPr="002E6AFC" w:rsidSect="008B7460">
          <w:headerReference w:type="default" r:id="rId12"/>
          <w:footerReference w:type="default" r:id="rId13"/>
          <w:headerReference w:type="first" r:id="rId14"/>
          <w:pgSz w:w="11907" w:h="16840"/>
          <w:pgMar w:top="1440" w:right="1417" w:bottom="1440" w:left="1418" w:header="720" w:footer="720" w:gutter="0"/>
          <w:pgNumType w:start="1"/>
          <w:cols w:space="720"/>
          <w:docGrid w:linePitch="272"/>
        </w:sectPr>
      </w:pPr>
    </w:p>
    <w:p w14:paraId="5F977ACB" w14:textId="71E5757E" w:rsidR="00910786" w:rsidRPr="002E6AFC" w:rsidRDefault="00910786" w:rsidP="009B50EC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noProof/>
          <w:sz w:val="20"/>
          <w:szCs w:val="20"/>
        </w:rPr>
        <w:drawing>
          <wp:inline distT="0" distB="0" distL="0" distR="0" wp14:anchorId="24C5F889" wp14:editId="627EE4DD">
            <wp:extent cx="2842260" cy="1767840"/>
            <wp:effectExtent l="0" t="0" r="15240" b="3810"/>
            <wp:docPr id="88105957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15185B3-5E06-464D-AC38-CE2FB4E4BD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90764">
        <w:rPr>
          <w:rFonts w:ascii="Century Gothic" w:hAnsi="Century Gothic" w:cs="Open Sans"/>
          <w:b/>
          <w:bCs/>
          <w:sz w:val="18"/>
          <w:szCs w:val="18"/>
        </w:rPr>
        <w:t>Figura 1.</w:t>
      </w:r>
      <w:r w:rsidRPr="00E90764">
        <w:rPr>
          <w:rFonts w:ascii="Century Gothic" w:hAnsi="Century Gothic" w:cs="Open Sans"/>
          <w:sz w:val="18"/>
          <w:szCs w:val="18"/>
        </w:rPr>
        <w:t xml:space="preserve"> Curva da produção cumulativa de gases em função dos tempos de incubação em diferentes níveis de inclusão de óleo essencial ucuuba</w:t>
      </w:r>
      <w:r w:rsidR="0081148F">
        <w:rPr>
          <w:rFonts w:ascii="Century Gothic" w:hAnsi="Century Gothic" w:cs="Open Sans"/>
          <w:sz w:val="18"/>
          <w:szCs w:val="18"/>
        </w:rPr>
        <w:t>.</w:t>
      </w:r>
    </w:p>
    <w:p w14:paraId="539AD34E" w14:textId="77777777" w:rsidR="00910786" w:rsidRPr="002E6AFC" w:rsidRDefault="00910786" w:rsidP="009B50EC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noProof/>
          <w:sz w:val="20"/>
          <w:szCs w:val="20"/>
        </w:rPr>
        <w:drawing>
          <wp:inline distT="0" distB="0" distL="0" distR="0" wp14:anchorId="789FB972" wp14:editId="54B74804">
            <wp:extent cx="2720340" cy="1722120"/>
            <wp:effectExtent l="0" t="0" r="3810" b="11430"/>
            <wp:docPr id="40592301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BD9DAEF-4BC4-4E24-9BE5-1127F7528D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2E6AFC">
        <w:rPr>
          <w:rFonts w:ascii="Century Gothic" w:hAnsi="Century Gothic" w:cs="Open Sans"/>
          <w:sz w:val="20"/>
          <w:szCs w:val="20"/>
        </w:rPr>
        <w:br/>
      </w:r>
      <w:r w:rsidRPr="00E90764">
        <w:rPr>
          <w:rFonts w:ascii="Century Gothic" w:hAnsi="Century Gothic" w:cs="Open Sans"/>
          <w:b/>
          <w:bCs/>
          <w:sz w:val="18"/>
          <w:szCs w:val="18"/>
        </w:rPr>
        <w:t>Figura 2.</w:t>
      </w:r>
      <w:r w:rsidRPr="00E90764">
        <w:rPr>
          <w:rFonts w:ascii="Century Gothic" w:hAnsi="Century Gothic" w:cs="Open Sans"/>
          <w:sz w:val="18"/>
          <w:szCs w:val="18"/>
        </w:rPr>
        <w:t xml:space="preserve"> Curva da produção cumulativa de gases em função dos tempos de incubação em diferentes dietas contendo diferentes relações volumoso: concentrado.</w:t>
      </w:r>
    </w:p>
    <w:p w14:paraId="1DAB1DA4" w14:textId="77777777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  <w:sectPr w:rsidR="00910786" w:rsidRPr="002E6AFC" w:rsidSect="0060723D">
          <w:type w:val="continuous"/>
          <w:pgSz w:w="11907" w:h="16840"/>
          <w:pgMar w:top="1440" w:right="1417" w:bottom="1440" w:left="1418" w:header="720" w:footer="720" w:gutter="0"/>
          <w:pgNumType w:start="1"/>
          <w:cols w:num="2" w:space="720"/>
        </w:sectPr>
      </w:pPr>
    </w:p>
    <w:p w14:paraId="764F02D6" w14:textId="77777777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</w:p>
    <w:p w14:paraId="02CCC8CD" w14:textId="35EFA967" w:rsidR="00AE5FA0" w:rsidRPr="002E6AFC" w:rsidRDefault="005777EF" w:rsidP="00546684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 xml:space="preserve">Para a 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degradabilidade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 xml:space="preserve"> da matéria seca (DMS) e orgânica (DMO) </w:t>
      </w:r>
      <w:r w:rsidR="001F0D4B">
        <w:rPr>
          <w:rFonts w:ascii="Century Gothic" w:hAnsi="Century Gothic" w:cs="Open Sans"/>
          <w:sz w:val="20"/>
          <w:szCs w:val="20"/>
        </w:rPr>
        <w:t>foi verificado</w:t>
      </w:r>
      <w:r w:rsidRPr="002E6AFC">
        <w:rPr>
          <w:rFonts w:ascii="Century Gothic" w:hAnsi="Century Gothic" w:cs="Open Sans"/>
          <w:sz w:val="20"/>
          <w:szCs w:val="20"/>
        </w:rPr>
        <w:t xml:space="preserve"> interações entre as dietas e os níveis de inclusão de </w:t>
      </w:r>
      <w:r w:rsidR="00AE5FA0" w:rsidRPr="002E6AFC">
        <w:rPr>
          <w:rFonts w:ascii="Century Gothic" w:hAnsi="Century Gothic" w:cs="Open Sans"/>
          <w:sz w:val="20"/>
          <w:szCs w:val="20"/>
        </w:rPr>
        <w:t>OU</w:t>
      </w:r>
      <w:r w:rsidR="001F0D4B">
        <w:rPr>
          <w:rFonts w:ascii="Century Gothic" w:hAnsi="Century Gothic" w:cs="Open Sans"/>
          <w:sz w:val="20"/>
          <w:szCs w:val="20"/>
        </w:rPr>
        <w:t xml:space="preserve"> (V:C X OU)</w:t>
      </w:r>
      <w:r w:rsidR="00AE5FA0" w:rsidRPr="002E6AFC">
        <w:rPr>
          <w:rFonts w:ascii="Century Gothic" w:hAnsi="Century Gothic" w:cs="Open Sans"/>
          <w:sz w:val="20"/>
          <w:szCs w:val="20"/>
        </w:rPr>
        <w:t xml:space="preserve"> após</w:t>
      </w:r>
      <w:r w:rsidRPr="002E6AFC">
        <w:rPr>
          <w:rFonts w:ascii="Century Gothic" w:hAnsi="Century Gothic" w:cs="Open Sans"/>
          <w:sz w:val="20"/>
          <w:szCs w:val="20"/>
        </w:rPr>
        <w:t xml:space="preserve"> às 96 horas de incubação. Onde observou-se redução significativa na DMO com a adição de 1 e 2% da MS de OU em todas as dietas em relação aos tratamentos sem OU. No entanto, essa redução na DMO acentuou-se os devido às com maiores proporções de volumoso, onde todas às médias diferiram entre </w:t>
      </w:r>
      <w:r w:rsidR="004F4186" w:rsidRPr="002E6AFC">
        <w:rPr>
          <w:rFonts w:ascii="Century Gothic" w:hAnsi="Century Gothic" w:cs="Open Sans"/>
          <w:sz w:val="20"/>
          <w:szCs w:val="20"/>
        </w:rPr>
        <w:t>si</w:t>
      </w:r>
      <w:r w:rsidR="004F4186">
        <w:rPr>
          <w:rFonts w:ascii="Century Gothic" w:hAnsi="Century Gothic" w:cs="Open Sans"/>
          <w:sz w:val="20"/>
          <w:szCs w:val="20"/>
        </w:rPr>
        <w:t xml:space="preserve"> (</w:t>
      </w:r>
      <w:r w:rsidR="00AE5FA0">
        <w:rPr>
          <w:rFonts w:ascii="Century Gothic" w:hAnsi="Century Gothic" w:cs="Open Sans"/>
          <w:sz w:val="20"/>
          <w:szCs w:val="20"/>
        </w:rPr>
        <w:t xml:space="preserve">Tabela </w:t>
      </w:r>
      <w:r w:rsidR="0081148F">
        <w:rPr>
          <w:rFonts w:ascii="Century Gothic" w:hAnsi="Century Gothic" w:cs="Open Sans"/>
          <w:sz w:val="20"/>
          <w:szCs w:val="20"/>
        </w:rPr>
        <w:t>4</w:t>
      </w:r>
      <w:r w:rsidR="0081148F" w:rsidRPr="002E6AFC">
        <w:rPr>
          <w:rFonts w:ascii="Century Gothic" w:hAnsi="Century Gothic" w:cs="Open Sans"/>
          <w:sz w:val="20"/>
          <w:szCs w:val="20"/>
        </w:rPr>
        <w:t>)</w:t>
      </w:r>
      <w:r w:rsidR="0081148F">
        <w:rPr>
          <w:rFonts w:ascii="Century Gothic" w:hAnsi="Century Gothic" w:cs="Open Sans"/>
          <w:sz w:val="20"/>
          <w:szCs w:val="20"/>
        </w:rPr>
        <w:t>.</w:t>
      </w:r>
    </w:p>
    <w:p w14:paraId="7A61FD97" w14:textId="15EDDE9A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b/>
          <w:bCs/>
          <w:sz w:val="20"/>
          <w:szCs w:val="20"/>
        </w:rPr>
        <w:t xml:space="preserve">Tabela 4 - </w:t>
      </w:r>
      <w:r w:rsidRPr="002E6AFC">
        <w:rPr>
          <w:rFonts w:ascii="Century Gothic" w:hAnsi="Century Gothic" w:cs="Open Sans"/>
          <w:sz w:val="20"/>
          <w:szCs w:val="20"/>
        </w:rPr>
        <w:t xml:space="preserve">Degradabilidade de matéria seca (DMS), </w:t>
      </w:r>
      <w:proofErr w:type="spellStart"/>
      <w:r w:rsidRPr="002E6AFC">
        <w:rPr>
          <w:rFonts w:ascii="Century Gothic" w:hAnsi="Century Gothic" w:cs="Open Sans"/>
          <w:sz w:val="20"/>
          <w:szCs w:val="20"/>
        </w:rPr>
        <w:t>degradabilidade</w:t>
      </w:r>
      <w:proofErr w:type="spellEnd"/>
      <w:r w:rsidRPr="002E6AFC">
        <w:rPr>
          <w:rFonts w:ascii="Century Gothic" w:hAnsi="Century Gothic" w:cs="Open Sans"/>
          <w:sz w:val="20"/>
          <w:szCs w:val="20"/>
        </w:rPr>
        <w:t xml:space="preserve"> de matéria </w:t>
      </w:r>
      <w:r w:rsidR="00AE5FA0">
        <w:rPr>
          <w:rFonts w:ascii="Century Gothic" w:hAnsi="Century Gothic" w:cs="Open Sans"/>
          <w:sz w:val="20"/>
          <w:szCs w:val="20"/>
        </w:rPr>
        <w:t>orgânica</w:t>
      </w:r>
      <w:r w:rsidRPr="002E6AFC">
        <w:rPr>
          <w:rFonts w:ascii="Century Gothic" w:hAnsi="Century Gothic" w:cs="Open Sans"/>
          <w:sz w:val="20"/>
          <w:szCs w:val="20"/>
        </w:rPr>
        <w:t xml:space="preserve"> (DMO) e produção de metano em função da interação volumoso:concentrado (V:C) com adição de óleo de ucuuba (OU).</w:t>
      </w: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058"/>
        <w:gridCol w:w="983"/>
        <w:gridCol w:w="1004"/>
        <w:gridCol w:w="1202"/>
        <w:gridCol w:w="908"/>
        <w:gridCol w:w="760"/>
        <w:gridCol w:w="760"/>
        <w:gridCol w:w="761"/>
        <w:gridCol w:w="709"/>
      </w:tblGrid>
      <w:tr w:rsidR="00E54202" w:rsidRPr="002E6AFC" w14:paraId="70F5C655" w14:textId="77777777" w:rsidTr="00AE5FA0">
        <w:trPr>
          <w:trHeight w:val="71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A7EF9" w14:textId="77777777" w:rsidR="00910786" w:rsidRPr="0014098A" w:rsidRDefault="00910786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DMS (%)</w:t>
            </w:r>
          </w:p>
        </w:tc>
      </w:tr>
      <w:tr w:rsidR="00A333DF" w:rsidRPr="002E6AFC" w14:paraId="3E6E97E9" w14:textId="77777777" w:rsidTr="00AE5FA0">
        <w:trPr>
          <w:trHeight w:val="71"/>
          <w:jc w:val="center"/>
        </w:trPr>
        <w:tc>
          <w:tcPr>
            <w:tcW w:w="10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C6ADB5" w14:textId="77777777" w:rsidR="00A333DF" w:rsidRPr="0014098A" w:rsidRDefault="00A333DF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OUcuuba</w:t>
            </w:r>
            <w:proofErr w:type="spellEnd"/>
          </w:p>
        </w:tc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2B1ED" w14:textId="77777777" w:rsidR="00A333DF" w:rsidRPr="0014098A" w:rsidRDefault="00A333DF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V:C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709B48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Médias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1C5E3" w14:textId="77777777" w:rsidR="00A333DF" w:rsidRPr="0014098A" w:rsidRDefault="00A333DF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4118029" w14:textId="77777777" w:rsidR="00A333DF" w:rsidRPr="0014098A" w:rsidRDefault="00A333DF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CV (%)</w:t>
            </w:r>
          </w:p>
        </w:tc>
      </w:tr>
      <w:tr w:rsidR="00A333DF" w:rsidRPr="002E6AFC" w14:paraId="66B6ED5B" w14:textId="77777777" w:rsidTr="00AE5FA0">
        <w:trPr>
          <w:trHeight w:val="519"/>
          <w:jc w:val="center"/>
        </w:trPr>
        <w:tc>
          <w:tcPr>
            <w:tcW w:w="10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69884" w14:textId="77777777" w:rsidR="00A333DF" w:rsidRPr="0014098A" w:rsidRDefault="00A333DF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5D5BE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100_00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5D966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67_33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2162B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33_67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929B1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00_100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813C60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5F6E1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V:C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D04EF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OU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AD348" w14:textId="7EC554DA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V:C x OU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836B1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4202" w:rsidRPr="002E6AFC" w14:paraId="4810D37C" w14:textId="77777777" w:rsidTr="00AE5FA0">
        <w:trPr>
          <w:trHeight w:val="206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C99B9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0%daMS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203A1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75,87 Ac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224E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80,53 Ac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DD37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89,20 Ab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5214A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96,52 Aa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AF729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85,53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A8D39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&lt;0,001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C9E65A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&lt;0,001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6E1C4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&lt;0,001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5FD23B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7,52</w:t>
            </w:r>
          </w:p>
        </w:tc>
      </w:tr>
      <w:tr w:rsidR="00E54202" w:rsidRPr="002E6AFC" w14:paraId="253A39BD" w14:textId="77777777" w:rsidTr="00AE5FA0">
        <w:trPr>
          <w:trHeight w:val="210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E22C6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1%daMS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8E0E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18,31 Bd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8784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35,87 Bc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BE3E9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47,70 Bb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3357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69,12 Ba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7E01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42,75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BB62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6F48A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C0493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C4CEB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1D4DB92D" w14:textId="77777777" w:rsidTr="00AE5FA0">
        <w:trPr>
          <w:trHeight w:val="74"/>
          <w:jc w:val="center"/>
        </w:trPr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5CE9E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2%daMS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45DC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18,09 Bd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DDDE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36,98 Bc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7B00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53,72 Bb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7E737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68,06 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DDC1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44,21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70E6D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53F44A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CF60DF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C4286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78FAFBF0" w14:textId="77777777" w:rsidTr="00AE5FA0">
        <w:trPr>
          <w:trHeight w:val="226"/>
          <w:jc w:val="center"/>
        </w:trPr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5C611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Médias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C686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37,42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DCBF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51,13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5FA4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63,54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F36D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77,9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7565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57,5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7C342" w14:textId="7E8FB39D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A6A6" w14:textId="69EA955A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808D1" w14:textId="67709FB2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723F3" w14:textId="66AB4F1F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4CB16A4D" w14:textId="77777777" w:rsidTr="00AE5FA0">
        <w:trPr>
          <w:trHeight w:val="7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01E2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DMO (%)</w:t>
            </w:r>
          </w:p>
        </w:tc>
      </w:tr>
      <w:tr w:rsidR="00A333DF" w:rsidRPr="002E6AFC" w14:paraId="3E44A239" w14:textId="77777777" w:rsidTr="00AE5FA0">
        <w:trPr>
          <w:trHeight w:val="237"/>
          <w:jc w:val="center"/>
        </w:trPr>
        <w:tc>
          <w:tcPr>
            <w:tcW w:w="10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47E549" w14:textId="77777777" w:rsidR="00A333DF" w:rsidRPr="0014098A" w:rsidRDefault="00A333DF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OUcuuba</w:t>
            </w:r>
            <w:proofErr w:type="spellEnd"/>
          </w:p>
        </w:tc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40F23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V:C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5A7F4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Médias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9073F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917B9EE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CV (%)</w:t>
            </w:r>
          </w:p>
        </w:tc>
      </w:tr>
      <w:tr w:rsidR="00A333DF" w:rsidRPr="002E6AFC" w14:paraId="6AD084C4" w14:textId="77777777" w:rsidTr="00AE5FA0">
        <w:trPr>
          <w:trHeight w:val="188"/>
          <w:jc w:val="center"/>
        </w:trPr>
        <w:tc>
          <w:tcPr>
            <w:tcW w:w="10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0387A" w14:textId="77777777" w:rsidR="00A333DF" w:rsidRPr="0014098A" w:rsidRDefault="00A333DF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37D03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100_00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F83A8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67_33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A73E9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33_67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D8E1B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00_100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218132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61768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V:C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CCC1F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OU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CC3C4" w14:textId="218AF514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V:C x OU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3EFF2E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4202" w:rsidRPr="002E6AFC" w14:paraId="3D6C0A24" w14:textId="77777777" w:rsidTr="00AE5FA0">
        <w:trPr>
          <w:trHeight w:val="7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2332F" w14:textId="77777777" w:rsidR="00910786" w:rsidRPr="0014098A" w:rsidRDefault="00910786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0%daMS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8624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75,95 Ac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0D46B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82,70 Ac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1CF54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91,09 Ab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BCE2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100,60 Aa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00209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87,59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EAEDA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&lt;0,001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B3BF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&lt;0,001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74919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&lt;0,001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2BEE9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8,27</w:t>
            </w:r>
          </w:p>
        </w:tc>
      </w:tr>
      <w:tr w:rsidR="00E54202" w:rsidRPr="002E6AFC" w14:paraId="3ACC8B74" w14:textId="77777777" w:rsidTr="00AE5FA0">
        <w:trPr>
          <w:trHeight w:val="226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DDC6B" w14:textId="77777777" w:rsidR="00910786" w:rsidRPr="0014098A" w:rsidRDefault="00910786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1%daMS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DF0CE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15,46 Bd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BD319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34,27 Bc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E2BC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46,03 Bb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1D53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70,45 Ba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CB49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41,55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2894AB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DC241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224A9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251CBE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0019DEDA" w14:textId="77777777" w:rsidTr="00AE5FA0">
        <w:trPr>
          <w:trHeight w:val="226"/>
          <w:jc w:val="center"/>
        </w:trPr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EAE9E" w14:textId="77777777" w:rsidR="00910786" w:rsidRPr="0014098A" w:rsidRDefault="00910786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2%daMS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DB63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14,98 Bd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36AFE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35,63 Bc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C490C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52,52 Bb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B22BB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70,23 Ba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043D1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43,34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36614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3E84B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7507A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B2DECC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2FD02CD7" w14:textId="77777777" w:rsidTr="00AE5FA0">
        <w:trPr>
          <w:trHeight w:val="71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70125" w14:textId="77777777" w:rsidR="00910786" w:rsidRPr="0014098A" w:rsidRDefault="00910786" w:rsidP="00A721CA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Médias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3F23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35,46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0D0C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50,87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601C4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63,21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E7AC4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80,43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8A4BE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57,49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4EA7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377C1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5D42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86FA7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37D727AD" w14:textId="77777777" w:rsidTr="00AE5FA0">
        <w:trPr>
          <w:trHeight w:val="259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4FF68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Metano (g CH</w:t>
            </w: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 xml:space="preserve"> / kg MOD)</w:t>
            </w:r>
          </w:p>
        </w:tc>
      </w:tr>
      <w:tr w:rsidR="00A333DF" w:rsidRPr="002E6AFC" w14:paraId="5B0EC163" w14:textId="77777777" w:rsidTr="00AE5FA0">
        <w:trPr>
          <w:trHeight w:val="226"/>
          <w:jc w:val="center"/>
        </w:trPr>
        <w:tc>
          <w:tcPr>
            <w:tcW w:w="10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19EB18" w14:textId="77777777" w:rsidR="00A333DF" w:rsidRPr="0014098A" w:rsidRDefault="00A333DF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OUcuuba</w:t>
            </w:r>
            <w:proofErr w:type="spellEnd"/>
          </w:p>
        </w:tc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CC9FF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V:C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BDD9AE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Médias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4E233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0767262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CV (%)</w:t>
            </w:r>
          </w:p>
        </w:tc>
      </w:tr>
      <w:tr w:rsidR="00A333DF" w:rsidRPr="002E6AFC" w14:paraId="3F8999D0" w14:textId="77777777" w:rsidTr="00AE5FA0">
        <w:trPr>
          <w:trHeight w:val="412"/>
          <w:jc w:val="center"/>
        </w:trPr>
        <w:tc>
          <w:tcPr>
            <w:tcW w:w="10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1DDE1D" w14:textId="77777777" w:rsidR="00A333DF" w:rsidRPr="0014098A" w:rsidRDefault="00A333DF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EDA18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100_00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1C993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67_33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ED3CF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33_67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08A02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00_100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0B5873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D18EF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V:C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244B2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OU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EA7D1" w14:textId="263BEB7A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 xml:space="preserve">V:C x </w:t>
            </w:r>
            <w:r w:rsidRPr="0014098A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  <w:t>OU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8BDE4" w14:textId="77777777" w:rsidR="00A333DF" w:rsidRPr="0014098A" w:rsidRDefault="00A333DF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4202" w:rsidRPr="002E6AFC" w14:paraId="0CF760DD" w14:textId="77777777" w:rsidTr="00AE5FA0">
        <w:trPr>
          <w:trHeight w:val="7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E8D11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0%daMS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68A1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50,14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D3235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42,92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BF38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36,98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A0E1B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29,71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C050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39,94 A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1930D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&lt;0,01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2648A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D13438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color w:val="D13438"/>
                <w:sz w:val="20"/>
                <w:szCs w:val="20"/>
              </w:rPr>
              <w:t>&lt;</w:t>
            </w:r>
            <w:r w:rsidRPr="0014098A"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87FF31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0,509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55B46B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9,39</w:t>
            </w:r>
          </w:p>
        </w:tc>
      </w:tr>
      <w:tr w:rsidR="00E54202" w:rsidRPr="002E6AFC" w14:paraId="5CB14387" w14:textId="77777777" w:rsidTr="00AE5FA0">
        <w:trPr>
          <w:trHeight w:val="7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BB8A8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1%daMS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7CB9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49,55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B23EC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36,59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DDF0F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28,98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49D8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24,30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4C5FF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34,86 B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6CC27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6C5E1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D13438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2678E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2B8C4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6E5DA896" w14:textId="77777777" w:rsidTr="00AE5FA0">
        <w:trPr>
          <w:trHeight w:val="74"/>
          <w:jc w:val="center"/>
        </w:trPr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873AD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2%daMS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A8154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49,09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01FF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37,30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67C1B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34,64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3E596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25,02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B73CD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36,51 B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863DD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E333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D13438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EEED1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1C7FBF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  <w:tr w:rsidR="00E54202" w:rsidRPr="002E6AFC" w14:paraId="46D58B8F" w14:textId="77777777" w:rsidTr="00AE5FA0">
        <w:trPr>
          <w:trHeight w:val="71"/>
          <w:jc w:val="center"/>
        </w:trPr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97968" w14:textId="77777777" w:rsidR="00910786" w:rsidRPr="0014098A" w:rsidRDefault="00910786" w:rsidP="00A721CA">
            <w:pPr>
              <w:pStyle w:val="Contedodoquadro"/>
              <w:spacing w:after="0"/>
              <w:jc w:val="both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b/>
                <w:bCs/>
                <w:sz w:val="20"/>
                <w:szCs w:val="20"/>
              </w:rPr>
              <w:t>Médias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3487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49,60 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F2A10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38,94 B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D69D3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33,53 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19E77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  <w:r w:rsidRPr="0014098A">
              <w:rPr>
                <w:rFonts w:ascii="Century Gothic" w:eastAsia="Times New Roman" w:hAnsi="Century Gothic" w:cs="Open Sans"/>
                <w:sz w:val="20"/>
                <w:szCs w:val="20"/>
              </w:rPr>
              <w:t>26,34 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91AC4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49B61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9D1B2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D13438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E845C" w14:textId="77777777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8B071" w14:textId="550741D6" w:rsidR="00910786" w:rsidRPr="0014098A" w:rsidRDefault="00910786" w:rsidP="00A333DF">
            <w:pPr>
              <w:pStyle w:val="Contedodoquadro"/>
              <w:spacing w:after="0"/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</w:rPr>
            </w:pPr>
          </w:p>
        </w:tc>
      </w:tr>
    </w:tbl>
    <w:p w14:paraId="5A4B71D6" w14:textId="61AB01E9" w:rsidR="00910786" w:rsidRPr="00E90764" w:rsidRDefault="00910786" w:rsidP="00B10DF0">
      <w:pPr>
        <w:pStyle w:val="Contedodoquadro"/>
        <w:jc w:val="both"/>
        <w:rPr>
          <w:rFonts w:ascii="Century Gothic" w:hAnsi="Century Gothic" w:cs="Open Sans"/>
          <w:sz w:val="18"/>
          <w:szCs w:val="18"/>
        </w:rPr>
      </w:pPr>
      <w:r w:rsidRPr="00E90764">
        <w:rPr>
          <w:rFonts w:ascii="Century Gothic" w:hAnsi="Century Gothic" w:cs="Open Sans"/>
          <w:color w:val="000000"/>
          <w:sz w:val="18"/>
          <w:szCs w:val="18"/>
        </w:rPr>
        <w:t>MOD</w:t>
      </w:r>
      <w:r w:rsidRPr="00E90764">
        <w:rPr>
          <w:rFonts w:ascii="Century Gothic" w:hAnsi="Century Gothic" w:cs="Open Sans"/>
          <w:sz w:val="18"/>
          <w:szCs w:val="18"/>
        </w:rPr>
        <w:t>= matéria seca digerida; médias seguidas por letras maiúsculas distintas nas colunas e minúsculas nas linhas diferem a (P&lt;0,05), pelo teste de Tukey. V:CxOU= interação óleo de ucuuba x volumoso: concentrado.</w:t>
      </w:r>
    </w:p>
    <w:p w14:paraId="11369254" w14:textId="43B457D8" w:rsidR="008B7460" w:rsidRPr="002E6AFC" w:rsidRDefault="001F0D4B" w:rsidP="001F0D4B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Open Sans"/>
          <w:sz w:val="20"/>
          <w:szCs w:val="20"/>
        </w:rPr>
        <w:t>Q</w:t>
      </w:r>
      <w:r w:rsidRPr="002E6AFC">
        <w:rPr>
          <w:rFonts w:ascii="Century Gothic" w:hAnsi="Century Gothic" w:cs="Open Sans"/>
          <w:sz w:val="20"/>
          <w:szCs w:val="20"/>
        </w:rPr>
        <w:t>uando avaliamos a produção de metano (CH</w:t>
      </w:r>
      <w:r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Pr="002E6AFC">
        <w:rPr>
          <w:rFonts w:ascii="Century Gothic" w:hAnsi="Century Gothic" w:cs="Open Sans"/>
          <w:sz w:val="20"/>
          <w:szCs w:val="20"/>
        </w:rPr>
        <w:t>)</w:t>
      </w:r>
      <w:r w:rsidR="0014098A">
        <w:rPr>
          <w:rFonts w:ascii="Century Gothic" w:hAnsi="Century Gothic" w:cs="Open Sans"/>
          <w:sz w:val="20"/>
          <w:szCs w:val="20"/>
        </w:rPr>
        <w:t>, a</w:t>
      </w:r>
      <w:r w:rsidR="008B7460" w:rsidRPr="002E6AFC">
        <w:rPr>
          <w:rFonts w:ascii="Century Gothic" w:hAnsi="Century Gothic" w:cs="Open Sans"/>
          <w:sz w:val="20"/>
          <w:szCs w:val="20"/>
        </w:rPr>
        <w:t>s dietas com diferentes proporções de volumoso: concentrado e o níveis crescentes de inclusão de óleo de ucuuba não interagiram entre si (p&gt;0,05), No entanto, houve efeito das diferentes dietas sobre a produção de metano (p&lt;0,05), com redução de 10,66, 16,07 e 23,26 g CH</w:t>
      </w:r>
      <w:r w:rsidR="008B7460"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="008B7460" w:rsidRPr="002E6AFC">
        <w:rPr>
          <w:rFonts w:ascii="Century Gothic" w:hAnsi="Century Gothic" w:cs="Open Sans"/>
          <w:sz w:val="20"/>
          <w:szCs w:val="20"/>
        </w:rPr>
        <w:t>/ kg MOD para as dietas com a relação V:C de 67:33, 33:67 e 00:100, respectivamente, em relação à dieta com 100:00.  Os níveis de inclusão de OU nas dietas demostraram efeito significativo na produção de metano (p&lt;0,05), onde observou-se que o nível de inclusão 1% da MS reduziu-se cerca de 5,08 g CH</w:t>
      </w:r>
      <w:r w:rsidR="008B7460"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="008B7460" w:rsidRPr="002E6AFC">
        <w:rPr>
          <w:rFonts w:ascii="Century Gothic" w:hAnsi="Century Gothic" w:cs="Open Sans"/>
          <w:sz w:val="20"/>
          <w:szCs w:val="20"/>
        </w:rPr>
        <w:t xml:space="preserve">/ </w:t>
      </w:r>
      <w:r w:rsidR="008B7460" w:rsidRPr="002E6AFC">
        <w:rPr>
          <w:rFonts w:ascii="Century Gothic" w:hAnsi="Century Gothic" w:cs="Open Sans"/>
          <w:sz w:val="20"/>
          <w:szCs w:val="20"/>
        </w:rPr>
        <w:lastRenderedPageBreak/>
        <w:t>kg MOD, e o nível de 2% da MS cerca de 3,43 g CH</w:t>
      </w:r>
      <w:r w:rsidR="008B7460" w:rsidRPr="002E6AFC">
        <w:rPr>
          <w:rFonts w:ascii="Century Gothic" w:hAnsi="Century Gothic" w:cs="Open Sans"/>
          <w:sz w:val="20"/>
          <w:szCs w:val="20"/>
          <w:vertAlign w:val="subscript"/>
        </w:rPr>
        <w:t>4</w:t>
      </w:r>
      <w:r w:rsidR="008B7460" w:rsidRPr="002E6AFC">
        <w:rPr>
          <w:rFonts w:ascii="Century Gothic" w:hAnsi="Century Gothic" w:cs="Open Sans"/>
          <w:sz w:val="20"/>
          <w:szCs w:val="20"/>
        </w:rPr>
        <w:t xml:space="preserve">/ kg MOD em relação ao não inclusão de óleo na dieta. </w:t>
      </w:r>
    </w:p>
    <w:p w14:paraId="2A6AC12B" w14:textId="4E47F310" w:rsidR="005777EF" w:rsidRPr="008B7460" w:rsidRDefault="00A333DF" w:rsidP="008B7460">
      <w:pPr>
        <w:pStyle w:val="Contedodoquadro"/>
        <w:spacing w:after="0" w:line="360" w:lineRule="auto"/>
        <w:ind w:firstLine="709"/>
        <w:jc w:val="both"/>
        <w:rPr>
          <w:rFonts w:ascii="Century Gothic" w:hAnsi="Century Gothic" w:cs="Open Sans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>Acredita-se que</w:t>
      </w:r>
      <w:r w:rsidRPr="002E6AFC">
        <w:rPr>
          <w:rFonts w:ascii="Century Gothic" w:eastAsia="Arial" w:hAnsi="Century Gothic" w:cs="Open Sans"/>
          <w:sz w:val="20"/>
          <w:szCs w:val="20"/>
        </w:rPr>
        <w:t xml:space="preserve"> OU possam ter aderido à fibra do alimento, impedindo o contato das enzimas bacterianas, reduzindo a degradação da FDN nas dietas mais volumosas</w:t>
      </w:r>
      <w:r w:rsidR="00AF4B2D" w:rsidRPr="002E6AFC">
        <w:rPr>
          <w:rFonts w:ascii="Century Gothic" w:eastAsia="Arial" w:hAnsi="Century Gothic" w:cs="Open Sans"/>
          <w:sz w:val="20"/>
          <w:szCs w:val="20"/>
        </w:rPr>
        <w:t xml:space="preserve">. </w:t>
      </w:r>
      <w:r w:rsidR="00062819" w:rsidRPr="002E6AFC">
        <w:rPr>
          <w:rFonts w:ascii="Century Gothic" w:hAnsi="Century Gothic" w:cs="Open Sans"/>
          <w:sz w:val="20"/>
          <w:szCs w:val="20"/>
        </w:rPr>
        <w:t xml:space="preserve">Segundo </w:t>
      </w:r>
      <w:r w:rsidR="0081148F">
        <w:rPr>
          <w:rFonts w:ascii="Century Gothic" w:hAnsi="Century Gothic" w:cs="Open Sans"/>
          <w:sz w:val="20"/>
          <w:szCs w:val="20"/>
        </w:rPr>
        <w:t>(</w:t>
      </w:r>
      <w:r w:rsidR="00062819" w:rsidRPr="002E6AFC">
        <w:rPr>
          <w:rFonts w:ascii="Century Gothic" w:hAnsi="Century Gothic" w:cs="Open Sans"/>
          <w:sz w:val="20"/>
          <w:szCs w:val="20"/>
        </w:rPr>
        <w:t>S</w:t>
      </w:r>
      <w:r w:rsidR="0081148F">
        <w:rPr>
          <w:rFonts w:ascii="Century Gothic" w:hAnsi="Century Gothic" w:cs="Open Sans"/>
          <w:sz w:val="20"/>
          <w:szCs w:val="20"/>
        </w:rPr>
        <w:t>OUSA</w:t>
      </w:r>
      <w:r w:rsidR="00062819" w:rsidRPr="002E6AFC">
        <w:rPr>
          <w:rFonts w:ascii="Century Gothic" w:hAnsi="Century Gothic" w:cs="Open Sans"/>
          <w:sz w:val="20"/>
          <w:szCs w:val="20"/>
        </w:rPr>
        <w:t xml:space="preserve"> et al., 2021) a adição de fontes lipídicas pode reduz a produção de metano</w:t>
      </w:r>
      <w:r w:rsidRPr="002E6AFC">
        <w:rPr>
          <w:rFonts w:ascii="Century Gothic" w:hAnsi="Century Gothic" w:cs="Open Sans"/>
          <w:sz w:val="20"/>
          <w:szCs w:val="20"/>
        </w:rPr>
        <w:t xml:space="preserve">, </w:t>
      </w:r>
      <w:r w:rsidR="00062819" w:rsidRPr="002E6AFC">
        <w:rPr>
          <w:rFonts w:ascii="Century Gothic" w:hAnsi="Century Gothic" w:cs="Open Sans"/>
          <w:sz w:val="20"/>
          <w:szCs w:val="20"/>
        </w:rPr>
        <w:t>ocorre</w:t>
      </w:r>
      <w:r w:rsidRPr="002E6AFC">
        <w:rPr>
          <w:rFonts w:ascii="Century Gothic" w:hAnsi="Century Gothic" w:cs="Open Sans"/>
          <w:sz w:val="20"/>
          <w:szCs w:val="20"/>
        </w:rPr>
        <w:t>ndo</w:t>
      </w:r>
      <w:r w:rsidR="00062819" w:rsidRPr="002E6AFC">
        <w:rPr>
          <w:rFonts w:ascii="Century Gothic" w:hAnsi="Century Gothic" w:cs="Open Sans"/>
          <w:sz w:val="20"/>
          <w:szCs w:val="20"/>
        </w:rPr>
        <w:t xml:space="preserve"> devido a ação deletéria dos lipídeos insaturados sob as bactérias metanogênicas e protozoários.  </w:t>
      </w:r>
    </w:p>
    <w:p w14:paraId="288E2E9C" w14:textId="77777777" w:rsidR="00536D46" w:rsidRPr="002E6AFC" w:rsidRDefault="00000000" w:rsidP="00B10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40"/>
          <w:szCs w:val="40"/>
        </w:rPr>
      </w:pPr>
      <w:r w:rsidRPr="002E6AFC">
        <w:rPr>
          <w:color w:val="000000"/>
          <w:sz w:val="40"/>
          <w:szCs w:val="40"/>
        </w:rPr>
        <w:t>Considerações Finais</w:t>
      </w:r>
    </w:p>
    <w:p w14:paraId="641DFCA8" w14:textId="4602FEF8" w:rsidR="00910786" w:rsidRPr="002E6AFC" w:rsidRDefault="00910786" w:rsidP="00910786">
      <w:pPr>
        <w:pStyle w:val="Contedodoquadro"/>
        <w:spacing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2E6AFC">
        <w:rPr>
          <w:rFonts w:ascii="Century Gothic" w:hAnsi="Century Gothic" w:cs="Open Sans"/>
          <w:sz w:val="20"/>
          <w:szCs w:val="20"/>
        </w:rPr>
        <w:t xml:space="preserve">A adição do óleo de ucuuba à dieta, nas concentrações de 1 e </w:t>
      </w:r>
      <w:r w:rsidR="007F5261" w:rsidRPr="002E6AFC">
        <w:rPr>
          <w:rFonts w:ascii="Century Gothic" w:hAnsi="Century Gothic" w:cs="Open Sans"/>
          <w:sz w:val="20"/>
          <w:szCs w:val="20"/>
        </w:rPr>
        <w:t xml:space="preserve">2% </w:t>
      </w:r>
      <w:r w:rsidR="007F5261">
        <w:rPr>
          <w:rFonts w:ascii="Century Gothic" w:hAnsi="Century Gothic" w:cs="Open Sans"/>
          <w:sz w:val="20"/>
          <w:szCs w:val="20"/>
        </w:rPr>
        <w:t>reduzem</w:t>
      </w:r>
      <w:r w:rsidR="00704F1D">
        <w:rPr>
          <w:rFonts w:ascii="Century Gothic" w:hAnsi="Century Gothic" w:cs="Open Sans"/>
          <w:sz w:val="20"/>
          <w:szCs w:val="20"/>
        </w:rPr>
        <w:t xml:space="preserve"> </w:t>
      </w:r>
      <w:r w:rsidRPr="002E6AFC">
        <w:rPr>
          <w:rFonts w:ascii="Century Gothic" w:hAnsi="Century Gothic" w:cs="Open Sans"/>
          <w:sz w:val="20"/>
          <w:szCs w:val="20"/>
        </w:rPr>
        <w:t xml:space="preserve">a produção total de gases, matéria </w:t>
      </w:r>
      <w:r w:rsidR="008B7460" w:rsidRPr="002E6AFC">
        <w:rPr>
          <w:rFonts w:ascii="Century Gothic" w:hAnsi="Century Gothic" w:cs="Open Sans"/>
          <w:sz w:val="20"/>
          <w:szCs w:val="20"/>
        </w:rPr>
        <w:t xml:space="preserve">seca </w:t>
      </w:r>
      <w:r w:rsidR="008B7460">
        <w:rPr>
          <w:rFonts w:ascii="Century Gothic" w:hAnsi="Century Gothic" w:cs="Open Sans"/>
          <w:sz w:val="20"/>
          <w:szCs w:val="20"/>
        </w:rPr>
        <w:t>e</w:t>
      </w:r>
      <w:r w:rsidR="00E7754B">
        <w:rPr>
          <w:rFonts w:ascii="Century Gothic" w:hAnsi="Century Gothic" w:cs="Open Sans"/>
          <w:sz w:val="20"/>
          <w:szCs w:val="20"/>
        </w:rPr>
        <w:t xml:space="preserve"> metano </w:t>
      </w:r>
      <w:r w:rsidR="00435942">
        <w:rPr>
          <w:rFonts w:ascii="Century Gothic" w:hAnsi="Century Gothic" w:cs="Open Sans"/>
          <w:sz w:val="20"/>
          <w:szCs w:val="20"/>
        </w:rPr>
        <w:t>nas</w:t>
      </w:r>
      <w:r w:rsidRPr="002E6AFC">
        <w:rPr>
          <w:rFonts w:ascii="Century Gothic" w:hAnsi="Century Gothic" w:cs="Open Sans"/>
          <w:sz w:val="20"/>
          <w:szCs w:val="20"/>
        </w:rPr>
        <w:t xml:space="preserve"> diferentes</w:t>
      </w:r>
      <w:r w:rsidR="00435942">
        <w:rPr>
          <w:rFonts w:ascii="Century Gothic" w:hAnsi="Century Gothic" w:cs="Open Sans"/>
          <w:sz w:val="20"/>
          <w:szCs w:val="20"/>
        </w:rPr>
        <w:t xml:space="preserve"> proporções</w:t>
      </w:r>
      <w:r w:rsidRPr="002E6AFC">
        <w:rPr>
          <w:rFonts w:ascii="Century Gothic" w:hAnsi="Century Gothic" w:cs="Open Sans"/>
          <w:sz w:val="20"/>
          <w:szCs w:val="20"/>
        </w:rPr>
        <w:t xml:space="preserve"> volumoso: concentrado, mas principalmente </w:t>
      </w:r>
      <w:r w:rsidR="00704F1D">
        <w:rPr>
          <w:rFonts w:ascii="Century Gothic" w:hAnsi="Century Gothic" w:cs="Open Sans"/>
          <w:sz w:val="20"/>
          <w:szCs w:val="20"/>
        </w:rPr>
        <w:t>em</w:t>
      </w:r>
      <w:r w:rsidRPr="002E6AFC">
        <w:rPr>
          <w:rFonts w:ascii="Century Gothic" w:hAnsi="Century Gothic" w:cs="Open Sans"/>
          <w:sz w:val="20"/>
          <w:szCs w:val="20"/>
        </w:rPr>
        <w:t xml:space="preserve"> dietas </w:t>
      </w:r>
      <w:r w:rsidR="00435942">
        <w:rPr>
          <w:rFonts w:ascii="Century Gothic" w:hAnsi="Century Gothic" w:cs="Open Sans"/>
          <w:sz w:val="20"/>
          <w:szCs w:val="20"/>
        </w:rPr>
        <w:t xml:space="preserve">com </w:t>
      </w:r>
      <w:r w:rsidR="00435942" w:rsidRPr="002E6AFC">
        <w:rPr>
          <w:rFonts w:ascii="Century Gothic" w:hAnsi="Century Gothic" w:cs="Open Sans"/>
          <w:sz w:val="20"/>
          <w:szCs w:val="20"/>
        </w:rPr>
        <w:t>volumoso</w:t>
      </w:r>
      <w:r w:rsidRPr="002E6AFC">
        <w:rPr>
          <w:rFonts w:ascii="Century Gothic" w:hAnsi="Century Gothic" w:cs="Open Sans"/>
          <w:sz w:val="20"/>
          <w:szCs w:val="20"/>
        </w:rPr>
        <w:t xml:space="preserve"> na composição (100_00; 67_33 e 33_67)</w:t>
      </w:r>
      <w:r w:rsidR="00E7754B">
        <w:rPr>
          <w:rFonts w:ascii="Century Gothic" w:hAnsi="Century Gothic" w:cs="Open Sans"/>
          <w:sz w:val="20"/>
          <w:szCs w:val="20"/>
        </w:rPr>
        <w:t>.</w:t>
      </w:r>
    </w:p>
    <w:p w14:paraId="1B1FDE61" w14:textId="77777777" w:rsidR="00536D46" w:rsidRPr="002E6AFC" w:rsidRDefault="00000000" w:rsidP="00B10D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  <w:rPr>
          <w:color w:val="000000"/>
          <w:sz w:val="40"/>
          <w:szCs w:val="40"/>
        </w:rPr>
      </w:pPr>
      <w:r w:rsidRPr="002E6AFC">
        <w:rPr>
          <w:color w:val="000000"/>
          <w:sz w:val="40"/>
          <w:szCs w:val="40"/>
        </w:rPr>
        <w:t>Referências Bibliográficas</w:t>
      </w:r>
    </w:p>
    <w:p w14:paraId="2328D461" w14:textId="098611FF" w:rsidR="0081148F" w:rsidRDefault="0081148F" w:rsidP="00910786">
      <w:pPr>
        <w:pStyle w:val="Contedodoquadro"/>
        <w:spacing w:after="0"/>
        <w:jc w:val="both"/>
        <w:rPr>
          <w:rFonts w:ascii="Century Gothic" w:hAnsi="Century Gothic"/>
          <w:sz w:val="20"/>
          <w:szCs w:val="20"/>
        </w:rPr>
      </w:pPr>
      <w:bookmarkStart w:id="4" w:name="_Hlk149638670"/>
      <w:r w:rsidRPr="002E6AFC">
        <w:rPr>
          <w:rFonts w:ascii="Century Gothic" w:hAnsi="Century Gothic"/>
          <w:sz w:val="20"/>
          <w:szCs w:val="20"/>
        </w:rPr>
        <w:t>DOI:10.33448/rsd-v10i13.21039. Disponível</w:t>
      </w:r>
      <w:r w:rsidR="007F5261">
        <w:rPr>
          <w:rFonts w:ascii="Century Gothic" w:hAnsi="Century Gothic"/>
          <w:sz w:val="20"/>
          <w:szCs w:val="20"/>
        </w:rPr>
        <w:t xml:space="preserve"> </w:t>
      </w:r>
      <w:r w:rsidRPr="002E6AFC">
        <w:rPr>
          <w:rFonts w:ascii="Century Gothic" w:hAnsi="Century Gothic"/>
          <w:sz w:val="20"/>
          <w:szCs w:val="20"/>
        </w:rPr>
        <w:t xml:space="preserve">em: </w:t>
      </w:r>
      <w:hyperlink r:id="rId17" w:history="1">
        <w:r w:rsidRPr="007B1907">
          <w:rPr>
            <w:rStyle w:val="Hyperlink"/>
            <w:rFonts w:ascii="Century Gothic" w:hAnsi="Century Gothic"/>
            <w:sz w:val="20"/>
            <w:szCs w:val="20"/>
          </w:rPr>
          <w:t>https://rsdjournal.org/index.php/rsd/article/view/21039</w:t>
        </w:r>
      </w:hyperlink>
      <w:r w:rsidRPr="00B10DF0">
        <w:rPr>
          <w:rFonts w:ascii="Century Gothic" w:hAnsi="Century Gothic"/>
          <w:sz w:val="20"/>
          <w:szCs w:val="20"/>
        </w:rPr>
        <w:t>. </w:t>
      </w:r>
      <w:r w:rsidRPr="002E6AFC">
        <w:rPr>
          <w:rFonts w:ascii="Century Gothic" w:hAnsi="Century Gothic"/>
          <w:sz w:val="20"/>
          <w:szCs w:val="20"/>
        </w:rPr>
        <w:t>Acesso em: 15 ago. 2023</w:t>
      </w:r>
    </w:p>
    <w:p w14:paraId="0B60BC1E" w14:textId="706852FE" w:rsidR="00910786" w:rsidRPr="002E6AFC" w:rsidRDefault="0081148F" w:rsidP="00910786">
      <w:pPr>
        <w:pStyle w:val="Contedodoquadro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910786" w:rsidRPr="002E6AFC">
        <w:rPr>
          <w:rFonts w:ascii="Century Gothic" w:hAnsi="Century Gothic"/>
          <w:sz w:val="20"/>
          <w:szCs w:val="20"/>
          <w:lang w:val="fr-FR"/>
        </w:rPr>
        <w:t>RANCE, J.</w:t>
      </w:r>
      <w:r w:rsidR="00AF4B2D" w:rsidRPr="002E6AFC">
        <w:rPr>
          <w:rFonts w:ascii="Century Gothic" w:hAnsi="Century Gothic"/>
          <w:sz w:val="20"/>
          <w:szCs w:val="20"/>
          <w:lang w:val="fr-FR"/>
        </w:rPr>
        <w:t xml:space="preserve"> </w:t>
      </w:r>
      <w:r w:rsidR="00910786" w:rsidRPr="002E6AFC">
        <w:rPr>
          <w:rFonts w:ascii="Century Gothic" w:hAnsi="Century Gothic"/>
          <w:i/>
          <w:sz w:val="20"/>
          <w:szCs w:val="20"/>
          <w:lang w:val="fr-FR"/>
        </w:rPr>
        <w:t>et al.</w:t>
      </w:r>
      <w:r w:rsidR="00910786" w:rsidRPr="002E6AFC">
        <w:rPr>
          <w:rFonts w:ascii="Century Gothic" w:hAnsi="Century Gothic"/>
          <w:sz w:val="20"/>
          <w:szCs w:val="20"/>
          <w:lang w:val="fr-FR"/>
        </w:rPr>
        <w:t xml:space="preserve"> </w:t>
      </w:r>
      <w:r w:rsidR="00910786" w:rsidRPr="002E6AFC">
        <w:rPr>
          <w:rFonts w:ascii="Century Gothic" w:hAnsi="Century Gothic"/>
          <w:sz w:val="20"/>
          <w:szCs w:val="20"/>
          <w:lang w:val="en-US"/>
        </w:rPr>
        <w:t xml:space="preserve">A model to interpret </w:t>
      </w:r>
      <w:proofErr w:type="spellStart"/>
      <w:r w:rsidR="00910786" w:rsidRPr="002E6AFC">
        <w:rPr>
          <w:rFonts w:ascii="Century Gothic" w:hAnsi="Century Gothic"/>
          <w:sz w:val="20"/>
          <w:szCs w:val="20"/>
          <w:lang w:val="en-US"/>
        </w:rPr>
        <w:t>gás</w:t>
      </w:r>
      <w:proofErr w:type="spellEnd"/>
      <w:r w:rsidR="00910786" w:rsidRPr="002E6AFC">
        <w:rPr>
          <w:rFonts w:ascii="Century Gothic" w:hAnsi="Century Gothic"/>
          <w:sz w:val="20"/>
          <w:szCs w:val="20"/>
          <w:lang w:val="en-US"/>
        </w:rPr>
        <w:t xml:space="preserve"> accumulation profiles with in vitro degradation of ruminal feeds. </w:t>
      </w:r>
      <w:proofErr w:type="spellStart"/>
      <w:r w:rsidR="00910786" w:rsidRPr="002E6AFC">
        <w:rPr>
          <w:rFonts w:ascii="Century Gothic" w:hAnsi="Century Gothic"/>
          <w:b/>
          <w:sz w:val="20"/>
          <w:szCs w:val="20"/>
        </w:rPr>
        <w:t>Journal</w:t>
      </w:r>
      <w:proofErr w:type="spellEnd"/>
      <w:r w:rsidR="00910786" w:rsidRPr="002E6AFC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910786" w:rsidRPr="002E6AFC">
        <w:rPr>
          <w:rFonts w:ascii="Century Gothic" w:hAnsi="Century Gothic"/>
          <w:b/>
          <w:sz w:val="20"/>
          <w:szCs w:val="20"/>
        </w:rPr>
        <w:t>of</w:t>
      </w:r>
      <w:proofErr w:type="spellEnd"/>
      <w:r w:rsidR="00910786" w:rsidRPr="002E6AFC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910786" w:rsidRPr="002E6AFC">
        <w:rPr>
          <w:rFonts w:ascii="Century Gothic" w:hAnsi="Century Gothic"/>
          <w:b/>
          <w:sz w:val="20"/>
          <w:szCs w:val="20"/>
        </w:rPr>
        <w:t>Theoretical</w:t>
      </w:r>
      <w:proofErr w:type="spellEnd"/>
      <w:r w:rsidR="00910786" w:rsidRPr="002E6AFC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910786" w:rsidRPr="002E6AFC">
        <w:rPr>
          <w:rFonts w:ascii="Century Gothic" w:hAnsi="Century Gothic"/>
          <w:b/>
          <w:sz w:val="20"/>
          <w:szCs w:val="20"/>
        </w:rPr>
        <w:t>Biology</w:t>
      </w:r>
      <w:proofErr w:type="spellEnd"/>
      <w:r w:rsidR="00910786" w:rsidRPr="002E6AFC">
        <w:rPr>
          <w:rFonts w:ascii="Century Gothic" w:hAnsi="Century Gothic"/>
          <w:sz w:val="20"/>
          <w:szCs w:val="20"/>
        </w:rPr>
        <w:t>, v. 163, n. 1, p. 99-111, 1993.</w:t>
      </w:r>
    </w:p>
    <w:p w14:paraId="191D869E" w14:textId="2CB30FA6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/>
          <w:sz w:val="20"/>
          <w:szCs w:val="20"/>
        </w:rPr>
      </w:pPr>
      <w:r w:rsidRPr="002E6AFC">
        <w:rPr>
          <w:rFonts w:ascii="Century Gothic" w:hAnsi="Century Gothic"/>
          <w:sz w:val="20"/>
          <w:szCs w:val="20"/>
        </w:rPr>
        <w:t xml:space="preserve">KOZLOSKI, G. V. </w:t>
      </w:r>
      <w:r w:rsidRPr="002E6AFC">
        <w:rPr>
          <w:rFonts w:ascii="Century Gothic" w:hAnsi="Century Gothic"/>
          <w:b/>
          <w:bCs/>
          <w:sz w:val="20"/>
          <w:szCs w:val="20"/>
        </w:rPr>
        <w:t xml:space="preserve">Bioquímica dos ruminantes. Terceira edição. </w:t>
      </w:r>
      <w:r w:rsidR="002E6AFC">
        <w:rPr>
          <w:rFonts w:ascii="Century Gothic" w:hAnsi="Century Gothic"/>
          <w:sz w:val="20"/>
          <w:szCs w:val="20"/>
        </w:rPr>
        <w:t>3°</w:t>
      </w:r>
      <w:r w:rsidRPr="002E6AFC">
        <w:rPr>
          <w:rFonts w:ascii="Century Gothic" w:hAnsi="Century Gothic"/>
          <w:sz w:val="20"/>
          <w:szCs w:val="20"/>
        </w:rPr>
        <w:t xml:space="preserve"> ed. Santa Maria, Rio Grande do Sul. Brasil. Editora UFSM, 2019.</w:t>
      </w:r>
    </w:p>
    <w:p w14:paraId="1CC22C53" w14:textId="77777777" w:rsidR="00910786" w:rsidRPr="002E6AFC" w:rsidRDefault="00910786" w:rsidP="00910786">
      <w:pPr>
        <w:pStyle w:val="Contedodoquadro"/>
        <w:spacing w:after="0"/>
        <w:jc w:val="both"/>
        <w:rPr>
          <w:rFonts w:ascii="Century Gothic" w:eastAsiaTheme="minorHAnsi" w:hAnsi="Century Gothic"/>
          <w:sz w:val="20"/>
          <w:szCs w:val="20"/>
          <w:lang w:val="en-US"/>
        </w:rPr>
      </w:pPr>
      <w:r w:rsidRPr="002E6AFC">
        <w:rPr>
          <w:rFonts w:ascii="Century Gothic" w:eastAsiaTheme="minorHAnsi" w:hAnsi="Century Gothic"/>
          <w:iCs/>
          <w:sz w:val="20"/>
          <w:szCs w:val="20"/>
        </w:rPr>
        <w:t xml:space="preserve">LE COINTE, P. Amazônia brasileira. III. </w:t>
      </w:r>
      <w:r w:rsidRPr="002E6AFC">
        <w:rPr>
          <w:rFonts w:ascii="Century Gothic" w:eastAsiaTheme="minorHAnsi" w:hAnsi="Century Gothic"/>
          <w:b/>
          <w:bCs/>
          <w:iCs/>
          <w:sz w:val="20"/>
          <w:szCs w:val="20"/>
        </w:rPr>
        <w:t xml:space="preserve">Árvores e plantas úteis </w:t>
      </w:r>
      <w:r w:rsidRPr="002E6AFC">
        <w:rPr>
          <w:rFonts w:ascii="Century Gothic" w:eastAsiaTheme="minorHAnsi" w:hAnsi="Century Gothic"/>
          <w:b/>
          <w:bCs/>
          <w:sz w:val="20"/>
          <w:szCs w:val="20"/>
        </w:rPr>
        <w:t>(I</w:t>
      </w:r>
      <w:r w:rsidRPr="002E6AFC">
        <w:rPr>
          <w:rFonts w:ascii="Century Gothic" w:eastAsiaTheme="minorHAnsi" w:hAnsi="Century Gothic"/>
          <w:b/>
          <w:bCs/>
          <w:iCs/>
          <w:sz w:val="20"/>
          <w:szCs w:val="20"/>
        </w:rPr>
        <w:t>ndígenas e aclimatadas)</w:t>
      </w:r>
      <w:r w:rsidRPr="002E6AFC">
        <w:rPr>
          <w:rFonts w:ascii="Century Gothic" w:eastAsiaTheme="minorHAnsi" w:hAnsi="Century Gothic"/>
          <w:sz w:val="20"/>
          <w:szCs w:val="20"/>
        </w:rPr>
        <w:t xml:space="preserve">. </w:t>
      </w:r>
      <w:r w:rsidRPr="002E6AFC">
        <w:rPr>
          <w:rFonts w:ascii="Century Gothic" w:eastAsiaTheme="minorHAnsi" w:hAnsi="Century Gothic"/>
          <w:sz w:val="20"/>
          <w:szCs w:val="20"/>
          <w:lang w:val="en-US"/>
        </w:rPr>
        <w:t>8. ed. São Paulo, Ed. Nacional. 506 p., 1947.</w:t>
      </w:r>
    </w:p>
    <w:p w14:paraId="602B2638" w14:textId="034395CC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/>
          <w:sz w:val="20"/>
          <w:szCs w:val="20"/>
          <w:lang w:val="en-US"/>
        </w:rPr>
      </w:pPr>
      <w:r w:rsidRPr="002E6AFC">
        <w:rPr>
          <w:rFonts w:ascii="Century Gothic" w:hAnsi="Century Gothic"/>
          <w:sz w:val="20"/>
          <w:szCs w:val="20"/>
          <w:lang w:val="en-US"/>
        </w:rPr>
        <w:t>MAURÍCIO, R. M</w:t>
      </w:r>
      <w:r w:rsidR="00AF4B2D" w:rsidRPr="002E6AFC">
        <w:rPr>
          <w:rFonts w:ascii="Century Gothic" w:hAnsi="Century Gothic"/>
          <w:sz w:val="20"/>
          <w:szCs w:val="20"/>
          <w:lang w:val="en-US"/>
        </w:rPr>
        <w:t xml:space="preserve">. </w:t>
      </w:r>
      <w:r w:rsidR="00AF4B2D" w:rsidRPr="002E6AFC">
        <w:rPr>
          <w:rFonts w:ascii="Century Gothic" w:hAnsi="Century Gothic"/>
          <w:i/>
          <w:iCs/>
          <w:sz w:val="20"/>
          <w:szCs w:val="20"/>
          <w:lang w:val="en-US"/>
        </w:rPr>
        <w:t>et al</w:t>
      </w:r>
      <w:r w:rsidR="00AF4B2D" w:rsidRPr="002E6AFC">
        <w:rPr>
          <w:rFonts w:ascii="Century Gothic" w:hAnsi="Century Gothic"/>
          <w:sz w:val="20"/>
          <w:szCs w:val="20"/>
          <w:lang w:val="en-US"/>
        </w:rPr>
        <w:t>.</w:t>
      </w:r>
      <w:r w:rsidRPr="002E6AFC">
        <w:rPr>
          <w:rFonts w:ascii="Century Gothic" w:hAnsi="Century Gothic"/>
          <w:sz w:val="20"/>
          <w:szCs w:val="20"/>
          <w:lang w:val="en-US"/>
        </w:rPr>
        <w:t xml:space="preserve"> A semi-automated </w:t>
      </w:r>
      <w:r w:rsidRPr="002E6AFC">
        <w:rPr>
          <w:rFonts w:ascii="Century Gothic" w:hAnsi="Century Gothic"/>
          <w:i/>
          <w:sz w:val="20"/>
          <w:szCs w:val="20"/>
          <w:lang w:val="en-US"/>
        </w:rPr>
        <w:t>in vitro</w:t>
      </w:r>
      <w:r w:rsidRPr="002E6AFC">
        <w:rPr>
          <w:rFonts w:ascii="Century Gothic" w:hAnsi="Century Gothic"/>
          <w:sz w:val="20"/>
          <w:szCs w:val="20"/>
          <w:lang w:val="en-US"/>
        </w:rPr>
        <w:t xml:space="preserve"> gas production technique for ruminant feedstuff evaluation. </w:t>
      </w:r>
      <w:r w:rsidRPr="002E6AFC">
        <w:rPr>
          <w:rFonts w:ascii="Century Gothic" w:hAnsi="Century Gothic"/>
          <w:b/>
          <w:bCs/>
          <w:iCs/>
          <w:sz w:val="20"/>
          <w:szCs w:val="20"/>
          <w:lang w:val="en-US"/>
        </w:rPr>
        <w:t>Animal Feed Science and Technology</w:t>
      </w:r>
      <w:r w:rsidRPr="002E6AFC">
        <w:rPr>
          <w:rFonts w:ascii="Century Gothic" w:hAnsi="Century Gothic"/>
          <w:sz w:val="20"/>
          <w:szCs w:val="20"/>
          <w:lang w:val="en-US"/>
        </w:rPr>
        <w:t>, v. 79, n. 4, p. 321-330, 1999.</w:t>
      </w:r>
    </w:p>
    <w:p w14:paraId="726629C7" w14:textId="65B3639B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/>
          <w:sz w:val="20"/>
          <w:szCs w:val="20"/>
        </w:rPr>
      </w:pPr>
      <w:r w:rsidRPr="002E6AFC">
        <w:rPr>
          <w:rFonts w:ascii="Century Gothic" w:hAnsi="Century Gothic"/>
          <w:sz w:val="20"/>
          <w:szCs w:val="20"/>
        </w:rPr>
        <w:t>MOMBACH, M. A</w:t>
      </w:r>
      <w:r w:rsidR="00AF4B2D" w:rsidRPr="002E6AFC">
        <w:rPr>
          <w:rFonts w:ascii="Century Gothic" w:hAnsi="Century Gothic"/>
          <w:sz w:val="20"/>
          <w:szCs w:val="20"/>
        </w:rPr>
        <w:t xml:space="preserve">. </w:t>
      </w:r>
      <w:r w:rsidRPr="002E6AFC">
        <w:rPr>
          <w:rFonts w:ascii="Century Gothic" w:hAnsi="Century Gothic"/>
          <w:i/>
          <w:sz w:val="20"/>
          <w:szCs w:val="20"/>
        </w:rPr>
        <w:t>et al</w:t>
      </w:r>
      <w:r w:rsidRPr="002E6AFC">
        <w:rPr>
          <w:rFonts w:ascii="Century Gothic" w:hAnsi="Century Gothic"/>
          <w:sz w:val="20"/>
          <w:szCs w:val="20"/>
        </w:rPr>
        <w:t>. Emissão de metano entérico por bovinos: o que sabemos e que podemos fazer. In: PEREIERA, D.H.; PEDREIRA, B.C. (Eds.). Recuperação das Pastagens. Anais do 2</w:t>
      </w:r>
      <w:r w:rsidR="002E6AFC">
        <w:rPr>
          <w:rFonts w:ascii="Century Gothic" w:hAnsi="Century Gothic"/>
          <w:sz w:val="20"/>
          <w:szCs w:val="20"/>
        </w:rPr>
        <w:t>°</w:t>
      </w:r>
      <w:r w:rsidRPr="002E6AFC">
        <w:rPr>
          <w:rFonts w:ascii="Century Gothic" w:hAnsi="Century Gothic"/>
          <w:sz w:val="20"/>
          <w:szCs w:val="20"/>
        </w:rPr>
        <w:t xml:space="preserve"> Simpósio de Pecuária Integrada. Fundação </w:t>
      </w:r>
      <w:proofErr w:type="spellStart"/>
      <w:r w:rsidRPr="002E6AFC">
        <w:rPr>
          <w:rFonts w:ascii="Century Gothic" w:hAnsi="Century Gothic"/>
          <w:sz w:val="20"/>
          <w:szCs w:val="20"/>
        </w:rPr>
        <w:t>Uniselva</w:t>
      </w:r>
      <w:proofErr w:type="spellEnd"/>
      <w:r w:rsidRPr="002E6AFC">
        <w:rPr>
          <w:rFonts w:ascii="Century Gothic" w:hAnsi="Century Gothic"/>
          <w:sz w:val="20"/>
          <w:szCs w:val="20"/>
        </w:rPr>
        <w:t>. Cuiabá, MT. Brasil</w:t>
      </w:r>
      <w:r w:rsidR="002E6AFC">
        <w:rPr>
          <w:rFonts w:ascii="Century Gothic" w:hAnsi="Century Gothic"/>
          <w:sz w:val="20"/>
          <w:szCs w:val="20"/>
        </w:rPr>
        <w:t>, p.</w:t>
      </w:r>
      <w:r w:rsidRPr="002E6AFC">
        <w:rPr>
          <w:rFonts w:ascii="Century Gothic" w:hAnsi="Century Gothic"/>
          <w:sz w:val="20"/>
          <w:szCs w:val="20"/>
        </w:rPr>
        <w:t>181-202</w:t>
      </w:r>
      <w:r w:rsidR="002E6AFC">
        <w:rPr>
          <w:rFonts w:ascii="Century Gothic" w:hAnsi="Century Gothic"/>
          <w:sz w:val="20"/>
          <w:szCs w:val="20"/>
        </w:rPr>
        <w:t xml:space="preserve">, </w:t>
      </w:r>
      <w:r w:rsidR="002E6AFC" w:rsidRPr="002E6AFC">
        <w:rPr>
          <w:rFonts w:ascii="Century Gothic" w:hAnsi="Century Gothic"/>
          <w:sz w:val="20"/>
          <w:szCs w:val="20"/>
        </w:rPr>
        <w:t>2016.</w:t>
      </w:r>
    </w:p>
    <w:p w14:paraId="545DA5A9" w14:textId="32CE2846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2E6AFC">
        <w:rPr>
          <w:rFonts w:ascii="Century Gothic" w:hAnsi="Century Gothic"/>
          <w:bCs/>
          <w:color w:val="000000"/>
          <w:sz w:val="20"/>
          <w:szCs w:val="20"/>
        </w:rPr>
        <w:t xml:space="preserve">NEVES, E. J. M. </w:t>
      </w:r>
      <w:r w:rsidR="002E6AFC" w:rsidRPr="002E6AFC">
        <w:rPr>
          <w:rFonts w:ascii="Century Gothic" w:hAnsi="Century Gothic"/>
          <w:bCs/>
          <w:i/>
          <w:iCs/>
          <w:color w:val="000000"/>
          <w:sz w:val="20"/>
          <w:szCs w:val="20"/>
        </w:rPr>
        <w:t>et al</w:t>
      </w:r>
      <w:r w:rsidR="002E6AFC" w:rsidRPr="002E6AFC">
        <w:rPr>
          <w:rFonts w:ascii="Century Gothic" w:hAnsi="Century Gothic"/>
          <w:bCs/>
          <w:color w:val="000000"/>
          <w:sz w:val="20"/>
          <w:szCs w:val="20"/>
        </w:rPr>
        <w:t xml:space="preserve">. </w:t>
      </w:r>
      <w:r w:rsidRPr="002E6AFC">
        <w:rPr>
          <w:rFonts w:ascii="Century Gothic" w:hAnsi="Century Gothic"/>
          <w:bCs/>
          <w:color w:val="000000"/>
          <w:sz w:val="20"/>
          <w:szCs w:val="20"/>
        </w:rPr>
        <w:t>Virola surinamensis: Silvicultura e usos. EMBRAPA Florestas. Colombo, Paraná</w:t>
      </w:r>
      <w:r w:rsidR="002E6AFC">
        <w:rPr>
          <w:rFonts w:ascii="Century Gothic" w:hAnsi="Century Gothic"/>
          <w:bCs/>
          <w:color w:val="000000"/>
          <w:sz w:val="20"/>
          <w:szCs w:val="20"/>
        </w:rPr>
        <w:t xml:space="preserve">, </w:t>
      </w:r>
      <w:r w:rsidRPr="002E6AFC">
        <w:rPr>
          <w:rFonts w:ascii="Century Gothic" w:hAnsi="Century Gothic"/>
          <w:bCs/>
          <w:color w:val="000000"/>
          <w:sz w:val="20"/>
          <w:szCs w:val="20"/>
        </w:rPr>
        <w:t>Brasil</w:t>
      </w:r>
      <w:r w:rsidR="002E6AFC">
        <w:rPr>
          <w:rFonts w:ascii="Century Gothic" w:hAnsi="Century Gothic"/>
          <w:bCs/>
          <w:color w:val="000000"/>
          <w:sz w:val="20"/>
          <w:szCs w:val="20"/>
        </w:rPr>
        <w:t xml:space="preserve">, </w:t>
      </w:r>
      <w:r w:rsidRPr="002E6AFC">
        <w:rPr>
          <w:rFonts w:ascii="Century Gothic" w:hAnsi="Century Gothic"/>
          <w:bCs/>
          <w:color w:val="000000"/>
          <w:sz w:val="20"/>
          <w:szCs w:val="20"/>
        </w:rPr>
        <w:t>2002.</w:t>
      </w:r>
    </w:p>
    <w:p w14:paraId="27A933AA" w14:textId="4E2C4615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2E6AFC">
        <w:rPr>
          <w:rFonts w:ascii="Century Gothic" w:hAnsi="Century Gothic"/>
          <w:sz w:val="20"/>
          <w:szCs w:val="20"/>
          <w:shd w:val="clear" w:color="auto" w:fill="FFFFFF"/>
        </w:rPr>
        <w:t>REGAZZI, A. J</w:t>
      </w:r>
      <w:r w:rsidR="002E6AFC" w:rsidRPr="002E6AFC">
        <w:rPr>
          <w:rFonts w:ascii="Century Gothic" w:hAnsi="Century Gothic"/>
          <w:sz w:val="20"/>
          <w:szCs w:val="20"/>
          <w:shd w:val="clear" w:color="auto" w:fill="FFFFFF"/>
        </w:rPr>
        <w:t xml:space="preserve">. </w:t>
      </w:r>
      <w:r w:rsidR="002E6AFC" w:rsidRPr="002E6AFC">
        <w:rPr>
          <w:rFonts w:ascii="Century Gothic" w:hAnsi="Century Gothic"/>
          <w:i/>
          <w:iCs/>
          <w:sz w:val="20"/>
          <w:szCs w:val="20"/>
          <w:shd w:val="clear" w:color="auto" w:fill="FFFFFF"/>
        </w:rPr>
        <w:t>et al.</w:t>
      </w:r>
      <w:r w:rsidR="002E6AFC" w:rsidRPr="002E6AFC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Pr="002E6AFC">
        <w:rPr>
          <w:rFonts w:ascii="Century Gothic" w:hAnsi="Century Gothic"/>
          <w:sz w:val="20"/>
          <w:szCs w:val="20"/>
          <w:shd w:val="clear" w:color="auto" w:fill="FFFFFF"/>
        </w:rPr>
        <w:t xml:space="preserve">Teste para verificar a igualdade de parâmetros e a identidade de modelos de regressão não-linear. </w:t>
      </w:r>
      <w:r w:rsidRPr="002E6AFC">
        <w:rPr>
          <w:rFonts w:ascii="Century Gothic" w:hAnsi="Century Gothic"/>
          <w:b/>
          <w:sz w:val="20"/>
          <w:szCs w:val="20"/>
        </w:rPr>
        <w:t>Revista de Matemática e Estatística</w:t>
      </w:r>
      <w:r w:rsidRPr="002E6AFC">
        <w:rPr>
          <w:rFonts w:ascii="Century Gothic" w:hAnsi="Century Gothic"/>
          <w:sz w:val="20"/>
          <w:szCs w:val="20"/>
        </w:rPr>
        <w:t>,</w:t>
      </w:r>
      <w:r w:rsidRPr="002E6AFC">
        <w:rPr>
          <w:rFonts w:ascii="Century Gothic" w:hAnsi="Century Gothic"/>
          <w:sz w:val="20"/>
          <w:szCs w:val="20"/>
          <w:shd w:val="clear" w:color="auto" w:fill="FFFFFF"/>
        </w:rPr>
        <w:t xml:space="preserve"> v. 22, n. 2, p. 33-45, 2004.</w:t>
      </w:r>
    </w:p>
    <w:p w14:paraId="212FD07C" w14:textId="77777777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/>
          <w:bCs/>
          <w:color w:val="231F20"/>
          <w:sz w:val="20"/>
          <w:szCs w:val="20"/>
        </w:rPr>
      </w:pPr>
      <w:r w:rsidRPr="002E6AFC">
        <w:rPr>
          <w:rFonts w:ascii="Century Gothic" w:hAnsi="Century Gothic"/>
          <w:bCs/>
          <w:color w:val="231F20"/>
          <w:sz w:val="20"/>
          <w:szCs w:val="20"/>
        </w:rPr>
        <w:t xml:space="preserve">RODRIGUEZ, W, A. A ucuuba da várzea e suas aplicações. </w:t>
      </w:r>
      <w:r w:rsidRPr="002E6AFC">
        <w:rPr>
          <w:rFonts w:ascii="Century Gothic" w:hAnsi="Century Gothic"/>
          <w:b/>
          <w:bCs/>
          <w:color w:val="231F20"/>
          <w:sz w:val="20"/>
          <w:szCs w:val="20"/>
        </w:rPr>
        <w:t xml:space="preserve">Acta </w:t>
      </w:r>
      <w:proofErr w:type="spellStart"/>
      <w:r w:rsidRPr="002E6AFC">
        <w:rPr>
          <w:rFonts w:ascii="Century Gothic" w:hAnsi="Century Gothic"/>
          <w:b/>
          <w:bCs/>
          <w:color w:val="231F20"/>
          <w:sz w:val="20"/>
          <w:szCs w:val="20"/>
        </w:rPr>
        <w:t>Amazonica</w:t>
      </w:r>
      <w:proofErr w:type="spellEnd"/>
      <w:r w:rsidRPr="002E6AFC">
        <w:rPr>
          <w:rFonts w:ascii="Century Gothic" w:hAnsi="Century Gothic"/>
          <w:bCs/>
          <w:color w:val="231F20"/>
          <w:sz w:val="20"/>
          <w:szCs w:val="20"/>
        </w:rPr>
        <w:t>, v. 2 n. 2 p. 29- 47, 1972.</w:t>
      </w:r>
    </w:p>
    <w:p w14:paraId="425DE2B7" w14:textId="7762EB6C" w:rsidR="00910786" w:rsidRPr="002E6AFC" w:rsidRDefault="00910786" w:rsidP="00910786">
      <w:pPr>
        <w:pStyle w:val="Contedodoquadro"/>
        <w:spacing w:after="0"/>
        <w:jc w:val="both"/>
        <w:rPr>
          <w:rFonts w:ascii="Century Gothic" w:hAnsi="Century Gothic"/>
          <w:sz w:val="20"/>
          <w:szCs w:val="20"/>
          <w:lang w:val="en-US"/>
        </w:rPr>
      </w:pPr>
      <w:r w:rsidRPr="002E6AFC">
        <w:rPr>
          <w:rFonts w:ascii="Century Gothic" w:hAnsi="Century Gothic"/>
          <w:bCs/>
          <w:sz w:val="20"/>
          <w:szCs w:val="20"/>
          <w:lang w:val="en-US"/>
        </w:rPr>
        <w:t>SMITH-PALMER, A.</w:t>
      </w:r>
      <w:r w:rsidR="002E6AFC" w:rsidRPr="002E6AFC">
        <w:rPr>
          <w:rFonts w:ascii="Century Gothic" w:hAnsi="Century Gothic"/>
          <w:bCs/>
          <w:sz w:val="20"/>
          <w:szCs w:val="20"/>
          <w:lang w:val="en-US"/>
        </w:rPr>
        <w:t xml:space="preserve"> </w:t>
      </w:r>
      <w:r w:rsidR="002E6AFC" w:rsidRPr="002E6AFC">
        <w:rPr>
          <w:rFonts w:ascii="Century Gothic" w:hAnsi="Century Gothic"/>
          <w:bCs/>
          <w:i/>
          <w:iCs/>
          <w:sz w:val="20"/>
          <w:szCs w:val="20"/>
          <w:lang w:val="en-US"/>
        </w:rPr>
        <w:t>et al.</w:t>
      </w:r>
      <w:r w:rsidR="002E6AFC" w:rsidRPr="002E6AFC">
        <w:rPr>
          <w:rFonts w:ascii="Century Gothic" w:hAnsi="Century Gothic"/>
          <w:bCs/>
          <w:sz w:val="20"/>
          <w:szCs w:val="20"/>
          <w:lang w:val="en-US"/>
        </w:rPr>
        <w:t xml:space="preserve"> </w:t>
      </w:r>
      <w:proofErr w:type="gramStart"/>
      <w:r w:rsidRPr="002E6AFC">
        <w:rPr>
          <w:rFonts w:ascii="Century Gothic" w:hAnsi="Century Gothic"/>
          <w:bCs/>
          <w:sz w:val="20"/>
          <w:szCs w:val="20"/>
          <w:lang w:val="en-US"/>
        </w:rPr>
        <w:t>Antimicrobial</w:t>
      </w:r>
      <w:proofErr w:type="gramEnd"/>
      <w:r w:rsidRPr="002E6AFC">
        <w:rPr>
          <w:rFonts w:ascii="Century Gothic" w:hAnsi="Century Gothic"/>
          <w:bCs/>
          <w:sz w:val="20"/>
          <w:szCs w:val="20"/>
          <w:lang w:val="en-US"/>
        </w:rPr>
        <w:t xml:space="preserve"> properties of plant essential oils and essences against five important food-borne pathogens. </w:t>
      </w:r>
      <w:r w:rsidRPr="002E6AFC">
        <w:rPr>
          <w:rFonts w:ascii="Century Gothic" w:hAnsi="Century Gothic"/>
          <w:b/>
          <w:sz w:val="20"/>
          <w:szCs w:val="20"/>
          <w:lang w:val="en-US"/>
        </w:rPr>
        <w:t>Letters in Applied Microbiology</w:t>
      </w:r>
      <w:r w:rsidRPr="002E6AFC">
        <w:rPr>
          <w:rFonts w:ascii="Century Gothic" w:hAnsi="Century Gothic"/>
          <w:sz w:val="20"/>
          <w:szCs w:val="20"/>
          <w:lang w:val="en-US"/>
        </w:rPr>
        <w:t>, v.</w:t>
      </w:r>
      <w:r w:rsidRPr="002E6AFC">
        <w:rPr>
          <w:rFonts w:ascii="Century Gothic" w:hAnsi="Century Gothic"/>
          <w:bCs/>
          <w:sz w:val="20"/>
          <w:szCs w:val="20"/>
          <w:lang w:val="en-US"/>
        </w:rPr>
        <w:t>26</w:t>
      </w:r>
      <w:r w:rsidRPr="002E6AFC">
        <w:rPr>
          <w:rFonts w:ascii="Century Gothic" w:hAnsi="Century Gothic"/>
          <w:sz w:val="20"/>
          <w:szCs w:val="20"/>
          <w:lang w:val="en-US"/>
        </w:rPr>
        <w:t>, n.2, p. 118-122, 1998</w:t>
      </w:r>
    </w:p>
    <w:p w14:paraId="6A417F92" w14:textId="6D44DE98" w:rsidR="00536D46" w:rsidRPr="002E6AFC" w:rsidRDefault="00910786" w:rsidP="0081148F">
      <w:pPr>
        <w:pStyle w:val="Contedodoquadro"/>
        <w:rPr>
          <w:color w:val="000000"/>
          <w:sz w:val="40"/>
          <w:szCs w:val="40"/>
        </w:rPr>
      </w:pPr>
      <w:r w:rsidRPr="002E6AFC">
        <w:rPr>
          <w:rFonts w:ascii="Century Gothic" w:hAnsi="Century Gothic"/>
          <w:sz w:val="20"/>
          <w:szCs w:val="20"/>
        </w:rPr>
        <w:t>SOUZA, J. G</w:t>
      </w:r>
      <w:r w:rsidR="002E6AFC" w:rsidRPr="002E6AFC">
        <w:rPr>
          <w:rFonts w:ascii="Century Gothic" w:hAnsi="Century Gothic"/>
          <w:sz w:val="20"/>
          <w:szCs w:val="20"/>
        </w:rPr>
        <w:t xml:space="preserve">. </w:t>
      </w:r>
      <w:r w:rsidR="002E6AFC" w:rsidRPr="002E6AFC">
        <w:rPr>
          <w:rFonts w:ascii="Century Gothic" w:hAnsi="Century Gothic"/>
          <w:i/>
          <w:iCs/>
          <w:sz w:val="20"/>
          <w:szCs w:val="20"/>
        </w:rPr>
        <w:t>et al.</w:t>
      </w:r>
      <w:r w:rsidRPr="002E6AFC">
        <w:rPr>
          <w:rFonts w:ascii="Century Gothic" w:hAnsi="Century Gothic"/>
          <w:sz w:val="20"/>
          <w:szCs w:val="20"/>
        </w:rPr>
        <w:t> Biohidrogenação ruminal e principal impacto no perfil de ácidos graxos: uma revisão. </w:t>
      </w:r>
      <w:r w:rsidRPr="002E6AFC">
        <w:rPr>
          <w:rFonts w:ascii="Century Gothic" w:hAnsi="Century Gothic"/>
          <w:b/>
          <w:bCs/>
          <w:sz w:val="20"/>
          <w:szCs w:val="20"/>
        </w:rPr>
        <w:t>Investigação, Sociedade e Desenvolvimento</w:t>
      </w:r>
      <w:r w:rsidRPr="002E6AFC">
        <w:rPr>
          <w:rFonts w:ascii="Century Gothic" w:hAnsi="Century Gothic"/>
          <w:sz w:val="20"/>
          <w:szCs w:val="20"/>
        </w:rPr>
        <w:t>, v. 10, n. 13, p</w:t>
      </w:r>
      <w:r w:rsidR="002E6AFC">
        <w:rPr>
          <w:rFonts w:ascii="Century Gothic" w:hAnsi="Century Gothic"/>
          <w:sz w:val="20"/>
          <w:szCs w:val="20"/>
        </w:rPr>
        <w:t xml:space="preserve">. </w:t>
      </w:r>
      <w:r w:rsidRPr="002E6AFC">
        <w:rPr>
          <w:rFonts w:ascii="Century Gothic" w:hAnsi="Century Gothic"/>
          <w:sz w:val="20"/>
          <w:szCs w:val="20"/>
        </w:rPr>
        <w:t xml:space="preserve">28101321039, 2021. </w:t>
      </w:r>
      <w:bookmarkEnd w:id="4"/>
      <w:r w:rsidR="00000000" w:rsidRPr="002E6AFC">
        <w:rPr>
          <w:color w:val="000000"/>
          <w:sz w:val="40"/>
          <w:szCs w:val="40"/>
        </w:rPr>
        <w:t>Agradecimentos</w:t>
      </w:r>
      <w:r w:rsidR="00B10DF0">
        <w:rPr>
          <w:color w:val="000000"/>
          <w:sz w:val="40"/>
          <w:szCs w:val="40"/>
        </w:rPr>
        <w:t xml:space="preserve"> </w:t>
      </w:r>
    </w:p>
    <w:p w14:paraId="77E5686E" w14:textId="77777777" w:rsidR="00B10DF0" w:rsidRDefault="00B10DF0" w:rsidP="00B10DF0">
      <w:pPr>
        <w:pStyle w:val="Contedodoquadro"/>
        <w:spacing w:after="0"/>
        <w:ind w:firstLine="709"/>
        <w:rPr>
          <w:rFonts w:ascii="Century Gothic" w:hAnsi="Century Gothic"/>
          <w:sz w:val="20"/>
          <w:szCs w:val="20"/>
        </w:rPr>
      </w:pPr>
    </w:p>
    <w:p w14:paraId="1978D714" w14:textId="4D9EF912" w:rsidR="00B10DF0" w:rsidRPr="004D1574" w:rsidRDefault="00B10DF0" w:rsidP="00B10DF0">
      <w:pPr>
        <w:pStyle w:val="Contedodoquadro"/>
        <w:spacing w:after="0" w:line="360" w:lineRule="auto"/>
        <w:ind w:firstLine="709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B10DF0">
        <w:rPr>
          <w:rFonts w:ascii="Century Gothic" w:hAnsi="Century Gothic"/>
          <w:sz w:val="20"/>
          <w:szCs w:val="20"/>
        </w:rPr>
        <w:t>Dedi</w:t>
      </w:r>
      <w:r>
        <w:rPr>
          <w:rFonts w:ascii="Century Gothic" w:hAnsi="Century Gothic"/>
          <w:sz w:val="20"/>
          <w:szCs w:val="20"/>
        </w:rPr>
        <w:t>c</w:t>
      </w:r>
      <w:r w:rsidR="0014098A">
        <w:rPr>
          <w:rFonts w:ascii="Century Gothic" w:hAnsi="Century Gothic"/>
          <w:sz w:val="20"/>
          <w:szCs w:val="20"/>
        </w:rPr>
        <w:t>amos</w:t>
      </w:r>
      <w:r w:rsidRPr="00B10DF0">
        <w:rPr>
          <w:rFonts w:ascii="Century Gothic" w:hAnsi="Century Gothic"/>
          <w:sz w:val="20"/>
          <w:szCs w:val="20"/>
        </w:rPr>
        <w:t xml:space="preserve"> esse trabalho em memória </w:t>
      </w:r>
      <w:r w:rsidR="0027472F">
        <w:rPr>
          <w:rFonts w:ascii="Century Gothic" w:hAnsi="Century Gothic"/>
          <w:sz w:val="20"/>
          <w:szCs w:val="20"/>
        </w:rPr>
        <w:t>a</w:t>
      </w:r>
      <w:r w:rsidRPr="00B10DF0">
        <w:rPr>
          <w:rFonts w:ascii="Century Gothic" w:hAnsi="Century Gothic"/>
          <w:sz w:val="20"/>
          <w:szCs w:val="20"/>
        </w:rPr>
        <w:t>o prof. Luciano Fernandes Sousa, pela dedicação a educação/</w:t>
      </w:r>
      <w:r w:rsidRPr="004D1574">
        <w:rPr>
          <w:rFonts w:ascii="Century Gothic" w:hAnsi="Century Gothic"/>
          <w:color w:val="000000" w:themeColor="text1"/>
          <w:sz w:val="20"/>
          <w:szCs w:val="20"/>
        </w:rPr>
        <w:t>pesquisa, o seu legado jamais será esquecido.</w:t>
      </w:r>
    </w:p>
    <w:p w14:paraId="6F2826BE" w14:textId="54B461E4" w:rsidR="00536D46" w:rsidRPr="004D1574" w:rsidRDefault="00000000" w:rsidP="00B10DF0">
      <w:pPr>
        <w:spacing w:before="0" w:after="0" w:line="360" w:lineRule="auto"/>
        <w:ind w:firstLine="709"/>
        <w:rPr>
          <w:color w:val="000000" w:themeColor="text1"/>
          <w:sz w:val="24"/>
          <w:szCs w:val="24"/>
        </w:rPr>
      </w:pPr>
      <w:r w:rsidRPr="004D1574">
        <w:rPr>
          <w:color w:val="000000" w:themeColor="text1"/>
        </w:rPr>
        <w:lastRenderedPageBreak/>
        <w:t>O presente trabalho foi realizado com o apoio do Conselho Nacional de Desenvolvimento Científico e Tecnológico – CNPq – Brasil</w:t>
      </w:r>
      <w:r w:rsidR="00573ACB" w:rsidRPr="004D1574">
        <w:rPr>
          <w:color w:val="000000" w:themeColor="text1"/>
        </w:rPr>
        <w:t>.</w:t>
      </w:r>
    </w:p>
    <w:sectPr w:rsidR="00536D46" w:rsidRPr="004D1574" w:rsidSect="0060723D">
      <w:type w:val="continuous"/>
      <w:pgSz w:w="11907" w:h="16840"/>
      <w:pgMar w:top="1440" w:right="1417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5633" w14:textId="77777777" w:rsidR="006F76E1" w:rsidRDefault="006F76E1">
      <w:pPr>
        <w:spacing w:before="0" w:after="0"/>
      </w:pPr>
      <w:r>
        <w:separator/>
      </w:r>
    </w:p>
  </w:endnote>
  <w:endnote w:type="continuationSeparator" w:id="0">
    <w:p w14:paraId="65A7F7C1" w14:textId="77777777" w:rsidR="006F76E1" w:rsidRDefault="006F76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11AB" w14:textId="77777777" w:rsidR="00536D46" w:rsidRDefault="00536D4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8EAA" w14:textId="77777777" w:rsidR="006F76E1" w:rsidRDefault="006F76E1">
      <w:pPr>
        <w:spacing w:before="0" w:after="0"/>
      </w:pPr>
      <w:r>
        <w:separator/>
      </w:r>
    </w:p>
  </w:footnote>
  <w:footnote w:type="continuationSeparator" w:id="0">
    <w:p w14:paraId="02559741" w14:textId="77777777" w:rsidR="006F76E1" w:rsidRDefault="006F76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8B42" w14:textId="02820DA8" w:rsidR="00573ACB" w:rsidRDefault="008B7460" w:rsidP="00BA414F">
    <w:pPr>
      <w:pStyle w:val="Cabealho"/>
      <w:ind w:firstLine="0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25299E1" wp14:editId="092722C1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3549650" cy="1181100"/>
          <wp:effectExtent l="0" t="0" r="0" b="0"/>
          <wp:wrapTopAndBottom/>
          <wp:docPr id="146152920" name="Imagem 146152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1910" w14:textId="1E7B8ECB" w:rsidR="00573ACB" w:rsidRDefault="00573ACB" w:rsidP="00573ACB">
    <w:pPr>
      <w:pStyle w:val="Cabealho"/>
      <w:ind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2FB8"/>
    <w:multiLevelType w:val="multilevel"/>
    <w:tmpl w:val="A002E68A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1648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46"/>
    <w:rsid w:val="000130F2"/>
    <w:rsid w:val="00062819"/>
    <w:rsid w:val="000C5335"/>
    <w:rsid w:val="00111744"/>
    <w:rsid w:val="0013628F"/>
    <w:rsid w:val="0014098A"/>
    <w:rsid w:val="001632C8"/>
    <w:rsid w:val="001B2503"/>
    <w:rsid w:val="001F0D4B"/>
    <w:rsid w:val="0027472F"/>
    <w:rsid w:val="002A1AE9"/>
    <w:rsid w:val="002E6AFC"/>
    <w:rsid w:val="0034196F"/>
    <w:rsid w:val="0035561D"/>
    <w:rsid w:val="00370F73"/>
    <w:rsid w:val="003F3B2D"/>
    <w:rsid w:val="00414288"/>
    <w:rsid w:val="00435942"/>
    <w:rsid w:val="00481EF3"/>
    <w:rsid w:val="004872D9"/>
    <w:rsid w:val="004D1574"/>
    <w:rsid w:val="004D53B1"/>
    <w:rsid w:val="004F4186"/>
    <w:rsid w:val="00536D46"/>
    <w:rsid w:val="00546684"/>
    <w:rsid w:val="00573ACB"/>
    <w:rsid w:val="005777EF"/>
    <w:rsid w:val="00584C15"/>
    <w:rsid w:val="005A6C64"/>
    <w:rsid w:val="005C0580"/>
    <w:rsid w:val="0060166F"/>
    <w:rsid w:val="0060723D"/>
    <w:rsid w:val="00642635"/>
    <w:rsid w:val="006859D6"/>
    <w:rsid w:val="006F76E1"/>
    <w:rsid w:val="00704F1D"/>
    <w:rsid w:val="007F5261"/>
    <w:rsid w:val="0081148F"/>
    <w:rsid w:val="008B7460"/>
    <w:rsid w:val="00910786"/>
    <w:rsid w:val="009B50EC"/>
    <w:rsid w:val="009D0A40"/>
    <w:rsid w:val="00A333DF"/>
    <w:rsid w:val="00A77D77"/>
    <w:rsid w:val="00AE5FA0"/>
    <w:rsid w:val="00AF4B2D"/>
    <w:rsid w:val="00AF7AA2"/>
    <w:rsid w:val="00B07AAD"/>
    <w:rsid w:val="00B10DF0"/>
    <w:rsid w:val="00B14E03"/>
    <w:rsid w:val="00BA414F"/>
    <w:rsid w:val="00D15010"/>
    <w:rsid w:val="00E54202"/>
    <w:rsid w:val="00E7754B"/>
    <w:rsid w:val="00E90764"/>
    <w:rsid w:val="00E95D38"/>
    <w:rsid w:val="00FC3802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18C1"/>
  <w15:docId w15:val="{34F746DA-8C9C-4E90-BDD2-9728349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  <w:rsid w:val="0035561D"/>
    <w:pPr>
      <w:suppressAutoHyphens/>
      <w:spacing w:before="0" w:after="120"/>
      <w:ind w:firstLine="0"/>
      <w:jc w:val="left"/>
    </w:pPr>
    <w:rPr>
      <w:rFonts w:ascii="Arial" w:eastAsia="Calibri" w:hAnsi="Arial" w:cs="DokChampa"/>
      <w:sz w:val="24"/>
      <w:szCs w:val="128"/>
      <w:lang w:eastAsia="en-US"/>
    </w:rPr>
  </w:style>
  <w:style w:type="character" w:customStyle="1" w:styleId="selectable-text">
    <w:name w:val="selectable-text"/>
    <w:basedOn w:val="Fontepargpadro"/>
    <w:rsid w:val="0035561D"/>
  </w:style>
  <w:style w:type="paragraph" w:styleId="Cabealho">
    <w:name w:val="header"/>
    <w:basedOn w:val="Normal"/>
    <w:link w:val="CabealhoChar"/>
    <w:uiPriority w:val="99"/>
    <w:unhideWhenUsed/>
    <w:rsid w:val="00481EF3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481EF3"/>
  </w:style>
  <w:style w:type="paragraph" w:styleId="Rodap">
    <w:name w:val="footer"/>
    <w:basedOn w:val="Normal"/>
    <w:link w:val="RodapChar"/>
    <w:uiPriority w:val="99"/>
    <w:unhideWhenUsed/>
    <w:rsid w:val="00481EF3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481EF3"/>
  </w:style>
  <w:style w:type="character" w:styleId="Hyperlink">
    <w:name w:val="Hyperlink"/>
    <w:basedOn w:val="Fontepargpadro"/>
    <w:uiPriority w:val="99"/>
    <w:unhideWhenUsed/>
    <w:rsid w:val="001B250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250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qFormat/>
    <w:rsid w:val="00B10DF0"/>
    <w:pPr>
      <w:tabs>
        <w:tab w:val="left" w:pos="720"/>
      </w:tabs>
      <w:spacing w:before="120" w:after="0"/>
      <w:ind w:left="720" w:firstLine="0"/>
      <w:contextualSpacing/>
    </w:pPr>
    <w:rPr>
      <w:rFonts w:ascii="Times" w:eastAsia="Times New Roman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o.sousa@mail.uft.edu.br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oria.barcelo@mail.uft.edu.br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rsdjournal.org/index.php/rsd/article/view/21039" TargetMode="Externa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anda.borges1@mail.uft.edu.br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yperlink" Target="mailto:isabella.martins@mail.uft.edu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aysa.barbosa@mail.uft.edu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MSUNG\Downloads\Produ&#231;&#227;o%20de%20gases%20-%20Vit&#243;ria-%20Resultad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MSUNG\Downloads\Produ&#231;&#227;o%20de%20gases%20-%20Vit&#243;ria-%20Resultad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050" b="1"/>
              <a:t>Cinética de Produção de Gases</a:t>
            </a:r>
          </a:p>
        </c:rich>
      </c:tx>
      <c:layout>
        <c:manualLayout>
          <c:xMode val="edge"/>
          <c:yMode val="edge"/>
          <c:x val="0.21469068991813597"/>
          <c:y val="6.9686411149825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5934383202099739"/>
          <c:y val="4.2873094810517105E-2"/>
          <c:w val="0.7300398813784641"/>
          <c:h val="0.81409494865773357"/>
        </c:manualLayout>
      </c:layout>
      <c:scatterChart>
        <c:scatterStyle val="smoothMarker"/>
        <c:varyColors val="0"/>
        <c:ser>
          <c:idx val="1"/>
          <c:order val="0"/>
          <c:tx>
            <c:strRef>
              <c:f>'ProdGases_Gráficos Ajust France'!$A$41</c:f>
              <c:strCache>
                <c:ptCount val="1"/>
                <c:pt idx="0">
                  <c:v>Media sem OE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'ProdGases_Gráficos Ajust France'!$B$40:$N$40</c:f>
              <c:numCache>
                <c:formatCode>0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9">
                  <c:v>36</c:v>
                </c:pt>
                <c:pt idx="10">
                  <c:v>48</c:v>
                </c:pt>
                <c:pt idx="11">
                  <c:v>72</c:v>
                </c:pt>
                <c:pt idx="12">
                  <c:v>96</c:v>
                </c:pt>
              </c:numCache>
            </c:numRef>
          </c:xVal>
          <c:yVal>
            <c:numRef>
              <c:f>'ProdGases_Gráficos Ajust France'!$B$41:$N$41</c:f>
              <c:numCache>
                <c:formatCode>0.00</c:formatCode>
                <c:ptCount val="13"/>
                <c:pt idx="0">
                  <c:v>0</c:v>
                </c:pt>
                <c:pt idx="1">
                  <c:v>8.8008846533076497</c:v>
                </c:pt>
                <c:pt idx="2">
                  <c:v>34.994737854270262</c:v>
                </c:pt>
                <c:pt idx="3">
                  <c:v>60.305130296084094</c:v>
                </c:pt>
                <c:pt idx="4">
                  <c:v>83.028291919831602</c:v>
                </c:pt>
                <c:pt idx="5">
                  <c:v>108.83800103601203</c:v>
                </c:pt>
                <c:pt idx="6">
                  <c:v>129.84972829556497</c:v>
                </c:pt>
                <c:pt idx="7">
                  <c:v>146.72712684496466</c:v>
                </c:pt>
                <c:pt idx="8">
                  <c:v>165.81378348929599</c:v>
                </c:pt>
                <c:pt idx="9">
                  <c:v>179.24342811074177</c:v>
                </c:pt>
                <c:pt idx="10">
                  <c:v>195.17277738407282</c:v>
                </c:pt>
                <c:pt idx="11">
                  <c:v>206.59622791935101</c:v>
                </c:pt>
                <c:pt idx="12">
                  <c:v>209.27112365236576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472-471B-A8CD-2D497ABD09AE}"/>
            </c:ext>
          </c:extLst>
        </c:ser>
        <c:ser>
          <c:idx val="4"/>
          <c:order val="1"/>
          <c:tx>
            <c:strRef>
              <c:f>'ProdGases_Gráficos Ajust France'!$A$42</c:f>
              <c:strCache>
                <c:ptCount val="1"/>
                <c:pt idx="0">
                  <c:v>Media com 1% OE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'ProdGases_Gráficos Ajust France'!$B$40:$N$40</c:f>
              <c:numCache>
                <c:formatCode>0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9">
                  <c:v>36</c:v>
                </c:pt>
                <c:pt idx="10">
                  <c:v>48</c:v>
                </c:pt>
                <c:pt idx="11">
                  <c:v>72</c:v>
                </c:pt>
                <c:pt idx="12">
                  <c:v>96</c:v>
                </c:pt>
              </c:numCache>
            </c:numRef>
          </c:xVal>
          <c:yVal>
            <c:numRef>
              <c:f>'ProdGases_Gráficos Ajust France'!$B$42:$N$42</c:f>
              <c:numCache>
                <c:formatCode>0.00</c:formatCode>
                <c:ptCount val="13"/>
                <c:pt idx="0">
                  <c:v>0</c:v>
                </c:pt>
                <c:pt idx="1">
                  <c:v>7.6123959903557656</c:v>
                </c:pt>
                <c:pt idx="2">
                  <c:v>32.015394043791552</c:v>
                </c:pt>
                <c:pt idx="3">
                  <c:v>54.788287521297654</c:v>
                </c:pt>
                <c:pt idx="4">
                  <c:v>74.352858464113112</c:v>
                </c:pt>
                <c:pt idx="5">
                  <c:v>95.360806357421012</c:v>
                </c:pt>
                <c:pt idx="6">
                  <c:v>111.3240222515979</c:v>
                </c:pt>
                <c:pt idx="7">
                  <c:v>123.25274343007962</c:v>
                </c:pt>
                <c:pt idx="8">
                  <c:v>135.5589942856781</c:v>
                </c:pt>
                <c:pt idx="9">
                  <c:v>143.26255310401069</c:v>
                </c:pt>
                <c:pt idx="10">
                  <c:v>150.96715533460804</c:v>
                </c:pt>
                <c:pt idx="11">
                  <c:v>154.91395797298833</c:v>
                </c:pt>
                <c:pt idx="12">
                  <c:v>155.44133322567839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472-471B-A8CD-2D497ABD09AE}"/>
            </c:ext>
          </c:extLst>
        </c:ser>
        <c:ser>
          <c:idx val="0"/>
          <c:order val="2"/>
          <c:tx>
            <c:strRef>
              <c:f>'ProdGases_Gráficos Ajust France'!$A$43</c:f>
              <c:strCache>
                <c:ptCount val="1"/>
                <c:pt idx="0">
                  <c:v>Media com 2% OE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xVal>
            <c:numRef>
              <c:f>'ProdGases_Gráficos Ajust France'!$B$40:$N$40</c:f>
              <c:numCache>
                <c:formatCode>0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9">
                  <c:v>36</c:v>
                </c:pt>
                <c:pt idx="10">
                  <c:v>48</c:v>
                </c:pt>
                <c:pt idx="11">
                  <c:v>72</c:v>
                </c:pt>
                <c:pt idx="12">
                  <c:v>96</c:v>
                </c:pt>
              </c:numCache>
            </c:numRef>
          </c:xVal>
          <c:yVal>
            <c:numRef>
              <c:f>'ProdGases_Gráficos Ajust France'!$B$43:$N$43</c:f>
              <c:numCache>
                <c:formatCode>0.00</c:formatCode>
                <c:ptCount val="13"/>
                <c:pt idx="0">
                  <c:v>0</c:v>
                </c:pt>
                <c:pt idx="1">
                  <c:v>6.508110754047971</c:v>
                </c:pt>
                <c:pt idx="2">
                  <c:v>30.352353402775357</c:v>
                </c:pt>
                <c:pt idx="3">
                  <c:v>52.754069550868628</c:v>
                </c:pt>
                <c:pt idx="4">
                  <c:v>72.076526970680575</c:v>
                </c:pt>
                <c:pt idx="5">
                  <c:v>92.894981723661999</c:v>
                </c:pt>
                <c:pt idx="6">
                  <c:v>108.76404377131831</c:v>
                </c:pt>
                <c:pt idx="7">
                  <c:v>120.65352040824109</c:v>
                </c:pt>
                <c:pt idx="8">
                  <c:v>132.95214606104781</c:v>
                </c:pt>
                <c:pt idx="9">
                  <c:v>140.67190173657571</c:v>
                </c:pt>
                <c:pt idx="10">
                  <c:v>148.41432321365883</c:v>
                </c:pt>
                <c:pt idx="11">
                  <c:v>152.39108745566432</c:v>
                </c:pt>
                <c:pt idx="12">
                  <c:v>152.9217127926598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472-471B-A8CD-2D497ABD0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8839008"/>
        <c:axId val="638835072"/>
      </c:scatterChart>
      <c:valAx>
        <c:axId val="638839008"/>
        <c:scaling>
          <c:orientation val="minMax"/>
          <c:max val="96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38835072"/>
        <c:crosses val="autoZero"/>
        <c:crossBetween val="midCat"/>
        <c:majorUnit val="12"/>
        <c:minorUnit val="6"/>
      </c:valAx>
      <c:valAx>
        <c:axId val="638835072"/>
        <c:scaling>
          <c:orientation val="minMax"/>
        </c:scaling>
        <c:delete val="0"/>
        <c:axPos val="l"/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38839008"/>
        <c:crosses val="autoZero"/>
        <c:crossBetween val="midCat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17787500087958175"/>
          <c:y val="0.19350278583598099"/>
          <c:w val="0.50556472218161064"/>
          <c:h val="0.290619675829994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050" b="1"/>
              <a:t>Cinética de Produção de Gases</a:t>
            </a:r>
          </a:p>
        </c:rich>
      </c:tx>
      <c:layout>
        <c:manualLayout>
          <c:xMode val="edge"/>
          <c:yMode val="edge"/>
          <c:x val="0.18112690949602525"/>
          <c:y val="4.97203231821006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3892825896762906"/>
          <c:y val="0.11615740740740743"/>
          <c:w val="0.81429396325459313"/>
          <c:h val="0.76032935778483612"/>
        </c:manualLayout>
      </c:layout>
      <c:scatterChart>
        <c:scatterStyle val="smoothMarker"/>
        <c:varyColors val="0"/>
        <c:ser>
          <c:idx val="1"/>
          <c:order val="0"/>
          <c:tx>
            <c:strRef>
              <c:f>'ProdGases_Gráficos Ajust France'!$P$41</c:f>
              <c:strCache>
                <c:ptCount val="1"/>
                <c:pt idx="0">
                  <c:v>V_C-100_0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'ProdGases_Gráficos Ajust France'!$Q$40:$AC$40</c:f>
              <c:numCache>
                <c:formatCode>0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9">
                  <c:v>36</c:v>
                </c:pt>
                <c:pt idx="10">
                  <c:v>48</c:v>
                </c:pt>
                <c:pt idx="11">
                  <c:v>72</c:v>
                </c:pt>
                <c:pt idx="12">
                  <c:v>96</c:v>
                </c:pt>
              </c:numCache>
            </c:numRef>
          </c:xVal>
          <c:yVal>
            <c:numRef>
              <c:f>'ProdGases_Gráficos Ajust France'!$Q$41:$AC$41</c:f>
              <c:numCache>
                <c:formatCode>0</c:formatCode>
                <c:ptCount val="13"/>
                <c:pt idx="0">
                  <c:v>0</c:v>
                </c:pt>
                <c:pt idx="1">
                  <c:v>8.6607975047624581</c:v>
                </c:pt>
                <c:pt idx="2">
                  <c:v>27.039871315964394</c:v>
                </c:pt>
                <c:pt idx="3">
                  <c:v>44.286814723976015</c:v>
                </c:pt>
                <c:pt idx="4">
                  <c:v>59.470263101697107</c:v>
                </c:pt>
                <c:pt idx="5">
                  <c:v>76.415274228250794</c:v>
                </c:pt>
                <c:pt idx="6">
                  <c:v>89.988050872419578</c:v>
                </c:pt>
                <c:pt idx="7">
                  <c:v>100.75158044034742</c:v>
                </c:pt>
                <c:pt idx="8">
                  <c:v>112.78513142920171</c:v>
                </c:pt>
                <c:pt idx="9">
                  <c:v>121.1791998903574</c:v>
                </c:pt>
                <c:pt idx="10">
                  <c:v>131.117025863078</c:v>
                </c:pt>
                <c:pt idx="11">
                  <c:v>138.4183368187548</c:v>
                </c:pt>
                <c:pt idx="12">
                  <c:v>140.27614593440953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334-4E53-BDE2-673B4E269679}"/>
            </c:ext>
          </c:extLst>
        </c:ser>
        <c:ser>
          <c:idx val="4"/>
          <c:order val="1"/>
          <c:tx>
            <c:strRef>
              <c:f>'ProdGases_Gráficos Ajust France'!$P$42</c:f>
              <c:strCache>
                <c:ptCount val="1"/>
                <c:pt idx="0">
                  <c:v>V_C-67_33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'ProdGases_Gráficos Ajust France'!$Q$40:$AC$40</c:f>
              <c:numCache>
                <c:formatCode>0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9">
                  <c:v>36</c:v>
                </c:pt>
                <c:pt idx="10">
                  <c:v>48</c:v>
                </c:pt>
                <c:pt idx="11">
                  <c:v>72</c:v>
                </c:pt>
                <c:pt idx="12">
                  <c:v>96</c:v>
                </c:pt>
              </c:numCache>
            </c:numRef>
          </c:xVal>
          <c:yVal>
            <c:numRef>
              <c:f>'ProdGases_Gráficos Ajust France'!$Q$42:$AC$42</c:f>
              <c:numCache>
                <c:formatCode>0</c:formatCode>
                <c:ptCount val="13"/>
                <c:pt idx="0">
                  <c:v>0</c:v>
                </c:pt>
                <c:pt idx="1">
                  <c:v>9.1660681912751709</c:v>
                </c:pt>
                <c:pt idx="2">
                  <c:v>32.538052044412495</c:v>
                </c:pt>
                <c:pt idx="3">
                  <c:v>54.40383235040369</c:v>
                </c:pt>
                <c:pt idx="4">
                  <c:v>73.43059873638974</c:v>
                </c:pt>
                <c:pt idx="5">
                  <c:v>94.280264622789403</c:v>
                </c:pt>
                <c:pt idx="6">
                  <c:v>110.57046412867379</c:v>
                </c:pt>
                <c:pt idx="7">
                  <c:v>123.13295398598768</c:v>
                </c:pt>
                <c:pt idx="8">
                  <c:v>136.65826761776555</c:v>
                </c:pt>
                <c:pt idx="9">
                  <c:v>145.62918926056685</c:v>
                </c:pt>
                <c:pt idx="10">
                  <c:v>155.45048545645412</c:v>
                </c:pt>
                <c:pt idx="11">
                  <c:v>161.56542404091343</c:v>
                </c:pt>
                <c:pt idx="12">
                  <c:v>162.73950618433915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334-4E53-BDE2-673B4E269679}"/>
            </c:ext>
          </c:extLst>
        </c:ser>
        <c:ser>
          <c:idx val="0"/>
          <c:order val="2"/>
          <c:tx>
            <c:strRef>
              <c:f>'ProdGases_Gráficos Ajust France'!$P$43</c:f>
              <c:strCache>
                <c:ptCount val="1"/>
                <c:pt idx="0">
                  <c:v>V_C-33_67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'ProdGases_Gráficos Ajust France'!$Q$40:$AC$40</c:f>
              <c:numCache>
                <c:formatCode>0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9">
                  <c:v>36</c:v>
                </c:pt>
                <c:pt idx="10">
                  <c:v>48</c:v>
                </c:pt>
                <c:pt idx="11">
                  <c:v>72</c:v>
                </c:pt>
                <c:pt idx="12">
                  <c:v>96</c:v>
                </c:pt>
              </c:numCache>
            </c:numRef>
          </c:xVal>
          <c:yVal>
            <c:numRef>
              <c:f>'ProdGases_Gráficos Ajust France'!$Q$43:$AC$43</c:f>
              <c:numCache>
                <c:formatCode>0</c:formatCode>
                <c:ptCount val="13"/>
                <c:pt idx="0">
                  <c:v>0</c:v>
                </c:pt>
                <c:pt idx="1">
                  <c:v>6.5294758696656103</c:v>
                </c:pt>
                <c:pt idx="2">
                  <c:v>34.266520821278732</c:v>
                </c:pt>
                <c:pt idx="3">
                  <c:v>60.70642901612851</c:v>
                </c:pt>
                <c:pt idx="4">
                  <c:v>83.790780110931323</c:v>
                </c:pt>
                <c:pt idx="5">
                  <c:v>109.00478851165785</c:v>
                </c:pt>
                <c:pt idx="6">
                  <c:v>128.53859513111459</c:v>
                </c:pt>
                <c:pt idx="7">
                  <c:v>143.42612721592027</c:v>
                </c:pt>
                <c:pt idx="8">
                  <c:v>159.17468728656252</c:v>
                </c:pt>
                <c:pt idx="9">
                  <c:v>169.36075777504581</c:v>
                </c:pt>
                <c:pt idx="10">
                  <c:v>180.06726672605237</c:v>
                </c:pt>
                <c:pt idx="11">
                  <c:v>186.16501368732372</c:v>
                </c:pt>
                <c:pt idx="12">
                  <c:v>187.16109741822751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334-4E53-BDE2-673B4E269679}"/>
            </c:ext>
          </c:extLst>
        </c:ser>
        <c:ser>
          <c:idx val="2"/>
          <c:order val="3"/>
          <c:tx>
            <c:strRef>
              <c:f>'ProdGases_Gráficos Ajust France'!$P$44</c:f>
              <c:strCache>
                <c:ptCount val="1"/>
                <c:pt idx="0">
                  <c:v>V_C-0_100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'ProdGases_Gráficos Ajust France'!$Q$40:$AC$40</c:f>
              <c:numCache>
                <c:formatCode>0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24</c:v>
                </c:pt>
                <c:pt idx="8">
                  <c:v>30</c:v>
                </c:pt>
                <c:pt idx="9">
                  <c:v>36</c:v>
                </c:pt>
                <c:pt idx="10">
                  <c:v>48</c:v>
                </c:pt>
                <c:pt idx="11">
                  <c:v>72</c:v>
                </c:pt>
                <c:pt idx="12">
                  <c:v>96</c:v>
                </c:pt>
              </c:numCache>
            </c:numRef>
          </c:xVal>
          <c:yVal>
            <c:numRef>
              <c:f>'ProdGases_Gráficos Ajust France'!$Q$44:$AC$44</c:f>
              <c:numCache>
                <c:formatCode>0</c:formatCode>
                <c:ptCount val="13"/>
                <c:pt idx="0">
                  <c:v>0</c:v>
                </c:pt>
                <c:pt idx="1">
                  <c:v>6.2055136312452772</c:v>
                </c:pt>
                <c:pt idx="2">
                  <c:v>35.97220288612727</c:v>
                </c:pt>
                <c:pt idx="3">
                  <c:v>64.399573733825619</c:v>
                </c:pt>
                <c:pt idx="4">
                  <c:v>89.251927857148871</c:v>
                </c:pt>
                <c:pt idx="5">
                  <c:v>116.42472479342867</c:v>
                </c:pt>
                <c:pt idx="6">
                  <c:v>137.48661562576694</c:v>
                </c:pt>
                <c:pt idx="7">
                  <c:v>153.53385926879176</c:v>
                </c:pt>
                <c:pt idx="8">
                  <c:v>170.48181211449949</c:v>
                </c:pt>
                <c:pt idx="9">
                  <c:v>181.40136367580081</c:v>
                </c:pt>
                <c:pt idx="10">
                  <c:v>192.77089653086844</c:v>
                </c:pt>
                <c:pt idx="11">
                  <c:v>199.05292325034631</c:v>
                </c:pt>
                <c:pt idx="12">
                  <c:v>200.00214335729572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5334-4E53-BDE2-673B4E269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8839008"/>
        <c:axId val="638835072"/>
      </c:scatterChart>
      <c:valAx>
        <c:axId val="638839008"/>
        <c:scaling>
          <c:orientation val="minMax"/>
          <c:max val="96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38835072"/>
        <c:crosses val="autoZero"/>
        <c:crossBetween val="midCat"/>
        <c:majorUnit val="12"/>
        <c:minorUnit val="6"/>
      </c:valAx>
      <c:valAx>
        <c:axId val="638835072"/>
        <c:scaling>
          <c:orientation val="minMax"/>
          <c:max val="250"/>
          <c:min val="0"/>
        </c:scaling>
        <c:delete val="0"/>
        <c:axPos val="l"/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6388390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411358723489221"/>
          <c:y val="0.53650136005726556"/>
          <c:w val="0.42187795709659776"/>
          <c:h val="0.26890737294201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2843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Ana Vitoria Cirqueira</cp:lastModifiedBy>
  <cp:revision>2</cp:revision>
  <cp:lastPrinted>2023-10-31T16:19:00Z</cp:lastPrinted>
  <dcterms:created xsi:type="dcterms:W3CDTF">2023-11-03T21:14:00Z</dcterms:created>
  <dcterms:modified xsi:type="dcterms:W3CDTF">2023-11-03T21:14:00Z</dcterms:modified>
</cp:coreProperties>
</file>