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ARÉA TEMÁTICA: Ecologia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Invertebrados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A OCORRÊNCIA DA ESPÉCIE INVASORA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Melanoides tuberculatus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SISTEMA ADUTOR DE UM RAMAL DE TRANSPOSIÇÃO DO RIO SÃO FRANCISCO NO NORDESTE DO BRASIL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Jéssica Cristina Mendes de Oliveira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1</w:t>
      </w:r>
      <w:r w:rsidDel="00000000" w:rsidR="00000000" w:rsidRPr="00000000">
        <w:rPr>
          <w:sz w:val="20"/>
          <w:szCs w:val="20"/>
          <w:rtl w:val="0"/>
        </w:rPr>
        <w:t xml:space="preserve">, Virgínia Rayanne Soares de Souza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Camila Ferreira Alves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Rhuanny Danielly Marques de Almeida Silva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, Ícaro César Ferreira Chaves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, Guilherme Silva de Freitas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, Artur Torquato Pereira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sz w:val="20"/>
          <w:szCs w:val="20"/>
          <w:rtl w:val="0"/>
        </w:rPr>
        <w:t xml:space="preserve">, Múcio Luiz Banja Fernandes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sz w:val="20"/>
          <w:szCs w:val="20"/>
          <w:rtl w:val="0"/>
        </w:rPr>
        <w:t xml:space="preserve">Universidade de Pernambuco (UPE), Campus Recife. E-mail: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jessica.cristinamendes@upe.br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Universidade de Pernambuco (UPE), Campus Recife</w:t>
      </w:r>
      <w:r w:rsidDel="00000000" w:rsidR="00000000" w:rsidRPr="00000000">
        <w:rPr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virginia.souza@iati.org.br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sz w:val="20"/>
          <w:szCs w:val="20"/>
          <w:rtl w:val="0"/>
        </w:rPr>
        <w:t xml:space="preserve">Universidade de Pernambuco (UPE), Campus Recife. E-mail: </w:t>
      </w:r>
      <w:hyperlink r:id="rId9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camila.alves@iati.org.br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sz w:val="20"/>
          <w:szCs w:val="20"/>
          <w:rtl w:val="0"/>
        </w:rPr>
        <w:t xml:space="preserve">Universidade de Pernambuco (UPE), Campus Mata Norte. E-mail: </w:t>
      </w:r>
      <w:hyperlink r:id="rId10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rhuannydanielly@gmail.com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sz w:val="20"/>
          <w:szCs w:val="20"/>
          <w:rtl w:val="0"/>
        </w:rPr>
        <w:t xml:space="preserve">Centro Universitário Estácio do Recife, Campus Recife. E-mail: </w:t>
      </w:r>
      <w:hyperlink r:id="rId11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icarocesarferreira@grad.fafire.br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 Centro Universitário Brasileiro (UNIBRA), Recife. E-mail: </w:t>
      </w:r>
      <w:hyperlink r:id="rId12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guisilvadefreitas2012@gmail.com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7 </w:t>
      </w:r>
      <w:r w:rsidDel="00000000" w:rsidR="00000000" w:rsidRPr="00000000">
        <w:rPr>
          <w:sz w:val="20"/>
          <w:szCs w:val="20"/>
          <w:rtl w:val="0"/>
        </w:rPr>
        <w:t xml:space="preserve">Instituto Avançado de Tecnologia e Inovação (IATI), Recife. E-mail: arturtps96@gmail.com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sz w:val="20"/>
          <w:szCs w:val="20"/>
          <w:rtl w:val="0"/>
        </w:rPr>
        <w:t xml:space="preserve"> Universidade de Pernambuco (UPE), Campus Mata Norte. E-mail: mucio.banja@upe.br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Melanoides tuberculatus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compõem a Classe dos Gastrópodes que podem vir a invadir e estabelecer populações globalmente. Sendo originados na África e Ásia, onde novas populações ocorrem em todo o mundo, com exemplos no Caribe, Estados Unidos, Brasil, Nova Zelândia e Polônia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(Weir;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Salice, 2011; Roessler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et al.,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1977; Derraik, 2008; Maciaszek et al., 2019).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 Caribe, eles foram intencionalmente distribuídos em ambientes aquáticos para controlar populações de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Biomphalaria glabrata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hospedeiro intermediário do parasita humano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Schistosoma mansoni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(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Weir; Salice, 2011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). Esta espécie estabeleceu populações de sucesso no Brasil após sua introdução inicial antes da década de 1970 e desde então foi identificada em 351 municípios em 20 estados (Coelho, 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Apesar do método de introdução, para estabelecer uma população de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M. tuberculatus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deve possuir adaptações e resistência a uma variedade de habitat</w:t>
      </w:r>
      <w:r w:rsidDel="00000000" w:rsidR="00000000" w:rsidRPr="00000000">
        <w:rPr>
          <w:sz w:val="20"/>
          <w:szCs w:val="20"/>
          <w:rtl w:val="0"/>
        </w:rPr>
        <w:t xml:space="preserve">s, no qual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fatores foram atribuídos ao auxílio no sucesso de sua distribuição</w:t>
      </w:r>
      <w:r w:rsidDel="00000000" w:rsidR="00000000" w:rsidRPr="00000000">
        <w:rPr>
          <w:sz w:val="20"/>
          <w:szCs w:val="20"/>
          <w:rtl w:val="0"/>
        </w:rPr>
        <w:t xml:space="preserve"> (Abílio et al., 2007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). É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provável que uma combinação de fatores permita seu sucesso como espécie invasora. 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Um deles sendo sua resistência à poluição e metais pesados, mostrando capacidade de sobrevivência com alta bioacumulação (Lau et al., 1998). A resistência à salinidade em água salobra foi atribuída ao sucesso em algumas regiões e o estabelecimento por meio de alta fecundidade também foi um fator sugerido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(Ibrahim et al., 2005; Work; Mills, 2013)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A resistência a parasitas locais oferece uma vantagem sobre as populações locais, permitindo seu deslocamento (Genner et al., 2007).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Neste sentido, este trabalho tem como objetivo identificar a ocorrência e dispersão do molusco invasor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Melanoides tuberculatus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 canal de transposição do Rio São Francisco no nordeste do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</w:p>
    <w:p w:rsidR="00000000" w:rsidDel="00000000" w:rsidP="00000000" w:rsidRDefault="00000000" w:rsidRPr="00000000" w14:paraId="00000018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Foram coletadas 372 amostras de sedimento considerando margem e fundo, o sedimento de margem foi coletado de modo manual enquanto o de fundo por meio de draga,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durante o período de agosto a outubro de 2022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endo estudados os eixos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Leste (São Francisco, Paraíba, Moxotó, Ceará e Pajeú) e Norte (São Francisco, Brígida, Piranhas, Apodi e Jaguaribe)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das bacias hidrográficas setentrionais do Nordeste do Brasil. Os sedimentos foram peneirados através de lavagens sucessivas, passando gradativamente pelos seguintes procedimentos para a retirada e limpeza do zoobentos associados: lavagem sob água corrente, processando-se seu peneiramento sobre malha granulométrica 2,0 mm, todo o material que permaneceu na peneira foi depositado em bandeja para retiradas dos organismos. Todos os organismos retidos da triagem foram depositados em recipientes com formol a 4% para posteriormente serem identificados e quantificados de acordo com os pontos. Para identificação das espécies foi utilizado como base o manual de identificação de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macroinvertebrados aquáticos (</w:t>
      </w:r>
      <w:r w:rsidDel="00000000" w:rsidR="00000000" w:rsidRPr="00000000">
        <w:rPr>
          <w:sz w:val="20"/>
          <w:szCs w:val="20"/>
          <w:rtl w:val="0"/>
        </w:rPr>
        <w:t xml:space="preserve">Mugnai, Nessimian &amp; Baptista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2010)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 lupa estereoscópica.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C">
      <w:pPr>
        <w:spacing w:line="24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área de amostragem foram encontrados ao total de 29.814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Melanoides tuberculatus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possuindo em suas características uma boa adaptação que reflete o grande quantitativo de indivíduos na área,  afirmando que mesmo com transformações no ecossistema, as espécies que são consideradas invasoras se favorecem dos recursos e da falta de predador natural (</w:t>
      </w:r>
      <w:r w:rsidDel="00000000" w:rsidR="00000000" w:rsidRPr="00000000">
        <w:rPr>
          <w:sz w:val="20"/>
          <w:szCs w:val="20"/>
          <w:rtl w:val="0"/>
        </w:rPr>
        <w:t xml:space="preserve">Silva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et al.,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2019), sendo assim, uma espécie exótica existente em uma determinada região se adapta facilmente, consequentemente, ocupando temporariamente eixos em ambientes aquáticos (Abílio, 2003).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eixo Norte com 42 pontos se destaca com 21.979 </w:t>
      </w:r>
      <w:r w:rsidDel="00000000" w:rsidR="00000000" w:rsidRPr="00000000">
        <w:rPr>
          <w:sz w:val="20"/>
          <w:szCs w:val="20"/>
          <w:rtl w:val="0"/>
        </w:rPr>
        <w:t xml:space="preserve">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M. tuberculatus</w:t>
      </w:r>
      <w:r w:rsidDel="00000000" w:rsidR="00000000" w:rsidRPr="00000000">
        <w:rPr>
          <w:sz w:val="20"/>
          <w:szCs w:val="20"/>
          <w:rtl w:val="0"/>
        </w:rPr>
        <w:t xml:space="preserve"> (Fig. 1)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colaborando com os resultados de </w:t>
      </w:r>
      <w:r w:rsidDel="00000000" w:rsidR="00000000" w:rsidRPr="00000000">
        <w:rPr>
          <w:sz w:val="20"/>
          <w:szCs w:val="20"/>
          <w:rtl w:val="0"/>
        </w:rPr>
        <w:t xml:space="preserve">Molozzi et al.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(201</w:t>
      </w: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que observa predominância do </w:t>
      </w:r>
      <w:r w:rsidDel="00000000" w:rsidR="00000000" w:rsidRPr="00000000">
        <w:rPr>
          <w:sz w:val="20"/>
          <w:szCs w:val="20"/>
          <w:rtl w:val="0"/>
        </w:rPr>
        <w:t xml:space="preserve">em áreas de reservatório urbanos em Minas Gerais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dando ênfase a ser propicia uma maior distribuição de parasitoses transmitidas por moluscos. </w:t>
      </w:r>
      <w:r w:rsidDel="00000000" w:rsidR="00000000" w:rsidRPr="00000000">
        <w:rPr>
          <w:sz w:val="20"/>
          <w:szCs w:val="20"/>
          <w:rtl w:val="0"/>
        </w:rPr>
        <w:t xml:space="preserve">Enquanto o eixo Leste com 31 pontos de amostragem e representando 7.835 organismos (Fig. 1). Estes resultados mostram a diferença entre a abundância do bioinvasor com as demais espécies identificadas nos diferentes eixos das bacias hidrográficas setentrionais do Nordeste do Brasil, podendo ser levado em consideração os fatores ambientais e concorrência habitacional com outros organismos. Em comparação ao quantitativo dos pontos amostrais por eixos, não apresentam relevância na distribuição das espécies, uma vez que a transposição do Rio São Francisco deu início pelo eixo Norte no ano de 2007 (Sousa et al., 2018), enquanto o eixo leste, no ano de 2017 (Carvalho, 2015). Neste sentido, as espécies tendem a se estabelecer mais no eixo Norte devido ao período de instalação.</w:t>
      </w:r>
    </w:p>
    <w:p w:rsidR="00000000" w:rsidDel="00000000" w:rsidP="00000000" w:rsidRDefault="00000000" w:rsidRPr="00000000" w14:paraId="0000001E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3695700" cy="2164080"/>
            <wp:effectExtent b="0" l="0" r="0" t="0"/>
            <wp:docPr descr="https://lh5.googleusercontent.com/QilO8vEY_NxRkVDPS1Pbt3XKZd2nY-pJDuUCRsyTMKv_bPmxu4WkvCd2fZGuY9QYNOiBb9ZGR0bN-Qi0rwbPcnI2hkl8-N3_lCfGImA5RvOur4PifyV8zqeJEVsYfc_Cik2su5HVlOUPWuxnM_XCxec" id="3" name="image1.png"/>
            <a:graphic>
              <a:graphicData uri="http://schemas.openxmlformats.org/drawingml/2006/picture">
                <pic:pic>
                  <pic:nvPicPr>
                    <pic:cNvPr descr="https://lh5.googleusercontent.com/QilO8vEY_NxRkVDPS1Pbt3XKZd2nY-pJDuUCRsyTMKv_bPmxu4WkvCd2fZGuY9QYNOiBb9ZGR0bN-Qi0rwbPcnI2hkl8-N3_lCfGImA5RvOur4PifyV8zqeJEVsYfc_Cik2su5HVlOUPWuxnM_XCxec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164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Figura 1. Predominância da espécie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Melanoides tuberculatus nos eixos Norte e Leste das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bacias hidrográficas setentrionais do Nordeste do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presente estudo apresentou o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Melanoides tuberculatus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com maior dominância nos pontos de coletas, contendo um potencial invasivo e adaptativo, sendo essa espécie exótica um dos principais hospedeiros de parasitoses humanas causadoras de graves doenças no fígado e pulmão.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Portanto, é de grande relevância ampliar os estudos referente a espécie e acrescentar uma devida atenção à saúde pública, incluindo as condições sanitárias, promovendo pesquisas aprofundadas e educação para comunidades locais.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Abílio, F. J. P. (2003) “Gastrópodes e outros invertebrados bentônicos do sedimento litorâneo e associados a macrófitas aquáticas em açudes do semi-árido paraibano, nordeste do Brasil/ São Carlos: UFSCar. Disponível em: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https://repositorio.ufscar.br/bitstream/handle/ufscar/1730/TeseFJPA.pdf?sequence=1&amp;isAllowed=y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Abílio, F.J.P.; Ruffo, T.L.M.; Souza, A.H.F.F.; Florentino, H.S.; Junior, E.T.O.; Meireles, B.N. &amp; Santana, A.C. (2007) Macroinvertebrados bentônicos como bioindicadores de qualidade ambiental de corpos aquáticos da Caatinga. Oecologia Brasiliensis, (11) 3, pp. 397-409</w:t>
      </w:r>
    </w:p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Carvalho, L.A. (2015) As representações sociais da transposição do Rio São Francisco na imprensa escrita brasileira. Universidade Federal do Espírito Santos, Dissertação de mestrado.</w:t>
      </w:r>
    </w:p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Coelho, P. (2018) “Updated distribution and range expansion of the gastropod invader melanoides tuberculata (Müller, 1774) in Brazilian waters,” BioInvasions Records, 7(4), pp. 405–409. Available at: https://doi.org/10.3391/bir.2018.7.4.08. </w:t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Derraik, J.G.B. (2008) “The potential significance to human health associated with the establishment of the snail Melanoides tuberculata in New Zealand ,” The New Zealand Medical Journal, 121(1280), pp. 25–32. Available at: https://doi.org/http://www.nzma.org.nz/journal/121-1280/3221/. </w:t>
      </w:r>
    </w:p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Genner, M.J., Michel, E. &amp;  Todd, J.A. (2007) “Resistance of an invasive gastropod to an indigenous trematode parasite in lake malawi,” Biological Invasions, 10(1), pp. 41–49. Available at: https://doi.org/10.1007/s10530-007-9105-1. </w:t>
      </w:r>
    </w:p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Ibrahim, M.M.I., Shalaby, I.M.I. &amp; Salem, M.A.M. (2005) “ Freshwater Snails And Larval Trematode Communities Inal-Salam Irrigation Canal ,” Academia, pp. 1–11. </w:t>
      </w:r>
    </w:p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Lau, S., Mahamed, M., A THAN, C.Y. &amp; Su’ut, S.B.  998) “Accumulation of heavy metals in freshwater molluscs,” Science of The Total Environment, 214(1-3), pp. 113–121. Available at: https://doi.org/10.1016/s0048-9697(98)00058-8.</w:t>
      </w:r>
    </w:p>
    <w:p w:rsidR="00000000" w:rsidDel="00000000" w:rsidP="00000000" w:rsidRDefault="00000000" w:rsidRPr="00000000" w14:paraId="0000003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Maciaszek, R., Sosnowski, W. and Wilk, S. (2019) “Tropical snail Melanoides tuberculata Müller, 1774 (Thiaridae) found in thermally polluted canal in Central Poland,” World Scientific News, 122, pp. 249–254. </w:t>
      </w:r>
    </w:p>
    <w:p w:rsidR="00000000" w:rsidDel="00000000" w:rsidP="00000000" w:rsidRDefault="00000000" w:rsidRPr="00000000" w14:paraId="0000003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Molozzi, J.; França, J.S.; Araujo, T.L.A.; Viana, T.H.; Hughes, R.M. &amp; Callisto, M. (2011) Diversidade de habitats físicos e sua relação com macroinvertebrados bentônicos em reservatórios urbanos em Minas Gerais. Iheringia, Série Zoologia, 101 (3), pp. 191-1999</w:t>
      </w:r>
    </w:p>
    <w:p w:rsidR="00000000" w:rsidDel="00000000" w:rsidP="00000000" w:rsidRDefault="00000000" w:rsidRPr="00000000" w14:paraId="0000003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Roessler, M.A., Beardsley, G.L. &amp; Tabb, D.C. (1977) “New Records Of The Introduced Snail, Melanoides Tuberculata (Mollusca: Thiaridae) In South Florida,” Florida Scientist, 40(1), pp. 87–94. Available at: https://doi.org/http://www.jstor.org/stable/24319439. </w:t>
      </w:r>
    </w:p>
    <w:p w:rsidR="00000000" w:rsidDel="00000000" w:rsidP="00000000" w:rsidRDefault="00000000" w:rsidRPr="00000000" w14:paraId="0000003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Sousa, L.A.; Almeida, L.K.P. &amp; Santos, P.S.A. (2018). Transposição do Rio São Francisco: A história que gera benefícios e malefícios aos brasileiros, Reiva revista. </w:t>
      </w:r>
    </w:p>
    <w:p w:rsidR="00000000" w:rsidDel="00000000" w:rsidP="00000000" w:rsidRDefault="00000000" w:rsidRPr="00000000" w14:paraId="0000004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Silva, E. L., Leal, M.F., Santos, O., Rocha, A.J., Pacheco, A.C.L. &amp; Pinheiro, T.G. (2019)  “New records of the invasive mollusk Melanoides tuberculata (Müller, 1774) (Gastropoda, Thiaridae) in the Brazilian Northeast”, Check List, 15 (3), pp . 479-482. </w:t>
      </w:r>
    </w:p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Weir, S.M. &amp; Salice, C.J. (2011) “High tolerance to abiotic stressors and invasion success of the slow growing freshwater snail, melanoides tuberculatus,” Biological Invasions, 14(2), pp. 385–394. Available at: https://doi.org/10.1007/s10530-011-0084-x. </w:t>
      </w:r>
    </w:p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Work, K. &amp; Mills, C. (2013) “Rapid population growth countered high mortality in a demographic study of the invasive snail, melanoides tuberculata (Müller, 1774), in Florida,” Aquatic Invasions, 8(4), pp. 417–425. Available at: https://doi.org/10.3391/ai.2013.8.4.05.</w:t>
      </w:r>
    </w:p>
    <w:p w:rsidR="00000000" w:rsidDel="00000000" w:rsidP="00000000" w:rsidRDefault="00000000" w:rsidRPr="00000000" w14:paraId="0000004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2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ffff"/>
      </w:rPr>
      <w:drawing>
        <wp:inline distB="0" distT="0" distL="114300" distR="114300">
          <wp:extent cx="1776095" cy="798195"/>
          <wp:effectExtent b="0" l="0" r="0" t="0"/>
          <wp:docPr descr="Logo_CORR 1" id="4" name="image2.png"/>
          <a:graphic>
            <a:graphicData uri="http://schemas.openxmlformats.org/drawingml/2006/picture">
              <pic:pic>
                <pic:nvPicPr>
                  <pic:cNvPr descr="Logo_CORR 1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ffffff"/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carocesarferreira@grad.fafire.br" TargetMode="External"/><Relationship Id="rId10" Type="http://schemas.openxmlformats.org/officeDocument/2006/relationships/hyperlink" Target="mailto:rhuannydanielly@gmail.com" TargetMode="External"/><Relationship Id="rId13" Type="http://schemas.openxmlformats.org/officeDocument/2006/relationships/image" Target="media/image1.png"/><Relationship Id="rId12" Type="http://schemas.openxmlformats.org/officeDocument/2006/relationships/hyperlink" Target="mailto:guisilvadefreitas2012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mila.alves@iati.org.br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repositorio.ufscar.br/bitstream/handle/ufscar/1730/TeseFJPA.pdf?sequence=1&amp;isAllowed=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ssica.cristinamendes@upe.br" TargetMode="External"/><Relationship Id="rId8" Type="http://schemas.openxmlformats.org/officeDocument/2006/relationships/hyperlink" Target="mailto:virginia.souza@iati.org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nleAsPG2SK/+lNq2gEj7VoAWg==">CgMxLjAyCGguZ2pkZ3hzMgloLjMwajB6bGwyCWguMWZvYjl0ZTgAciExRDN6SHZBZzNGbW5SUDY2bEhLRnZVd2JIcTA1YTVvYzQ=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