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AB38" w14:textId="77777777" w:rsidR="00792C68" w:rsidRDefault="00792C68" w:rsidP="003F6E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186523" w14:textId="19F0C3E5" w:rsidR="003F6ED0" w:rsidRPr="00947091" w:rsidRDefault="003F6ED0" w:rsidP="003F6E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7091">
        <w:rPr>
          <w:rFonts w:ascii="Arial" w:hAnsi="Arial" w:cs="Arial"/>
          <w:b/>
          <w:bCs/>
          <w:sz w:val="24"/>
          <w:szCs w:val="24"/>
        </w:rPr>
        <w:t xml:space="preserve">ÓBITOS </w:t>
      </w:r>
      <w:r w:rsidR="002241D1">
        <w:rPr>
          <w:rFonts w:ascii="Arial" w:hAnsi="Arial" w:cs="Arial"/>
          <w:b/>
          <w:bCs/>
          <w:sz w:val="24"/>
          <w:szCs w:val="24"/>
        </w:rPr>
        <w:t>DURANTE O</w:t>
      </w:r>
      <w:r w:rsidRPr="00947091">
        <w:rPr>
          <w:rFonts w:ascii="Arial" w:hAnsi="Arial" w:cs="Arial"/>
          <w:b/>
          <w:bCs/>
          <w:sz w:val="24"/>
          <w:szCs w:val="24"/>
        </w:rPr>
        <w:t xml:space="preserve"> VOO DE </w:t>
      </w:r>
      <w:r w:rsidR="00DD0AC6" w:rsidRPr="00947091">
        <w:rPr>
          <w:rFonts w:ascii="Arial" w:hAnsi="Arial" w:cs="Arial"/>
          <w:b/>
          <w:bCs/>
          <w:sz w:val="24"/>
          <w:szCs w:val="24"/>
        </w:rPr>
        <w:t xml:space="preserve">PACIENTES </w:t>
      </w:r>
      <w:r w:rsidR="002241D1">
        <w:rPr>
          <w:rFonts w:ascii="Arial" w:hAnsi="Arial" w:cs="Arial"/>
          <w:b/>
          <w:bCs/>
          <w:sz w:val="24"/>
          <w:szCs w:val="24"/>
        </w:rPr>
        <w:t xml:space="preserve">AERORREMOVIDOS </w:t>
      </w:r>
      <w:r w:rsidR="00E52FDE" w:rsidRPr="00947091">
        <w:rPr>
          <w:rFonts w:ascii="Arial" w:hAnsi="Arial" w:cs="Arial"/>
          <w:b/>
          <w:bCs/>
          <w:sz w:val="24"/>
          <w:szCs w:val="24"/>
        </w:rPr>
        <w:t>DO INTERIOR DO ESTADO DO AMAZONAS PARA A CAPITAL MANAUS</w:t>
      </w:r>
      <w:r w:rsidRPr="009470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C6D87E" w14:textId="6C292053" w:rsidR="009C5972" w:rsidRPr="00351506" w:rsidRDefault="00882E60" w:rsidP="003F7469">
      <w:pPr>
        <w:rPr>
          <w:rFonts w:ascii="Arial" w:hAnsi="Arial" w:cs="Arial"/>
          <w:bCs/>
          <w:sz w:val="24"/>
          <w:szCs w:val="24"/>
        </w:rPr>
      </w:pPr>
      <w:r w:rsidRPr="00351506">
        <w:rPr>
          <w:rFonts w:ascii="Arial" w:hAnsi="Arial" w:cs="Arial"/>
          <w:bCs/>
          <w:sz w:val="24"/>
          <w:szCs w:val="24"/>
        </w:rPr>
        <w:t>Alexandre de Souza VIEIRA</w:t>
      </w:r>
      <w:r w:rsidR="00792C68">
        <w:rPr>
          <w:rFonts w:ascii="Arial" w:hAnsi="Arial" w:cs="Arial"/>
          <w:bCs/>
          <w:sz w:val="24"/>
          <w:szCs w:val="24"/>
        </w:rPr>
        <w:t>; Tatianne Borges PINTO; Silvio</w:t>
      </w:r>
      <w:r w:rsidRPr="00351506">
        <w:rPr>
          <w:rFonts w:ascii="Arial" w:hAnsi="Arial" w:cs="Arial"/>
          <w:bCs/>
          <w:sz w:val="24"/>
          <w:szCs w:val="24"/>
        </w:rPr>
        <w:t xml:space="preserve"> </w:t>
      </w:r>
      <w:r w:rsidR="003C78B5">
        <w:rPr>
          <w:rFonts w:ascii="Arial" w:hAnsi="Arial" w:cs="Arial"/>
          <w:bCs/>
          <w:sz w:val="24"/>
          <w:szCs w:val="24"/>
        </w:rPr>
        <w:t>Cézar MOREIRA</w:t>
      </w:r>
      <w:r w:rsidRPr="00351506">
        <w:rPr>
          <w:rFonts w:ascii="Arial" w:hAnsi="Arial" w:cs="Arial"/>
          <w:bCs/>
          <w:sz w:val="24"/>
          <w:szCs w:val="24"/>
        </w:rPr>
        <w:t>; Lilia de Souza NOGUEIRA</w:t>
      </w:r>
    </w:p>
    <w:p w14:paraId="6E14189C" w14:textId="1C0A2893" w:rsidR="009C5972" w:rsidRPr="00351506" w:rsidRDefault="009C5972" w:rsidP="00B1162E">
      <w:pPr>
        <w:jc w:val="center"/>
        <w:rPr>
          <w:rFonts w:ascii="Arial" w:hAnsi="Arial" w:cs="Arial"/>
          <w:bCs/>
          <w:sz w:val="24"/>
          <w:szCs w:val="24"/>
        </w:rPr>
      </w:pPr>
      <w:r w:rsidRPr="00351506">
        <w:rPr>
          <w:rFonts w:ascii="Arial" w:hAnsi="Arial" w:cs="Arial"/>
          <w:bCs/>
          <w:sz w:val="24"/>
          <w:szCs w:val="24"/>
        </w:rPr>
        <w:t>RESUMO</w:t>
      </w:r>
    </w:p>
    <w:p w14:paraId="4CC3516A" w14:textId="61919DB0" w:rsidR="009C5972" w:rsidRDefault="009C5972" w:rsidP="0074187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51506">
        <w:rPr>
          <w:rFonts w:ascii="Arial" w:hAnsi="Arial" w:cs="Arial"/>
          <w:bCs/>
          <w:sz w:val="24"/>
          <w:szCs w:val="24"/>
        </w:rPr>
        <w:t xml:space="preserve">O estado do Amazonas possui </w:t>
      </w:r>
      <w:r w:rsidR="002352BF">
        <w:rPr>
          <w:rFonts w:ascii="Arial" w:hAnsi="Arial" w:cs="Arial"/>
          <w:bCs/>
          <w:sz w:val="24"/>
          <w:szCs w:val="24"/>
        </w:rPr>
        <w:t xml:space="preserve">grandes </w:t>
      </w:r>
      <w:r w:rsidRPr="00351506">
        <w:rPr>
          <w:rFonts w:ascii="Arial" w:hAnsi="Arial" w:cs="Arial"/>
          <w:bCs/>
          <w:sz w:val="24"/>
          <w:szCs w:val="24"/>
        </w:rPr>
        <w:t>dimensões continentais fazendo fronteira com a Colômbia, Peru e Venezuela</w:t>
      </w:r>
      <w:r w:rsidR="002352BF">
        <w:rPr>
          <w:rFonts w:ascii="Arial" w:hAnsi="Arial" w:cs="Arial"/>
          <w:bCs/>
          <w:sz w:val="24"/>
          <w:szCs w:val="24"/>
        </w:rPr>
        <w:t>. A</w:t>
      </w:r>
      <w:r w:rsidR="00741873">
        <w:rPr>
          <w:rFonts w:ascii="Arial" w:hAnsi="Arial" w:cs="Arial"/>
          <w:bCs/>
          <w:sz w:val="24"/>
          <w:szCs w:val="24"/>
        </w:rPr>
        <w:t xml:space="preserve"> rarefação populacional, a</w:t>
      </w:r>
      <w:r w:rsidR="002352BF">
        <w:rPr>
          <w:rFonts w:ascii="Arial" w:hAnsi="Arial" w:cs="Arial"/>
          <w:bCs/>
          <w:sz w:val="24"/>
          <w:szCs w:val="24"/>
        </w:rPr>
        <w:t xml:space="preserve"> presença de</w:t>
      </w:r>
      <w:r w:rsidRPr="00351506">
        <w:rPr>
          <w:rFonts w:ascii="Arial" w:hAnsi="Arial" w:cs="Arial"/>
          <w:bCs/>
          <w:sz w:val="24"/>
          <w:szCs w:val="24"/>
        </w:rPr>
        <w:t xml:space="preserve"> locais de difícil acesso </w:t>
      </w:r>
      <w:r w:rsidR="00741873">
        <w:rPr>
          <w:rFonts w:ascii="Arial" w:hAnsi="Arial" w:cs="Arial"/>
          <w:bCs/>
          <w:sz w:val="24"/>
          <w:szCs w:val="24"/>
        </w:rPr>
        <w:t>por</w:t>
      </w:r>
      <w:r w:rsidR="002352BF">
        <w:rPr>
          <w:rFonts w:ascii="Arial" w:hAnsi="Arial" w:cs="Arial"/>
          <w:bCs/>
          <w:sz w:val="24"/>
          <w:szCs w:val="24"/>
        </w:rPr>
        <w:t xml:space="preserve"> barco</w:t>
      </w:r>
      <w:r w:rsidR="00741873">
        <w:rPr>
          <w:rFonts w:ascii="Arial" w:hAnsi="Arial" w:cs="Arial"/>
          <w:bCs/>
          <w:sz w:val="24"/>
          <w:szCs w:val="24"/>
        </w:rPr>
        <w:t xml:space="preserve"> e a elevada </w:t>
      </w:r>
      <w:r w:rsidR="009704C3">
        <w:rPr>
          <w:rFonts w:ascii="Arial" w:hAnsi="Arial" w:cs="Arial"/>
          <w:bCs/>
          <w:sz w:val="24"/>
          <w:szCs w:val="24"/>
        </w:rPr>
        <w:t>duração de deslocamento</w:t>
      </w:r>
      <w:r w:rsidR="00741873">
        <w:rPr>
          <w:rFonts w:ascii="Arial" w:hAnsi="Arial" w:cs="Arial"/>
          <w:bCs/>
          <w:sz w:val="24"/>
          <w:szCs w:val="24"/>
        </w:rPr>
        <w:t xml:space="preserve"> (horas ou dias) por este meio</w:t>
      </w:r>
      <w:r w:rsidR="002352BF">
        <w:rPr>
          <w:rFonts w:ascii="Arial" w:hAnsi="Arial" w:cs="Arial"/>
          <w:bCs/>
          <w:sz w:val="24"/>
          <w:szCs w:val="24"/>
        </w:rPr>
        <w:t xml:space="preserve">, reforçam a importância do transporte </w:t>
      </w:r>
      <w:proofErr w:type="spellStart"/>
      <w:r w:rsidR="002352BF">
        <w:rPr>
          <w:rFonts w:ascii="Arial" w:hAnsi="Arial" w:cs="Arial"/>
          <w:bCs/>
          <w:sz w:val="24"/>
          <w:szCs w:val="24"/>
        </w:rPr>
        <w:t>aeromédico</w:t>
      </w:r>
      <w:proofErr w:type="spellEnd"/>
      <w:r w:rsidR="002352BF">
        <w:rPr>
          <w:rFonts w:ascii="Arial" w:hAnsi="Arial" w:cs="Arial"/>
          <w:bCs/>
          <w:sz w:val="24"/>
          <w:szCs w:val="24"/>
        </w:rPr>
        <w:t xml:space="preserve"> na região</w:t>
      </w:r>
      <w:r w:rsidR="00351506">
        <w:rPr>
          <w:rFonts w:ascii="Arial" w:hAnsi="Arial" w:cs="Arial"/>
          <w:bCs/>
          <w:sz w:val="24"/>
          <w:szCs w:val="24"/>
        </w:rPr>
        <w:t xml:space="preserve">. </w:t>
      </w:r>
      <w:r w:rsidR="00741873">
        <w:rPr>
          <w:rFonts w:ascii="Arial" w:hAnsi="Arial" w:cs="Arial"/>
          <w:bCs/>
          <w:sz w:val="24"/>
          <w:szCs w:val="24"/>
        </w:rPr>
        <w:t>Esta pesquisa</w:t>
      </w:r>
      <w:r w:rsidR="00351506">
        <w:rPr>
          <w:rFonts w:ascii="Arial" w:hAnsi="Arial" w:cs="Arial"/>
          <w:bCs/>
          <w:sz w:val="24"/>
          <w:szCs w:val="24"/>
        </w:rPr>
        <w:t xml:space="preserve"> teve por objetivo </w:t>
      </w:r>
      <w:r w:rsidR="00741873">
        <w:rPr>
          <w:rFonts w:ascii="Arial" w:hAnsi="Arial" w:cs="Arial"/>
          <w:sz w:val="24"/>
          <w:szCs w:val="24"/>
        </w:rPr>
        <w:t xml:space="preserve">descrever as características dos pacientes que evoluíram a óbito durante o transporte </w:t>
      </w:r>
      <w:proofErr w:type="spellStart"/>
      <w:r w:rsidR="00741873">
        <w:rPr>
          <w:rFonts w:ascii="Arial" w:hAnsi="Arial" w:cs="Arial"/>
          <w:sz w:val="24"/>
          <w:szCs w:val="24"/>
        </w:rPr>
        <w:t>aeromédico</w:t>
      </w:r>
      <w:proofErr w:type="spellEnd"/>
      <w:r w:rsidR="00A82CC3">
        <w:rPr>
          <w:rFonts w:ascii="Arial" w:hAnsi="Arial" w:cs="Arial"/>
          <w:sz w:val="24"/>
          <w:szCs w:val="24"/>
        </w:rPr>
        <w:t xml:space="preserve"> do interior do estado do Amazonas para a capital Manaus</w:t>
      </w:r>
      <w:r w:rsidR="002352BF">
        <w:rPr>
          <w:rFonts w:ascii="Arial" w:hAnsi="Arial" w:cs="Arial"/>
          <w:bCs/>
          <w:sz w:val="24"/>
          <w:szCs w:val="24"/>
        </w:rPr>
        <w:t>. Estudo document</w:t>
      </w:r>
      <w:r w:rsidR="00741873">
        <w:rPr>
          <w:rFonts w:ascii="Arial" w:hAnsi="Arial" w:cs="Arial"/>
          <w:bCs/>
          <w:sz w:val="24"/>
          <w:szCs w:val="24"/>
        </w:rPr>
        <w:t xml:space="preserve">al e </w:t>
      </w:r>
      <w:proofErr w:type="spellStart"/>
      <w:r w:rsidR="00741873">
        <w:rPr>
          <w:rFonts w:ascii="Arial" w:hAnsi="Arial" w:cs="Arial"/>
          <w:bCs/>
          <w:sz w:val="24"/>
          <w:szCs w:val="24"/>
        </w:rPr>
        <w:t>restrospectivo</w:t>
      </w:r>
      <w:proofErr w:type="spellEnd"/>
      <w:r w:rsidR="00741873">
        <w:rPr>
          <w:rFonts w:ascii="Arial" w:hAnsi="Arial" w:cs="Arial"/>
          <w:bCs/>
          <w:sz w:val="24"/>
          <w:szCs w:val="24"/>
        </w:rPr>
        <w:t xml:space="preserve"> que investigou</w:t>
      </w:r>
      <w:r w:rsidR="002352BF">
        <w:rPr>
          <w:rFonts w:ascii="Arial" w:hAnsi="Arial" w:cs="Arial"/>
          <w:bCs/>
          <w:sz w:val="24"/>
          <w:szCs w:val="24"/>
        </w:rPr>
        <w:t xml:space="preserve"> os pacientes </w:t>
      </w:r>
      <w:proofErr w:type="spellStart"/>
      <w:r w:rsidR="002352BF">
        <w:rPr>
          <w:rFonts w:ascii="Arial" w:hAnsi="Arial" w:cs="Arial"/>
          <w:bCs/>
          <w:sz w:val="24"/>
          <w:szCs w:val="24"/>
        </w:rPr>
        <w:t>aerorremovidos</w:t>
      </w:r>
      <w:proofErr w:type="spellEnd"/>
      <w:r w:rsidR="002352BF">
        <w:rPr>
          <w:rFonts w:ascii="Arial" w:hAnsi="Arial" w:cs="Arial"/>
          <w:bCs/>
          <w:sz w:val="24"/>
          <w:szCs w:val="24"/>
        </w:rPr>
        <w:t xml:space="preserve"> </w:t>
      </w:r>
      <w:r w:rsidRPr="00351506">
        <w:rPr>
          <w:rFonts w:ascii="Arial" w:hAnsi="Arial" w:cs="Arial"/>
          <w:bCs/>
          <w:sz w:val="24"/>
          <w:szCs w:val="24"/>
        </w:rPr>
        <w:t>no período de junho de 2019 a maio 202</w:t>
      </w:r>
      <w:r w:rsidR="002352BF">
        <w:rPr>
          <w:rFonts w:ascii="Arial" w:hAnsi="Arial" w:cs="Arial"/>
          <w:bCs/>
          <w:sz w:val="24"/>
          <w:szCs w:val="24"/>
        </w:rPr>
        <w:t>1, por meio</w:t>
      </w:r>
      <w:r w:rsidR="00741873">
        <w:rPr>
          <w:rFonts w:ascii="Arial" w:hAnsi="Arial" w:cs="Arial"/>
          <w:bCs/>
          <w:sz w:val="24"/>
          <w:szCs w:val="24"/>
        </w:rPr>
        <w:t xml:space="preserve"> da análise</w:t>
      </w:r>
      <w:r w:rsidR="002352BF">
        <w:rPr>
          <w:rFonts w:ascii="Arial" w:hAnsi="Arial" w:cs="Arial"/>
          <w:bCs/>
          <w:sz w:val="24"/>
          <w:szCs w:val="24"/>
        </w:rPr>
        <w:t xml:space="preserve"> dos registros na </w:t>
      </w:r>
      <w:r w:rsidR="002352BF" w:rsidRPr="00351506">
        <w:rPr>
          <w:rFonts w:ascii="Arial" w:hAnsi="Arial" w:cs="Arial"/>
          <w:bCs/>
          <w:sz w:val="24"/>
          <w:szCs w:val="24"/>
        </w:rPr>
        <w:t>base digital do Sistema de Transferê</w:t>
      </w:r>
      <w:r w:rsidR="002352BF">
        <w:rPr>
          <w:rFonts w:ascii="Arial" w:hAnsi="Arial" w:cs="Arial"/>
          <w:bCs/>
          <w:sz w:val="24"/>
          <w:szCs w:val="24"/>
        </w:rPr>
        <w:t>ncia de Emergências Reguladas (</w:t>
      </w:r>
      <w:r w:rsidR="002352BF" w:rsidRPr="00351506">
        <w:rPr>
          <w:rFonts w:ascii="Arial" w:hAnsi="Arial" w:cs="Arial"/>
          <w:bCs/>
          <w:sz w:val="24"/>
          <w:szCs w:val="24"/>
        </w:rPr>
        <w:t>SISTER</w:t>
      </w:r>
      <w:r w:rsidR="002352BF">
        <w:rPr>
          <w:rFonts w:ascii="Arial" w:hAnsi="Arial" w:cs="Arial"/>
          <w:bCs/>
          <w:sz w:val="24"/>
          <w:szCs w:val="24"/>
        </w:rPr>
        <w:t>)</w:t>
      </w:r>
      <w:r w:rsidR="002352BF" w:rsidRPr="00351506">
        <w:rPr>
          <w:rFonts w:ascii="Arial" w:hAnsi="Arial" w:cs="Arial"/>
          <w:bCs/>
          <w:sz w:val="24"/>
          <w:szCs w:val="24"/>
        </w:rPr>
        <w:t xml:space="preserve"> da </w:t>
      </w:r>
      <w:r w:rsidR="002352BF">
        <w:rPr>
          <w:rFonts w:ascii="Arial" w:hAnsi="Arial" w:cs="Arial"/>
          <w:bCs/>
          <w:sz w:val="24"/>
          <w:szCs w:val="24"/>
        </w:rPr>
        <w:t>Central de Regulação da</w:t>
      </w:r>
      <w:r w:rsidRPr="00351506">
        <w:rPr>
          <w:rFonts w:ascii="Arial" w:hAnsi="Arial" w:cs="Arial"/>
          <w:bCs/>
          <w:sz w:val="24"/>
          <w:szCs w:val="24"/>
        </w:rPr>
        <w:t xml:space="preserve"> Secretaria de Estado de Saúde do Amazonas </w:t>
      </w:r>
      <w:r w:rsidR="002352BF">
        <w:rPr>
          <w:rFonts w:ascii="Arial" w:hAnsi="Arial" w:cs="Arial"/>
          <w:bCs/>
          <w:sz w:val="24"/>
          <w:szCs w:val="24"/>
        </w:rPr>
        <w:t>(</w:t>
      </w:r>
      <w:r w:rsidRPr="00351506">
        <w:rPr>
          <w:rFonts w:ascii="Arial" w:hAnsi="Arial" w:cs="Arial"/>
          <w:bCs/>
          <w:sz w:val="24"/>
          <w:szCs w:val="24"/>
        </w:rPr>
        <w:t>SES/AM</w:t>
      </w:r>
      <w:r w:rsidR="002352BF">
        <w:rPr>
          <w:rFonts w:ascii="Arial" w:hAnsi="Arial" w:cs="Arial"/>
          <w:bCs/>
          <w:sz w:val="24"/>
          <w:szCs w:val="24"/>
        </w:rPr>
        <w:t>). Foram incluídos p</w:t>
      </w:r>
      <w:r w:rsidR="00351506" w:rsidRPr="00351506">
        <w:rPr>
          <w:rFonts w:ascii="Arial" w:hAnsi="Arial" w:cs="Arial"/>
          <w:bCs/>
          <w:sz w:val="24"/>
          <w:szCs w:val="24"/>
        </w:rPr>
        <w:t>acientes com idade ≥ 18 anos</w:t>
      </w:r>
      <w:r w:rsidR="002352BF">
        <w:rPr>
          <w:rFonts w:ascii="Arial" w:hAnsi="Arial" w:cs="Arial"/>
          <w:bCs/>
          <w:sz w:val="24"/>
          <w:szCs w:val="24"/>
        </w:rPr>
        <w:t xml:space="preserve">, </w:t>
      </w:r>
      <w:r w:rsidR="00351506">
        <w:rPr>
          <w:rFonts w:ascii="Arial" w:hAnsi="Arial" w:cs="Arial"/>
          <w:bCs/>
          <w:sz w:val="24"/>
          <w:szCs w:val="24"/>
        </w:rPr>
        <w:t xml:space="preserve">regulados pelo SISTER </w:t>
      </w:r>
      <w:r w:rsidR="00351506" w:rsidRPr="00351506">
        <w:rPr>
          <w:rFonts w:ascii="Arial" w:hAnsi="Arial" w:cs="Arial"/>
          <w:bCs/>
          <w:sz w:val="24"/>
          <w:szCs w:val="24"/>
        </w:rPr>
        <w:t xml:space="preserve">e transferidos do interior do estado para </w:t>
      </w:r>
      <w:r w:rsidR="002352BF">
        <w:rPr>
          <w:rFonts w:ascii="Arial" w:hAnsi="Arial" w:cs="Arial"/>
          <w:bCs/>
          <w:sz w:val="24"/>
          <w:szCs w:val="24"/>
        </w:rPr>
        <w:t>hospitais públicos da</w:t>
      </w:r>
      <w:r w:rsidR="00351506" w:rsidRPr="00351506">
        <w:rPr>
          <w:rFonts w:ascii="Arial" w:hAnsi="Arial" w:cs="Arial"/>
          <w:bCs/>
          <w:sz w:val="24"/>
          <w:szCs w:val="24"/>
        </w:rPr>
        <w:t xml:space="preserve"> capital Manaus</w:t>
      </w:r>
      <w:r w:rsidR="00AB4BA1">
        <w:rPr>
          <w:rFonts w:ascii="Arial" w:hAnsi="Arial" w:cs="Arial"/>
          <w:bCs/>
          <w:sz w:val="24"/>
          <w:szCs w:val="24"/>
        </w:rPr>
        <w:t>.</w:t>
      </w:r>
      <w:r w:rsidR="00741873">
        <w:rPr>
          <w:rFonts w:ascii="Arial" w:hAnsi="Arial" w:cs="Arial"/>
          <w:bCs/>
          <w:sz w:val="24"/>
          <w:szCs w:val="24"/>
        </w:rPr>
        <w:t xml:space="preserve"> Entre os 743 pacientes </w:t>
      </w:r>
      <w:proofErr w:type="spellStart"/>
      <w:r w:rsidR="00741873">
        <w:rPr>
          <w:rFonts w:ascii="Arial" w:hAnsi="Arial" w:cs="Arial"/>
          <w:bCs/>
          <w:sz w:val="24"/>
          <w:szCs w:val="24"/>
        </w:rPr>
        <w:t>aerorremovidos</w:t>
      </w:r>
      <w:proofErr w:type="spellEnd"/>
      <w:r w:rsidR="00741873">
        <w:rPr>
          <w:rFonts w:ascii="Arial" w:hAnsi="Arial" w:cs="Arial"/>
          <w:bCs/>
          <w:sz w:val="24"/>
          <w:szCs w:val="24"/>
        </w:rPr>
        <w:t xml:space="preserve"> (60,57% sexo masculino; idade média 53,11 anos), houve quatro óbitos (0,53%).  </w:t>
      </w:r>
      <w:r w:rsidR="00351506">
        <w:rPr>
          <w:rFonts w:ascii="Arial" w:hAnsi="Arial" w:cs="Arial"/>
          <w:bCs/>
          <w:sz w:val="24"/>
          <w:szCs w:val="24"/>
        </w:rPr>
        <w:t xml:space="preserve">Destes, </w:t>
      </w:r>
      <w:r w:rsidR="00741873">
        <w:rPr>
          <w:rFonts w:ascii="Arial" w:hAnsi="Arial" w:cs="Arial"/>
          <w:bCs/>
          <w:sz w:val="24"/>
          <w:szCs w:val="24"/>
        </w:rPr>
        <w:t xml:space="preserve">todos eram homens, com idade média de 53,06 anos. Metade dos casos (n=2) apresentava algum tipo de </w:t>
      </w:r>
      <w:proofErr w:type="spellStart"/>
      <w:r w:rsidR="00741873">
        <w:rPr>
          <w:rFonts w:ascii="Arial" w:hAnsi="Arial" w:cs="Arial"/>
          <w:bCs/>
          <w:sz w:val="24"/>
          <w:szCs w:val="24"/>
        </w:rPr>
        <w:t>comorbidade</w:t>
      </w:r>
      <w:proofErr w:type="spellEnd"/>
      <w:r w:rsidR="00741873">
        <w:rPr>
          <w:rFonts w:ascii="Arial" w:hAnsi="Arial" w:cs="Arial"/>
          <w:bCs/>
          <w:sz w:val="24"/>
          <w:szCs w:val="24"/>
        </w:rPr>
        <w:t xml:space="preserve"> e/ou COVID-19, </w:t>
      </w:r>
      <w:r w:rsidR="00A82CC3">
        <w:rPr>
          <w:rFonts w:ascii="Arial" w:hAnsi="Arial" w:cs="Arial"/>
          <w:bCs/>
          <w:sz w:val="24"/>
          <w:szCs w:val="24"/>
        </w:rPr>
        <w:t>três pacientes (</w:t>
      </w:r>
      <w:r w:rsidR="00741873">
        <w:rPr>
          <w:rFonts w:ascii="Arial" w:hAnsi="Arial" w:cs="Arial"/>
          <w:bCs/>
          <w:sz w:val="24"/>
          <w:szCs w:val="24"/>
        </w:rPr>
        <w:t>75,00%</w:t>
      </w:r>
      <w:r w:rsidR="00A82CC3">
        <w:rPr>
          <w:rFonts w:ascii="Arial" w:hAnsi="Arial" w:cs="Arial"/>
          <w:bCs/>
          <w:sz w:val="24"/>
          <w:szCs w:val="24"/>
        </w:rPr>
        <w:t>)</w:t>
      </w:r>
      <w:r w:rsidR="00351506">
        <w:rPr>
          <w:rFonts w:ascii="Arial" w:hAnsi="Arial" w:cs="Arial"/>
          <w:bCs/>
          <w:sz w:val="24"/>
          <w:szCs w:val="24"/>
        </w:rPr>
        <w:t xml:space="preserve"> estavam em ve</w:t>
      </w:r>
      <w:r w:rsidR="00741873">
        <w:rPr>
          <w:rFonts w:ascii="Arial" w:hAnsi="Arial" w:cs="Arial"/>
          <w:bCs/>
          <w:sz w:val="24"/>
          <w:szCs w:val="24"/>
        </w:rPr>
        <w:t xml:space="preserve">ntilação mecânica e </w:t>
      </w:r>
      <w:r w:rsidR="00A82CC3">
        <w:rPr>
          <w:rFonts w:ascii="Arial" w:hAnsi="Arial" w:cs="Arial"/>
          <w:bCs/>
          <w:sz w:val="24"/>
          <w:szCs w:val="24"/>
        </w:rPr>
        <w:t>dois (</w:t>
      </w:r>
      <w:r w:rsidR="00741873">
        <w:rPr>
          <w:rFonts w:ascii="Arial" w:hAnsi="Arial" w:cs="Arial"/>
          <w:bCs/>
          <w:sz w:val="24"/>
          <w:szCs w:val="24"/>
        </w:rPr>
        <w:t>50,00%</w:t>
      </w:r>
      <w:r w:rsidR="00A82CC3">
        <w:rPr>
          <w:rFonts w:ascii="Arial" w:hAnsi="Arial" w:cs="Arial"/>
          <w:bCs/>
          <w:sz w:val="24"/>
          <w:szCs w:val="24"/>
        </w:rPr>
        <w:t>)</w:t>
      </w:r>
      <w:r w:rsidR="00741873">
        <w:rPr>
          <w:rFonts w:ascii="Arial" w:hAnsi="Arial" w:cs="Arial"/>
          <w:bCs/>
          <w:sz w:val="24"/>
          <w:szCs w:val="24"/>
        </w:rPr>
        <w:t xml:space="preserve"> faziam uso de droga vasoativa durante o voo. Conclui-se que, apesar da incidência </w:t>
      </w:r>
      <w:r w:rsidR="00A82CC3">
        <w:rPr>
          <w:rFonts w:ascii="Arial" w:hAnsi="Arial" w:cs="Arial"/>
          <w:bCs/>
          <w:sz w:val="24"/>
          <w:szCs w:val="24"/>
        </w:rPr>
        <w:t>de óbito durante o voo não ser elevada</w:t>
      </w:r>
      <w:r w:rsidR="00741873">
        <w:rPr>
          <w:rFonts w:ascii="Arial" w:hAnsi="Arial" w:cs="Arial"/>
          <w:bCs/>
          <w:sz w:val="24"/>
          <w:szCs w:val="24"/>
        </w:rPr>
        <w:t>, é um evento evitável por meio da implantação de protocolos de avaliação e cuidados a serem adotados pela equipe de saúde</w:t>
      </w:r>
      <w:r w:rsidR="00741873" w:rsidRPr="005F5282">
        <w:rPr>
          <w:rFonts w:ascii="Arial" w:hAnsi="Arial" w:cs="Arial"/>
          <w:bCs/>
          <w:sz w:val="24"/>
          <w:szCs w:val="24"/>
        </w:rPr>
        <w:t xml:space="preserve"> </w:t>
      </w:r>
      <w:r w:rsidR="00741873">
        <w:rPr>
          <w:rFonts w:ascii="Arial" w:hAnsi="Arial" w:cs="Arial"/>
          <w:bCs/>
          <w:sz w:val="24"/>
          <w:szCs w:val="24"/>
        </w:rPr>
        <w:t>antes e durante a remoção do paciente</w:t>
      </w:r>
      <w:r w:rsidR="00A82CC3">
        <w:rPr>
          <w:rFonts w:ascii="Arial" w:hAnsi="Arial" w:cs="Arial"/>
          <w:bCs/>
          <w:sz w:val="24"/>
          <w:szCs w:val="24"/>
        </w:rPr>
        <w:t xml:space="preserve">, especialmente em longos </w:t>
      </w:r>
      <w:proofErr w:type="spellStart"/>
      <w:r w:rsidR="00A82CC3">
        <w:rPr>
          <w:rFonts w:ascii="Arial" w:hAnsi="Arial" w:cs="Arial"/>
          <w:bCs/>
          <w:sz w:val="24"/>
          <w:szCs w:val="24"/>
        </w:rPr>
        <w:t>translados</w:t>
      </w:r>
      <w:proofErr w:type="spellEnd"/>
      <w:r w:rsidR="00741873">
        <w:rPr>
          <w:rFonts w:ascii="Arial" w:hAnsi="Arial" w:cs="Arial"/>
          <w:bCs/>
          <w:sz w:val="24"/>
          <w:szCs w:val="24"/>
        </w:rPr>
        <w:t>.</w:t>
      </w:r>
    </w:p>
    <w:p w14:paraId="39FEDF88" w14:textId="77777777" w:rsidR="00A82CC3" w:rsidRPr="00351506" w:rsidRDefault="00A82CC3" w:rsidP="0074187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78DC1E" w14:textId="0E904ABC" w:rsidR="00741873" w:rsidRDefault="009C5972" w:rsidP="009C5972">
      <w:pPr>
        <w:rPr>
          <w:rFonts w:ascii="Arial" w:hAnsi="Arial" w:cs="Arial"/>
          <w:bCs/>
          <w:sz w:val="24"/>
          <w:szCs w:val="24"/>
        </w:rPr>
      </w:pPr>
      <w:r w:rsidRPr="009C5972">
        <w:rPr>
          <w:rFonts w:ascii="Arial" w:hAnsi="Arial" w:cs="Arial"/>
          <w:b/>
          <w:bCs/>
          <w:sz w:val="24"/>
          <w:szCs w:val="24"/>
        </w:rPr>
        <w:t>Palavras – chave</w:t>
      </w:r>
      <w:r w:rsidRPr="009C5972">
        <w:rPr>
          <w:rFonts w:ascii="Arial" w:hAnsi="Arial" w:cs="Arial"/>
          <w:bCs/>
          <w:sz w:val="24"/>
          <w:szCs w:val="24"/>
        </w:rPr>
        <w:t xml:space="preserve">: Amazonas, Óbitos, Transporte </w:t>
      </w:r>
      <w:proofErr w:type="spellStart"/>
      <w:r w:rsidRPr="009C5972">
        <w:rPr>
          <w:rFonts w:ascii="Arial" w:hAnsi="Arial" w:cs="Arial"/>
          <w:bCs/>
          <w:sz w:val="24"/>
          <w:szCs w:val="24"/>
        </w:rPr>
        <w:t>aeromédico</w:t>
      </w:r>
      <w:proofErr w:type="spellEnd"/>
    </w:p>
    <w:p w14:paraId="0CA13F7F" w14:textId="77777777" w:rsidR="00741873" w:rsidRPr="009C5972" w:rsidRDefault="00741873" w:rsidP="009C5972">
      <w:pPr>
        <w:rPr>
          <w:rFonts w:ascii="Arial" w:hAnsi="Arial" w:cs="Arial"/>
          <w:bCs/>
          <w:sz w:val="24"/>
          <w:szCs w:val="24"/>
        </w:rPr>
      </w:pPr>
    </w:p>
    <w:p w14:paraId="48D70D6A" w14:textId="653C0F61" w:rsidR="00EB1206" w:rsidRPr="00AB4BA1" w:rsidRDefault="00AB4BA1" w:rsidP="00B85B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4BA1">
        <w:rPr>
          <w:rFonts w:ascii="Arial" w:hAnsi="Arial" w:cs="Arial"/>
          <w:b/>
          <w:sz w:val="24"/>
          <w:szCs w:val="24"/>
        </w:rPr>
        <w:t>INTRODUÇÃO</w:t>
      </w:r>
    </w:p>
    <w:p w14:paraId="06455078" w14:textId="68D255D9" w:rsidR="00E26EB5" w:rsidRDefault="00ED6DD5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D5">
        <w:rPr>
          <w:rFonts w:ascii="Arial" w:hAnsi="Arial" w:cs="Arial"/>
          <w:sz w:val="24"/>
          <w:szCs w:val="24"/>
        </w:rPr>
        <w:t>O</w:t>
      </w:r>
      <w:r w:rsidR="00EB1206" w:rsidRPr="00ED6DD5">
        <w:rPr>
          <w:rFonts w:ascii="Arial" w:hAnsi="Arial" w:cs="Arial"/>
          <w:sz w:val="24"/>
          <w:szCs w:val="24"/>
        </w:rPr>
        <w:t xml:space="preserve"> </w:t>
      </w:r>
      <w:r w:rsidR="00475584">
        <w:rPr>
          <w:rFonts w:ascii="Arial" w:hAnsi="Arial" w:cs="Arial"/>
          <w:sz w:val="24"/>
          <w:szCs w:val="24"/>
        </w:rPr>
        <w:t xml:space="preserve">transporte </w:t>
      </w:r>
      <w:proofErr w:type="spellStart"/>
      <w:r w:rsidR="00475584">
        <w:rPr>
          <w:rFonts w:ascii="Arial" w:hAnsi="Arial" w:cs="Arial"/>
          <w:sz w:val="24"/>
          <w:szCs w:val="24"/>
        </w:rPr>
        <w:t>aeromédico</w:t>
      </w:r>
      <w:proofErr w:type="spellEnd"/>
      <w:r w:rsidR="00475584">
        <w:rPr>
          <w:rFonts w:ascii="Arial" w:hAnsi="Arial" w:cs="Arial"/>
          <w:sz w:val="24"/>
          <w:szCs w:val="24"/>
        </w:rPr>
        <w:t xml:space="preserve"> é </w:t>
      </w:r>
      <w:r w:rsidR="00EB1206" w:rsidRPr="00ED6DD5">
        <w:rPr>
          <w:rFonts w:ascii="Arial" w:hAnsi="Arial" w:cs="Arial"/>
          <w:sz w:val="24"/>
          <w:szCs w:val="24"/>
        </w:rPr>
        <w:t xml:space="preserve">uma </w:t>
      </w:r>
      <w:r w:rsidR="00475584">
        <w:rPr>
          <w:rFonts w:ascii="Arial" w:hAnsi="Arial" w:cs="Arial"/>
          <w:sz w:val="24"/>
          <w:szCs w:val="24"/>
        </w:rPr>
        <w:t xml:space="preserve">modalidade de assistência à saúde </w:t>
      </w:r>
      <w:r w:rsidR="002352BF">
        <w:rPr>
          <w:rFonts w:ascii="Arial" w:hAnsi="Arial" w:cs="Arial"/>
          <w:sz w:val="24"/>
          <w:szCs w:val="24"/>
        </w:rPr>
        <w:t>que promove</w:t>
      </w:r>
      <w:r w:rsidR="00EB1206" w:rsidRPr="00ED6DD5">
        <w:rPr>
          <w:rFonts w:ascii="Arial" w:hAnsi="Arial" w:cs="Arial"/>
          <w:sz w:val="24"/>
          <w:szCs w:val="24"/>
        </w:rPr>
        <w:t xml:space="preserve"> acesso rápido ao atendimento </w:t>
      </w:r>
      <w:r w:rsidR="007C4A4C" w:rsidRPr="00ED6DD5">
        <w:rPr>
          <w:rFonts w:ascii="Arial" w:hAnsi="Arial" w:cs="Arial"/>
          <w:sz w:val="24"/>
          <w:szCs w:val="24"/>
        </w:rPr>
        <w:t>e</w:t>
      </w:r>
      <w:r w:rsidR="007C4A4C">
        <w:rPr>
          <w:rFonts w:ascii="Arial" w:hAnsi="Arial" w:cs="Arial"/>
          <w:sz w:val="24"/>
          <w:szCs w:val="24"/>
        </w:rPr>
        <w:t>specializado,</w:t>
      </w:r>
      <w:r w:rsidR="007C4A4C" w:rsidRPr="00ED6DD5">
        <w:rPr>
          <w:rFonts w:ascii="Arial" w:hAnsi="Arial" w:cs="Arial"/>
          <w:sz w:val="24"/>
          <w:szCs w:val="24"/>
        </w:rPr>
        <w:t xml:space="preserve"> (</w:t>
      </w:r>
      <w:r w:rsidR="00EB1206" w:rsidRPr="00ED6DD5">
        <w:rPr>
          <w:rFonts w:ascii="Arial" w:hAnsi="Arial" w:cs="Arial"/>
          <w:sz w:val="24"/>
          <w:szCs w:val="24"/>
        </w:rPr>
        <w:t>CARDOSO et al., 2014</w:t>
      </w:r>
      <w:r w:rsidR="00475584">
        <w:rPr>
          <w:rFonts w:ascii="Arial" w:hAnsi="Arial" w:cs="Arial"/>
          <w:sz w:val="24"/>
          <w:szCs w:val="24"/>
        </w:rPr>
        <w:t>)</w:t>
      </w:r>
      <w:r w:rsidR="002352BF">
        <w:rPr>
          <w:rFonts w:ascii="Arial" w:hAnsi="Arial" w:cs="Arial"/>
          <w:sz w:val="24"/>
          <w:szCs w:val="24"/>
        </w:rPr>
        <w:t>, especialmente em locais de difícil acesso</w:t>
      </w:r>
      <w:r w:rsidR="00EB1206" w:rsidRPr="00ED6DD5">
        <w:rPr>
          <w:rFonts w:ascii="Arial" w:hAnsi="Arial" w:cs="Arial"/>
          <w:sz w:val="24"/>
          <w:szCs w:val="24"/>
        </w:rPr>
        <w:t>.</w:t>
      </w:r>
      <w:r w:rsidR="00A82CC3" w:rsidRPr="00A82CC3">
        <w:rPr>
          <w:rFonts w:ascii="Arial" w:hAnsi="Arial" w:cs="Arial"/>
          <w:sz w:val="24"/>
          <w:szCs w:val="24"/>
        </w:rPr>
        <w:t xml:space="preserve"> </w:t>
      </w:r>
      <w:r w:rsidR="00A82CC3">
        <w:rPr>
          <w:rFonts w:ascii="Arial" w:hAnsi="Arial" w:cs="Arial"/>
          <w:sz w:val="24"/>
          <w:szCs w:val="24"/>
        </w:rPr>
        <w:t>No</w:t>
      </w:r>
      <w:r w:rsidR="00A82CC3" w:rsidRPr="00B346ED">
        <w:rPr>
          <w:rFonts w:ascii="Arial" w:hAnsi="Arial" w:cs="Arial"/>
          <w:sz w:val="24"/>
          <w:szCs w:val="24"/>
        </w:rPr>
        <w:t xml:space="preserve"> estado do Amazonas </w:t>
      </w:r>
      <w:r w:rsidR="00A82CC3">
        <w:rPr>
          <w:rFonts w:ascii="Arial" w:hAnsi="Arial" w:cs="Arial"/>
          <w:sz w:val="24"/>
          <w:szCs w:val="24"/>
        </w:rPr>
        <w:t xml:space="preserve">o transporte </w:t>
      </w:r>
      <w:proofErr w:type="spellStart"/>
      <w:r w:rsidR="00A82CC3">
        <w:rPr>
          <w:rFonts w:ascii="Arial" w:hAnsi="Arial" w:cs="Arial"/>
          <w:sz w:val="24"/>
          <w:szCs w:val="24"/>
        </w:rPr>
        <w:t>aeromédico</w:t>
      </w:r>
      <w:proofErr w:type="spellEnd"/>
      <w:r w:rsidR="00A82CC3">
        <w:rPr>
          <w:rFonts w:ascii="Arial" w:hAnsi="Arial" w:cs="Arial"/>
          <w:sz w:val="24"/>
          <w:szCs w:val="24"/>
        </w:rPr>
        <w:t xml:space="preserve"> é im</w:t>
      </w:r>
      <w:r w:rsidR="00471D20">
        <w:rPr>
          <w:rFonts w:ascii="Arial" w:hAnsi="Arial" w:cs="Arial"/>
          <w:sz w:val="24"/>
          <w:szCs w:val="24"/>
        </w:rPr>
        <w:t xml:space="preserve">prescindível </w:t>
      </w:r>
      <w:r w:rsidR="007C4A4C">
        <w:rPr>
          <w:rFonts w:ascii="Arial" w:hAnsi="Arial" w:cs="Arial"/>
          <w:sz w:val="24"/>
          <w:szCs w:val="24"/>
        </w:rPr>
        <w:t>atendendo</w:t>
      </w:r>
      <w:r w:rsidR="00A82CC3" w:rsidRPr="00B346ED">
        <w:rPr>
          <w:rFonts w:ascii="Arial" w:hAnsi="Arial" w:cs="Arial"/>
          <w:sz w:val="24"/>
          <w:szCs w:val="24"/>
        </w:rPr>
        <w:t xml:space="preserve"> 62 municípios distribuídos por seus</w:t>
      </w:r>
      <w:r w:rsidR="00A82CC3">
        <w:rPr>
          <w:rFonts w:ascii="Arial" w:hAnsi="Arial" w:cs="Arial"/>
          <w:sz w:val="24"/>
          <w:szCs w:val="24"/>
        </w:rPr>
        <w:t xml:space="preserve"> 1.559.167,889 Km de </w:t>
      </w:r>
      <w:r w:rsidR="007C4A4C">
        <w:rPr>
          <w:rFonts w:ascii="Arial" w:hAnsi="Arial" w:cs="Arial"/>
          <w:sz w:val="24"/>
          <w:szCs w:val="24"/>
        </w:rPr>
        <w:t>difícil acesso</w:t>
      </w:r>
      <w:r w:rsidR="00A82CC3">
        <w:rPr>
          <w:rFonts w:ascii="Arial" w:hAnsi="Arial" w:cs="Arial"/>
          <w:sz w:val="24"/>
          <w:szCs w:val="24"/>
        </w:rPr>
        <w:t>.</w:t>
      </w:r>
      <w:r w:rsidR="00A82CC3" w:rsidRPr="00B346ED">
        <w:rPr>
          <w:rFonts w:ascii="Arial" w:hAnsi="Arial" w:cs="Arial"/>
          <w:sz w:val="24"/>
          <w:szCs w:val="24"/>
        </w:rPr>
        <w:t xml:space="preserve"> (IBGE, 2018; SECRETÁRIA DO ESTADO DE SAÚDE DO AMAZONAS, 2020).</w:t>
      </w:r>
    </w:p>
    <w:p w14:paraId="516B01C0" w14:textId="77777777" w:rsidR="003F7469" w:rsidRDefault="003F7469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0E3C33" w14:textId="7BE9BFAB" w:rsidR="003B7A9B" w:rsidRDefault="00A82CC3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Ressalta-se que este tipo de transporte é cercado</w:t>
      </w:r>
      <w:r w:rsidR="003F6ED0" w:rsidRPr="00E67ECB">
        <w:rPr>
          <w:rFonts w:ascii="Arial" w:hAnsi="Arial" w:cs="Arial"/>
          <w:sz w:val="24"/>
          <w:szCs w:val="24"/>
        </w:rPr>
        <w:t xml:space="preserve"> de particularidades pois sofre influ</w:t>
      </w:r>
      <w:r w:rsidR="00650C9A">
        <w:rPr>
          <w:rFonts w:ascii="Arial" w:hAnsi="Arial" w:cs="Arial"/>
          <w:sz w:val="24"/>
          <w:szCs w:val="24"/>
        </w:rPr>
        <w:t xml:space="preserve">ência de fatores ambientais </w:t>
      </w:r>
      <w:r w:rsidR="002352BF">
        <w:rPr>
          <w:rFonts w:ascii="Arial" w:hAnsi="Arial" w:cs="Arial"/>
          <w:sz w:val="24"/>
          <w:szCs w:val="24"/>
        </w:rPr>
        <w:t>que interferem na</w:t>
      </w:r>
      <w:r w:rsidR="00650C9A">
        <w:rPr>
          <w:rFonts w:ascii="Arial" w:hAnsi="Arial" w:cs="Arial"/>
          <w:sz w:val="24"/>
          <w:szCs w:val="24"/>
        </w:rPr>
        <w:t xml:space="preserve"> fisiologia do paciente</w:t>
      </w:r>
      <w:r w:rsidR="00E26EB5">
        <w:rPr>
          <w:rFonts w:ascii="Arial" w:hAnsi="Arial" w:cs="Arial"/>
          <w:sz w:val="24"/>
          <w:szCs w:val="24"/>
        </w:rPr>
        <w:t xml:space="preserve"> </w:t>
      </w:r>
      <w:r w:rsidR="003F6ED0" w:rsidRPr="00E67ECB">
        <w:rPr>
          <w:rFonts w:ascii="Arial" w:hAnsi="Arial" w:cs="Arial"/>
          <w:sz w:val="24"/>
          <w:szCs w:val="24"/>
        </w:rPr>
        <w:t>(BLUMEM et al.,2006; EMRA,2020; SINGH et al.,2009).</w:t>
      </w:r>
      <w:r w:rsidR="002352BF">
        <w:rPr>
          <w:rFonts w:ascii="Arial" w:hAnsi="Arial" w:cs="Arial"/>
          <w:sz w:val="24"/>
          <w:szCs w:val="24"/>
        </w:rPr>
        <w:t xml:space="preserve"> </w:t>
      </w:r>
      <w:r w:rsidR="003B7A9B">
        <w:rPr>
          <w:rFonts w:ascii="Arial" w:hAnsi="Arial" w:cs="Arial"/>
          <w:sz w:val="24"/>
          <w:szCs w:val="24"/>
        </w:rPr>
        <w:t>Estes fatores</w:t>
      </w:r>
      <w:r>
        <w:rPr>
          <w:rFonts w:ascii="Arial" w:hAnsi="Arial" w:cs="Arial"/>
          <w:sz w:val="24"/>
          <w:szCs w:val="24"/>
        </w:rPr>
        <w:t>, associados ao quadro clínico do paciente,</w:t>
      </w:r>
      <w:r w:rsidR="003B7A9B">
        <w:rPr>
          <w:rFonts w:ascii="Arial" w:hAnsi="Arial" w:cs="Arial"/>
          <w:sz w:val="24"/>
          <w:szCs w:val="24"/>
        </w:rPr>
        <w:t xml:space="preserve"> podem contribuir para a ocorrência de eventos adversos e mortes durante o voo</w:t>
      </w:r>
      <w:r w:rsidR="00650C9A">
        <w:rPr>
          <w:rFonts w:ascii="Arial" w:hAnsi="Arial" w:cs="Arial"/>
          <w:sz w:val="24"/>
          <w:szCs w:val="24"/>
        </w:rPr>
        <w:t>,</w:t>
      </w:r>
      <w:r w:rsidR="00E26EB5">
        <w:rPr>
          <w:rFonts w:ascii="Arial" w:hAnsi="Arial" w:cs="Arial"/>
          <w:sz w:val="24"/>
          <w:szCs w:val="24"/>
        </w:rPr>
        <w:t xml:space="preserve"> </w:t>
      </w:r>
      <w:r w:rsidR="009669B7">
        <w:rPr>
          <w:rFonts w:ascii="Arial" w:hAnsi="Arial" w:cs="Arial"/>
          <w:sz w:val="24"/>
          <w:szCs w:val="24"/>
        </w:rPr>
        <w:t>principalmente em voos</w:t>
      </w:r>
      <w:r w:rsidR="00650C9A">
        <w:rPr>
          <w:rFonts w:ascii="Arial" w:hAnsi="Arial" w:cs="Arial"/>
          <w:sz w:val="24"/>
          <w:szCs w:val="24"/>
        </w:rPr>
        <w:t xml:space="preserve"> longos</w:t>
      </w:r>
      <w:r w:rsidR="00475584">
        <w:rPr>
          <w:rFonts w:ascii="Arial" w:hAnsi="Arial" w:cs="Arial"/>
          <w:sz w:val="24"/>
          <w:szCs w:val="24"/>
        </w:rPr>
        <w:t xml:space="preserve"> como ocorre n</w:t>
      </w:r>
      <w:r w:rsidR="009669B7">
        <w:rPr>
          <w:rFonts w:ascii="Arial" w:hAnsi="Arial" w:cs="Arial"/>
          <w:sz w:val="24"/>
          <w:szCs w:val="24"/>
        </w:rPr>
        <w:t xml:space="preserve">a Amazonas, </w:t>
      </w:r>
      <w:r w:rsidR="00650C9A">
        <w:rPr>
          <w:rFonts w:ascii="Arial" w:hAnsi="Arial" w:cs="Arial"/>
          <w:sz w:val="24"/>
          <w:szCs w:val="24"/>
        </w:rPr>
        <w:t xml:space="preserve">por sua constituição </w:t>
      </w:r>
      <w:r w:rsidR="003B7A9B">
        <w:rPr>
          <w:rFonts w:ascii="Arial" w:hAnsi="Arial" w:cs="Arial"/>
          <w:sz w:val="24"/>
          <w:szCs w:val="24"/>
        </w:rPr>
        <w:t>geog</w:t>
      </w:r>
      <w:r w:rsidR="00650C9A">
        <w:rPr>
          <w:rFonts w:ascii="Arial" w:hAnsi="Arial" w:cs="Arial"/>
          <w:sz w:val="24"/>
          <w:szCs w:val="24"/>
        </w:rPr>
        <w:t>ráfica</w:t>
      </w:r>
      <w:r w:rsidR="003B7A9B">
        <w:rPr>
          <w:rFonts w:ascii="Arial" w:hAnsi="Arial" w:cs="Arial"/>
          <w:sz w:val="24"/>
          <w:szCs w:val="24"/>
        </w:rPr>
        <w:t>.</w:t>
      </w:r>
    </w:p>
    <w:p w14:paraId="36229961" w14:textId="1FD9C017" w:rsidR="0047684B" w:rsidRDefault="003B7A9B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1A97">
        <w:rPr>
          <w:rFonts w:ascii="Arial" w:hAnsi="Arial" w:cs="Arial"/>
          <w:sz w:val="24"/>
          <w:szCs w:val="24"/>
        </w:rPr>
        <w:t>E</w:t>
      </w:r>
      <w:r w:rsidR="009564C8">
        <w:rPr>
          <w:rFonts w:ascii="Arial" w:hAnsi="Arial" w:cs="Arial"/>
          <w:sz w:val="24"/>
          <w:szCs w:val="24"/>
        </w:rPr>
        <w:t xml:space="preserve">studo realizado por Singh e colaboradores (2009) com 19.228 pacientes submetidos ao transporte </w:t>
      </w:r>
      <w:proofErr w:type="spellStart"/>
      <w:r w:rsidR="009564C8">
        <w:rPr>
          <w:rFonts w:ascii="Arial" w:hAnsi="Arial" w:cs="Arial"/>
          <w:sz w:val="24"/>
          <w:szCs w:val="24"/>
        </w:rPr>
        <w:t>aeromédico</w:t>
      </w:r>
      <w:proofErr w:type="spellEnd"/>
      <w:r w:rsidR="009564C8">
        <w:rPr>
          <w:rFonts w:ascii="Arial" w:hAnsi="Arial" w:cs="Arial"/>
          <w:sz w:val="24"/>
          <w:szCs w:val="24"/>
        </w:rPr>
        <w:t xml:space="preserve"> em Ontário no Canadá, registrou 12 óbitos durante o voo</w:t>
      </w:r>
      <w:r w:rsidR="00361A97">
        <w:rPr>
          <w:rFonts w:ascii="Arial" w:hAnsi="Arial" w:cs="Arial"/>
          <w:sz w:val="24"/>
          <w:szCs w:val="24"/>
        </w:rPr>
        <w:t>.</w:t>
      </w:r>
      <w:r w:rsidR="002352BF">
        <w:rPr>
          <w:rFonts w:ascii="Arial" w:hAnsi="Arial" w:cs="Arial"/>
          <w:sz w:val="24"/>
          <w:szCs w:val="24"/>
        </w:rPr>
        <w:t xml:space="preserve"> Pesquisa</w:t>
      </w:r>
      <w:r w:rsidR="009564C8">
        <w:rPr>
          <w:rFonts w:ascii="Arial" w:hAnsi="Arial" w:cs="Arial"/>
          <w:sz w:val="24"/>
          <w:szCs w:val="24"/>
        </w:rPr>
        <w:t xml:space="preserve"> mais recente </w:t>
      </w:r>
      <w:r w:rsidR="002352BF">
        <w:rPr>
          <w:rFonts w:ascii="Arial" w:hAnsi="Arial" w:cs="Arial"/>
          <w:sz w:val="24"/>
          <w:szCs w:val="24"/>
        </w:rPr>
        <w:t xml:space="preserve">realizada </w:t>
      </w:r>
      <w:r>
        <w:rPr>
          <w:rFonts w:ascii="Arial" w:hAnsi="Arial" w:cs="Arial"/>
          <w:sz w:val="24"/>
          <w:szCs w:val="24"/>
        </w:rPr>
        <w:t>na Í</w:t>
      </w:r>
      <w:r w:rsidR="0046701A" w:rsidRPr="003B7A9B">
        <w:rPr>
          <w:rFonts w:ascii="Arial" w:hAnsi="Arial" w:cs="Arial"/>
          <w:sz w:val="24"/>
          <w:szCs w:val="24"/>
        </w:rPr>
        <w:t xml:space="preserve">ndia </w:t>
      </w:r>
      <w:r w:rsidR="002352BF">
        <w:rPr>
          <w:rFonts w:ascii="Arial" w:hAnsi="Arial" w:cs="Arial"/>
          <w:sz w:val="24"/>
          <w:szCs w:val="24"/>
        </w:rPr>
        <w:t xml:space="preserve">evidenciou, no total de </w:t>
      </w:r>
      <w:r w:rsidR="002352BF" w:rsidRPr="003B7A9B">
        <w:rPr>
          <w:rFonts w:ascii="Arial" w:hAnsi="Arial" w:cs="Arial"/>
          <w:sz w:val="24"/>
          <w:szCs w:val="24"/>
        </w:rPr>
        <w:t>3030 horas de voo</w:t>
      </w:r>
      <w:r w:rsidR="002352BF">
        <w:rPr>
          <w:rFonts w:ascii="Arial" w:hAnsi="Arial" w:cs="Arial"/>
          <w:sz w:val="24"/>
          <w:szCs w:val="24"/>
        </w:rPr>
        <w:t xml:space="preserve">, </w:t>
      </w:r>
      <w:r w:rsidR="009448B9">
        <w:rPr>
          <w:rFonts w:ascii="Arial" w:hAnsi="Arial" w:cs="Arial"/>
          <w:sz w:val="24"/>
          <w:szCs w:val="24"/>
        </w:rPr>
        <w:t xml:space="preserve">a ocorrência de quatro óbitos por parada cardíaca dos </w:t>
      </w:r>
      <w:r w:rsidR="00E263FF">
        <w:rPr>
          <w:rFonts w:ascii="Arial" w:hAnsi="Arial" w:cs="Arial"/>
          <w:sz w:val="24"/>
          <w:szCs w:val="24"/>
        </w:rPr>
        <w:t xml:space="preserve">586 </w:t>
      </w:r>
      <w:r w:rsidR="00DC6C8D">
        <w:rPr>
          <w:rFonts w:ascii="Arial" w:hAnsi="Arial" w:cs="Arial"/>
          <w:sz w:val="24"/>
          <w:szCs w:val="24"/>
        </w:rPr>
        <w:t xml:space="preserve">pacientes submetidos ao transporte </w:t>
      </w:r>
      <w:proofErr w:type="spellStart"/>
      <w:r w:rsidR="00DC6C8D">
        <w:rPr>
          <w:rFonts w:ascii="Arial" w:hAnsi="Arial" w:cs="Arial"/>
          <w:sz w:val="24"/>
          <w:szCs w:val="24"/>
        </w:rPr>
        <w:t>aeromédico</w:t>
      </w:r>
      <w:proofErr w:type="spellEnd"/>
      <w:r w:rsidR="00DC6C8D">
        <w:rPr>
          <w:rFonts w:ascii="Arial" w:hAnsi="Arial" w:cs="Arial"/>
          <w:sz w:val="24"/>
          <w:szCs w:val="24"/>
        </w:rPr>
        <w:t xml:space="preserve"> </w:t>
      </w:r>
      <w:r w:rsidR="009448B9">
        <w:rPr>
          <w:rFonts w:ascii="Arial" w:hAnsi="Arial" w:cs="Arial"/>
          <w:sz w:val="24"/>
          <w:szCs w:val="24"/>
        </w:rPr>
        <w:t>na amostra</w:t>
      </w:r>
      <w:r w:rsidRPr="003B7A9B">
        <w:rPr>
          <w:rFonts w:ascii="Arial" w:hAnsi="Arial" w:cs="Arial"/>
          <w:sz w:val="24"/>
          <w:szCs w:val="24"/>
        </w:rPr>
        <w:t xml:space="preserve"> (KHURANA,</w:t>
      </w:r>
      <w:r>
        <w:rPr>
          <w:rFonts w:ascii="Arial" w:hAnsi="Arial" w:cs="Arial"/>
          <w:sz w:val="24"/>
          <w:szCs w:val="24"/>
        </w:rPr>
        <w:t xml:space="preserve"> </w:t>
      </w:r>
      <w:r w:rsidRPr="003B7A9B">
        <w:rPr>
          <w:rFonts w:ascii="Arial" w:hAnsi="Arial" w:cs="Arial"/>
          <w:sz w:val="24"/>
          <w:szCs w:val="24"/>
        </w:rPr>
        <w:t>MEHTA, DUBEY,</w:t>
      </w:r>
      <w:r w:rsidR="00A82CC3">
        <w:rPr>
          <w:rFonts w:ascii="Arial" w:hAnsi="Arial" w:cs="Arial"/>
          <w:sz w:val="24"/>
          <w:szCs w:val="24"/>
        </w:rPr>
        <w:t xml:space="preserve"> </w:t>
      </w:r>
      <w:r w:rsidRPr="003B7A9B">
        <w:rPr>
          <w:rFonts w:ascii="Arial" w:hAnsi="Arial" w:cs="Arial"/>
          <w:sz w:val="24"/>
          <w:szCs w:val="24"/>
        </w:rPr>
        <w:t>2016)</w:t>
      </w:r>
      <w:r>
        <w:rPr>
          <w:rFonts w:ascii="Arial" w:hAnsi="Arial" w:cs="Arial"/>
          <w:sz w:val="24"/>
          <w:szCs w:val="24"/>
        </w:rPr>
        <w:t>.</w:t>
      </w:r>
    </w:p>
    <w:p w14:paraId="04A144AC" w14:textId="70FB475E" w:rsidR="00361A97" w:rsidRDefault="00A82CC3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temática sobre a ocorrência de óbito durante o voo é pouco abordada na literatura científica e nada se conhece sobre a realidade amazônica, este estudo tem por objetivo</w:t>
      </w:r>
      <w:r w:rsidR="00361A97">
        <w:rPr>
          <w:rFonts w:ascii="Arial" w:hAnsi="Arial" w:cs="Arial"/>
          <w:sz w:val="24"/>
          <w:szCs w:val="24"/>
        </w:rPr>
        <w:t xml:space="preserve"> descrever as características</w:t>
      </w:r>
      <w:r w:rsidR="009448B9">
        <w:rPr>
          <w:rFonts w:ascii="Arial" w:hAnsi="Arial" w:cs="Arial"/>
          <w:sz w:val="24"/>
          <w:szCs w:val="24"/>
        </w:rPr>
        <w:t xml:space="preserve"> dos pacientes que evoluíram a</w:t>
      </w:r>
      <w:r w:rsidR="00524A37">
        <w:rPr>
          <w:rFonts w:ascii="Arial" w:hAnsi="Arial" w:cs="Arial"/>
          <w:sz w:val="24"/>
          <w:szCs w:val="24"/>
        </w:rPr>
        <w:t xml:space="preserve"> óbito</w:t>
      </w:r>
      <w:r w:rsidR="009448B9">
        <w:rPr>
          <w:rFonts w:ascii="Arial" w:hAnsi="Arial" w:cs="Arial"/>
          <w:sz w:val="24"/>
          <w:szCs w:val="24"/>
        </w:rPr>
        <w:t xml:space="preserve"> </w:t>
      </w:r>
      <w:r w:rsidR="00361A97">
        <w:rPr>
          <w:rFonts w:ascii="Arial" w:hAnsi="Arial" w:cs="Arial"/>
          <w:sz w:val="24"/>
          <w:szCs w:val="24"/>
        </w:rPr>
        <w:t xml:space="preserve">durante o transporte </w:t>
      </w:r>
      <w:proofErr w:type="spellStart"/>
      <w:r w:rsidR="00361A97">
        <w:rPr>
          <w:rFonts w:ascii="Arial" w:hAnsi="Arial" w:cs="Arial"/>
          <w:sz w:val="24"/>
          <w:szCs w:val="24"/>
        </w:rPr>
        <w:t>aeromédico</w:t>
      </w:r>
      <w:proofErr w:type="spellEnd"/>
      <w:r w:rsidR="00361A97">
        <w:rPr>
          <w:rFonts w:ascii="Arial" w:hAnsi="Arial" w:cs="Arial"/>
          <w:sz w:val="24"/>
          <w:szCs w:val="24"/>
        </w:rPr>
        <w:t xml:space="preserve"> do interior do estado do Amazonas para a capital Manaus.</w:t>
      </w:r>
    </w:p>
    <w:p w14:paraId="4B936D36" w14:textId="77777777" w:rsidR="005824B6" w:rsidRDefault="005824B6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B0A54D" w14:textId="42F11795" w:rsidR="00392799" w:rsidRPr="0047684B" w:rsidRDefault="00887184" w:rsidP="00B85B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4630">
        <w:rPr>
          <w:rFonts w:ascii="Arial" w:hAnsi="Arial" w:cs="Arial"/>
          <w:b/>
          <w:bCs/>
          <w:sz w:val="24"/>
          <w:szCs w:val="24"/>
        </w:rPr>
        <w:t>METODOLOGIA</w:t>
      </w:r>
    </w:p>
    <w:p w14:paraId="3BD27EEF" w14:textId="1BF3CB8D" w:rsidR="00E967C9" w:rsidRDefault="00887184" w:rsidP="00B85B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4630">
        <w:rPr>
          <w:rFonts w:ascii="Arial" w:hAnsi="Arial" w:cs="Arial"/>
          <w:sz w:val="24"/>
          <w:szCs w:val="24"/>
        </w:rPr>
        <w:t>Trata-se de um estudo epidemiológico, retrospectivo e documental relacionado ao</w:t>
      </w:r>
      <w:r>
        <w:rPr>
          <w:rFonts w:ascii="Arial" w:hAnsi="Arial" w:cs="Arial"/>
          <w:sz w:val="24"/>
          <w:szCs w:val="24"/>
        </w:rPr>
        <w:t xml:space="preserve">s óbitos de pacientes durante o transporte </w:t>
      </w:r>
      <w:proofErr w:type="spellStart"/>
      <w:r>
        <w:rPr>
          <w:rFonts w:ascii="Arial" w:hAnsi="Arial" w:cs="Arial"/>
          <w:sz w:val="24"/>
          <w:szCs w:val="24"/>
        </w:rPr>
        <w:t>aeromédico</w:t>
      </w:r>
      <w:proofErr w:type="spellEnd"/>
      <w:r>
        <w:rPr>
          <w:rFonts w:ascii="Arial" w:hAnsi="Arial" w:cs="Arial"/>
          <w:sz w:val="24"/>
          <w:szCs w:val="24"/>
        </w:rPr>
        <w:t xml:space="preserve"> do interior do estado do Amazonas para a capital Manaus</w:t>
      </w:r>
      <w:r w:rsidRPr="00A34630">
        <w:rPr>
          <w:rFonts w:ascii="Arial" w:hAnsi="Arial" w:cs="Arial"/>
          <w:sz w:val="24"/>
          <w:szCs w:val="24"/>
        </w:rPr>
        <w:t xml:space="preserve"> </w:t>
      </w:r>
      <w:r w:rsidR="0018463F" w:rsidRPr="00A34630">
        <w:rPr>
          <w:rFonts w:ascii="Arial" w:hAnsi="Arial" w:cs="Arial"/>
          <w:sz w:val="24"/>
          <w:szCs w:val="24"/>
        </w:rPr>
        <w:t>no</w:t>
      </w:r>
      <w:r w:rsidRPr="00A34630">
        <w:rPr>
          <w:rFonts w:ascii="Arial" w:hAnsi="Arial" w:cs="Arial"/>
          <w:sz w:val="24"/>
          <w:szCs w:val="24"/>
        </w:rPr>
        <w:t xml:space="preserve"> período de</w:t>
      </w:r>
      <w:r>
        <w:rPr>
          <w:rFonts w:ascii="Arial" w:hAnsi="Arial" w:cs="Arial"/>
          <w:sz w:val="24"/>
          <w:szCs w:val="24"/>
        </w:rPr>
        <w:t xml:space="preserve"> </w:t>
      </w:r>
      <w:r w:rsidR="0018463F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2019 </w:t>
      </w:r>
      <w:r w:rsidR="0018463F">
        <w:rPr>
          <w:rFonts w:ascii="Arial" w:hAnsi="Arial" w:cs="Arial"/>
          <w:sz w:val="24"/>
          <w:szCs w:val="24"/>
        </w:rPr>
        <w:t>a maio 2021.</w:t>
      </w:r>
      <w:r w:rsidRPr="00A34630">
        <w:rPr>
          <w:rFonts w:ascii="Arial" w:hAnsi="Arial" w:cs="Arial"/>
          <w:sz w:val="24"/>
          <w:szCs w:val="24"/>
        </w:rPr>
        <w:t xml:space="preserve"> </w:t>
      </w:r>
      <w:r w:rsidR="0018463F">
        <w:rPr>
          <w:rFonts w:ascii="Arial" w:hAnsi="Arial" w:cs="Arial"/>
          <w:sz w:val="24"/>
          <w:szCs w:val="24"/>
        </w:rPr>
        <w:t>O presente estudo</w:t>
      </w:r>
      <w:r w:rsidRPr="00A34630">
        <w:rPr>
          <w:rFonts w:ascii="Arial" w:hAnsi="Arial" w:cs="Arial"/>
          <w:sz w:val="24"/>
          <w:szCs w:val="24"/>
        </w:rPr>
        <w:t xml:space="preserve"> foi realizad</w:t>
      </w:r>
      <w:r w:rsidR="0018463F">
        <w:rPr>
          <w:rFonts w:ascii="Arial" w:hAnsi="Arial" w:cs="Arial"/>
          <w:sz w:val="24"/>
          <w:szCs w:val="24"/>
        </w:rPr>
        <w:t>o</w:t>
      </w:r>
      <w:r w:rsidRPr="00A34630">
        <w:rPr>
          <w:rFonts w:ascii="Arial" w:hAnsi="Arial" w:cs="Arial"/>
          <w:sz w:val="24"/>
          <w:szCs w:val="24"/>
        </w:rPr>
        <w:t xml:space="preserve"> na Central de Regulação do Estado do Amazonas, da Secretaria d</w:t>
      </w:r>
      <w:r w:rsidR="00A82CC3">
        <w:rPr>
          <w:rFonts w:ascii="Arial" w:hAnsi="Arial" w:cs="Arial"/>
          <w:sz w:val="24"/>
          <w:szCs w:val="24"/>
        </w:rPr>
        <w:t>e Estado de Saúde do Amazonas (</w:t>
      </w:r>
      <w:r w:rsidRPr="00A34630">
        <w:rPr>
          <w:rFonts w:ascii="Arial" w:hAnsi="Arial" w:cs="Arial"/>
          <w:sz w:val="24"/>
          <w:szCs w:val="24"/>
        </w:rPr>
        <w:t>SES</w:t>
      </w:r>
      <w:r w:rsidR="00A82CC3">
        <w:rPr>
          <w:rFonts w:ascii="Arial" w:hAnsi="Arial" w:cs="Arial"/>
          <w:sz w:val="24"/>
          <w:szCs w:val="24"/>
        </w:rPr>
        <w:t>)</w:t>
      </w:r>
      <w:r w:rsidRPr="00A34630">
        <w:rPr>
          <w:rFonts w:ascii="Arial" w:hAnsi="Arial" w:cs="Arial"/>
          <w:sz w:val="24"/>
          <w:szCs w:val="24"/>
        </w:rPr>
        <w:t>, sob forma digital, em um sistema operacional de informações em tempo real</w:t>
      </w:r>
      <w:r w:rsidR="009448B9">
        <w:rPr>
          <w:rFonts w:ascii="Arial" w:hAnsi="Arial" w:cs="Arial"/>
          <w:sz w:val="24"/>
          <w:szCs w:val="24"/>
        </w:rPr>
        <w:t>,</w:t>
      </w:r>
      <w:r w:rsidRPr="00A34630">
        <w:rPr>
          <w:rFonts w:ascii="Arial" w:hAnsi="Arial" w:cs="Arial"/>
          <w:sz w:val="24"/>
          <w:szCs w:val="24"/>
        </w:rPr>
        <w:t xml:space="preserve"> o Sistema Operacional de Transferê</w:t>
      </w:r>
      <w:r w:rsidR="00A82CC3">
        <w:rPr>
          <w:rFonts w:ascii="Arial" w:hAnsi="Arial" w:cs="Arial"/>
          <w:sz w:val="24"/>
          <w:szCs w:val="24"/>
        </w:rPr>
        <w:t>ncia de Emergências Reguladas (</w:t>
      </w:r>
      <w:r w:rsidRPr="00A34630">
        <w:rPr>
          <w:rFonts w:ascii="Arial" w:hAnsi="Arial" w:cs="Arial"/>
          <w:sz w:val="24"/>
          <w:szCs w:val="24"/>
        </w:rPr>
        <w:t>SISTER</w:t>
      </w:r>
      <w:r w:rsidR="00A82CC3">
        <w:rPr>
          <w:rFonts w:ascii="Arial" w:hAnsi="Arial" w:cs="Arial"/>
          <w:sz w:val="24"/>
          <w:szCs w:val="24"/>
        </w:rPr>
        <w:t>)</w:t>
      </w:r>
      <w:r w:rsidRPr="00A34630">
        <w:rPr>
          <w:rFonts w:ascii="Arial" w:hAnsi="Arial" w:cs="Arial"/>
          <w:sz w:val="24"/>
          <w:szCs w:val="24"/>
        </w:rPr>
        <w:t>.</w:t>
      </w:r>
      <w:r w:rsidR="00E26EB5">
        <w:rPr>
          <w:rFonts w:ascii="Arial" w:hAnsi="Arial" w:cs="Arial"/>
          <w:sz w:val="24"/>
          <w:szCs w:val="24"/>
        </w:rPr>
        <w:t xml:space="preserve"> </w:t>
      </w:r>
      <w:r w:rsidRPr="00A34630">
        <w:rPr>
          <w:rFonts w:ascii="Arial" w:hAnsi="Arial" w:cs="Arial"/>
          <w:sz w:val="24"/>
          <w:szCs w:val="24"/>
        </w:rPr>
        <w:t xml:space="preserve">Estabeleceu-se como critérios de inclusão pacientes com idade ≥ 18 anos, cadastrados e regulados pelo SISTER, atendidos pelo serviço de remoção aérea licitada e transferidos para unidades hospitalares públicas. Obteve-se anuências da </w:t>
      </w:r>
      <w:bookmarkStart w:id="0" w:name="_Hlk110454813"/>
      <w:r w:rsidRPr="00A34630">
        <w:rPr>
          <w:rFonts w:ascii="Arial" w:hAnsi="Arial" w:cs="Arial"/>
          <w:sz w:val="24"/>
          <w:szCs w:val="24"/>
        </w:rPr>
        <w:t>Central de Regulação do Estado do Amazonas da SES, da subsecretaria da S</w:t>
      </w:r>
      <w:r w:rsidR="00A82CC3">
        <w:rPr>
          <w:rFonts w:ascii="Arial" w:hAnsi="Arial" w:cs="Arial"/>
          <w:sz w:val="24"/>
          <w:szCs w:val="24"/>
        </w:rPr>
        <w:t>ES do Estado do Amazonas</w:t>
      </w:r>
      <w:r w:rsidRPr="00A34630">
        <w:rPr>
          <w:rFonts w:ascii="Arial" w:hAnsi="Arial" w:cs="Arial"/>
          <w:sz w:val="24"/>
          <w:szCs w:val="24"/>
        </w:rPr>
        <w:t xml:space="preserve"> </w:t>
      </w:r>
      <w:bookmarkEnd w:id="0"/>
      <w:r w:rsidRPr="00A34630">
        <w:rPr>
          <w:rFonts w:ascii="Arial" w:hAnsi="Arial" w:cs="Arial"/>
          <w:sz w:val="24"/>
          <w:szCs w:val="24"/>
        </w:rPr>
        <w:t>e do Comitê de Ética e Pesquisa da Universidade Federal do Amazonas sob número 4.044.786.</w:t>
      </w:r>
    </w:p>
    <w:p w14:paraId="363B79A0" w14:textId="2C0F43DC" w:rsidR="005824B6" w:rsidRDefault="005824B6" w:rsidP="00B85BCE">
      <w:pPr>
        <w:spacing w:after="0" w:line="360" w:lineRule="auto"/>
        <w:jc w:val="both"/>
      </w:pPr>
    </w:p>
    <w:p w14:paraId="60AB1A99" w14:textId="1F284AF5" w:rsidR="00B85BCE" w:rsidRDefault="00B85BCE" w:rsidP="00B85BCE">
      <w:pPr>
        <w:spacing w:after="0" w:line="360" w:lineRule="auto"/>
        <w:jc w:val="both"/>
      </w:pPr>
    </w:p>
    <w:p w14:paraId="67D057A4" w14:textId="77777777" w:rsidR="00B85BCE" w:rsidRPr="006053C6" w:rsidRDefault="00B85BCE" w:rsidP="00B85BCE">
      <w:pPr>
        <w:spacing w:after="0" w:line="360" w:lineRule="auto"/>
        <w:jc w:val="both"/>
      </w:pPr>
    </w:p>
    <w:p w14:paraId="72D4B1D1" w14:textId="34BC299B" w:rsidR="00A82CC3" w:rsidRPr="0047684B" w:rsidRDefault="00E967C9" w:rsidP="00B85BC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684B">
        <w:rPr>
          <w:rFonts w:ascii="Arial" w:hAnsi="Arial" w:cs="Arial"/>
          <w:b/>
          <w:bCs/>
          <w:sz w:val="24"/>
          <w:szCs w:val="24"/>
        </w:rPr>
        <w:lastRenderedPageBreak/>
        <w:t>RESULTADOS</w:t>
      </w:r>
      <w:r w:rsidR="00E91A48">
        <w:rPr>
          <w:rFonts w:ascii="Arial" w:hAnsi="Arial" w:cs="Arial"/>
          <w:b/>
          <w:bCs/>
          <w:sz w:val="24"/>
          <w:szCs w:val="24"/>
        </w:rPr>
        <w:t xml:space="preserve"> </w:t>
      </w:r>
      <w:r w:rsidR="009448B9">
        <w:rPr>
          <w:rFonts w:ascii="Arial" w:hAnsi="Arial" w:cs="Arial"/>
          <w:b/>
          <w:bCs/>
          <w:sz w:val="24"/>
          <w:szCs w:val="24"/>
        </w:rPr>
        <w:t xml:space="preserve">E </w:t>
      </w:r>
      <w:r w:rsidR="00E91A48">
        <w:rPr>
          <w:rFonts w:ascii="Arial" w:hAnsi="Arial" w:cs="Arial"/>
          <w:b/>
          <w:bCs/>
          <w:sz w:val="24"/>
          <w:szCs w:val="24"/>
        </w:rPr>
        <w:t>DISCUSSÕES</w:t>
      </w:r>
    </w:p>
    <w:p w14:paraId="38B895D1" w14:textId="053C81B2" w:rsidR="00ED6C50" w:rsidRDefault="00E91A48" w:rsidP="00B85BC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Observa-se na Tabela 1</w:t>
      </w:r>
      <w:r w:rsidR="009448B9">
        <w:rPr>
          <w:rFonts w:ascii="Arial" w:hAnsi="Arial" w:cs="Arial"/>
          <w:bCs/>
          <w:sz w:val="24"/>
          <w:szCs w:val="24"/>
        </w:rPr>
        <w:t xml:space="preserve"> que 743 pacientes </w:t>
      </w:r>
      <w:r w:rsidR="00ED6C50">
        <w:rPr>
          <w:rFonts w:ascii="Arial" w:hAnsi="Arial" w:cs="Arial"/>
          <w:bCs/>
          <w:sz w:val="24"/>
          <w:szCs w:val="24"/>
        </w:rPr>
        <w:t xml:space="preserve">foram </w:t>
      </w:r>
      <w:proofErr w:type="spellStart"/>
      <w:r w:rsidR="00ED6C50">
        <w:rPr>
          <w:rFonts w:ascii="Arial" w:hAnsi="Arial" w:cs="Arial"/>
          <w:bCs/>
          <w:sz w:val="24"/>
          <w:szCs w:val="24"/>
        </w:rPr>
        <w:t>aerorremovidos</w:t>
      </w:r>
      <w:proofErr w:type="spellEnd"/>
      <w:r w:rsidR="00ED6C50">
        <w:rPr>
          <w:rFonts w:ascii="Arial" w:hAnsi="Arial" w:cs="Arial"/>
          <w:bCs/>
          <w:sz w:val="24"/>
          <w:szCs w:val="24"/>
        </w:rPr>
        <w:t xml:space="preserve"> </w:t>
      </w:r>
      <w:r w:rsidR="00ED6C50">
        <w:rPr>
          <w:rFonts w:ascii="Arial" w:hAnsi="Arial" w:cs="Arial"/>
          <w:sz w:val="24"/>
          <w:szCs w:val="24"/>
        </w:rPr>
        <w:t xml:space="preserve">do interior do estado do Amazonas para a capital Manaus </w:t>
      </w:r>
      <w:r w:rsidR="00ED6C50">
        <w:rPr>
          <w:rFonts w:ascii="Arial" w:hAnsi="Arial" w:cs="Arial"/>
          <w:bCs/>
          <w:sz w:val="24"/>
          <w:szCs w:val="24"/>
        </w:rPr>
        <w:t xml:space="preserve">durante o período do estudo, a maioria do sexo masculino </w:t>
      </w:r>
      <w:r w:rsidR="009448B9">
        <w:rPr>
          <w:rFonts w:ascii="Arial" w:hAnsi="Arial" w:cs="Arial"/>
          <w:bCs/>
          <w:sz w:val="24"/>
          <w:szCs w:val="24"/>
        </w:rPr>
        <w:t>(60,57%</w:t>
      </w:r>
      <w:r w:rsidR="00ED6C50">
        <w:rPr>
          <w:rFonts w:ascii="Arial" w:hAnsi="Arial" w:cs="Arial"/>
          <w:bCs/>
          <w:sz w:val="24"/>
          <w:szCs w:val="24"/>
        </w:rPr>
        <w:t xml:space="preserve">), idade média de </w:t>
      </w:r>
      <w:r w:rsidR="009448B9">
        <w:rPr>
          <w:rFonts w:ascii="Arial" w:hAnsi="Arial" w:cs="Arial"/>
          <w:bCs/>
          <w:sz w:val="24"/>
          <w:szCs w:val="24"/>
        </w:rPr>
        <w:t>53,11</w:t>
      </w:r>
      <w:r w:rsidR="00ED6C50">
        <w:rPr>
          <w:rFonts w:ascii="Arial" w:hAnsi="Arial" w:cs="Arial"/>
          <w:bCs/>
          <w:sz w:val="24"/>
          <w:szCs w:val="24"/>
        </w:rPr>
        <w:t xml:space="preserve"> (DP 17,50)</w:t>
      </w:r>
      <w:r w:rsidR="009448B9">
        <w:rPr>
          <w:rFonts w:ascii="Arial" w:hAnsi="Arial" w:cs="Arial"/>
          <w:bCs/>
          <w:sz w:val="24"/>
          <w:szCs w:val="24"/>
        </w:rPr>
        <w:t xml:space="preserve"> anos</w:t>
      </w:r>
      <w:r w:rsidR="00ED6C50">
        <w:rPr>
          <w:rFonts w:ascii="Arial" w:hAnsi="Arial" w:cs="Arial"/>
          <w:bCs/>
          <w:sz w:val="24"/>
          <w:szCs w:val="24"/>
        </w:rPr>
        <w:t xml:space="preserve"> e variação de 21 a 83 anos. Na amostra</w:t>
      </w:r>
      <w:r w:rsidR="009448B9">
        <w:rPr>
          <w:rFonts w:ascii="Arial" w:hAnsi="Arial" w:cs="Arial"/>
          <w:bCs/>
          <w:sz w:val="24"/>
          <w:szCs w:val="24"/>
        </w:rPr>
        <w:t>, houve quatro (0,53%) óbitos durante o voo</w:t>
      </w:r>
      <w:r w:rsidR="00ED6C50">
        <w:rPr>
          <w:rFonts w:ascii="Arial" w:hAnsi="Arial" w:cs="Arial"/>
          <w:bCs/>
          <w:sz w:val="24"/>
          <w:szCs w:val="24"/>
        </w:rPr>
        <w:t>.</w:t>
      </w:r>
    </w:p>
    <w:p w14:paraId="2C6826AA" w14:textId="4755A990" w:rsidR="00411E8A" w:rsidRPr="00475584" w:rsidRDefault="00336F6A" w:rsidP="00B85B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584">
        <w:rPr>
          <w:rFonts w:ascii="Arial" w:hAnsi="Arial" w:cs="Arial"/>
          <w:b/>
          <w:bCs/>
          <w:sz w:val="24"/>
          <w:szCs w:val="24"/>
        </w:rPr>
        <w:t>Tabela 1.</w:t>
      </w:r>
      <w:r w:rsidRPr="00475584">
        <w:rPr>
          <w:rFonts w:ascii="Arial" w:hAnsi="Arial" w:cs="Arial"/>
          <w:sz w:val="24"/>
          <w:szCs w:val="24"/>
        </w:rPr>
        <w:t xml:space="preserve"> </w:t>
      </w:r>
      <w:r w:rsidR="009448B9">
        <w:rPr>
          <w:rFonts w:ascii="Arial" w:hAnsi="Arial" w:cs="Arial"/>
          <w:sz w:val="24"/>
          <w:szCs w:val="24"/>
        </w:rPr>
        <w:t xml:space="preserve">Distribuição dos pacientes </w:t>
      </w:r>
      <w:proofErr w:type="spellStart"/>
      <w:r w:rsidR="009448B9">
        <w:rPr>
          <w:rFonts w:ascii="Arial" w:hAnsi="Arial" w:cs="Arial"/>
          <w:sz w:val="24"/>
          <w:szCs w:val="24"/>
        </w:rPr>
        <w:t>aerorremovidos</w:t>
      </w:r>
      <w:proofErr w:type="spellEnd"/>
      <w:r w:rsidR="009448B9" w:rsidRPr="009448B9">
        <w:rPr>
          <w:rFonts w:ascii="Arial" w:hAnsi="Arial" w:cs="Arial"/>
          <w:sz w:val="24"/>
          <w:szCs w:val="24"/>
        </w:rPr>
        <w:t xml:space="preserve"> </w:t>
      </w:r>
      <w:r w:rsidR="009448B9" w:rsidRPr="00475584">
        <w:rPr>
          <w:rFonts w:ascii="Arial" w:hAnsi="Arial" w:cs="Arial"/>
          <w:sz w:val="24"/>
          <w:szCs w:val="24"/>
        </w:rPr>
        <w:t>do interior do estado do Amazonas para a capital Manaus</w:t>
      </w:r>
      <w:r w:rsidR="00ED6C50">
        <w:rPr>
          <w:rFonts w:ascii="Arial" w:hAnsi="Arial" w:cs="Arial"/>
          <w:sz w:val="24"/>
          <w:szCs w:val="24"/>
        </w:rPr>
        <w:t xml:space="preserve"> (n=743) segundo caracterís</w:t>
      </w:r>
      <w:r w:rsidR="009448B9">
        <w:rPr>
          <w:rFonts w:ascii="Arial" w:hAnsi="Arial" w:cs="Arial"/>
          <w:sz w:val="24"/>
          <w:szCs w:val="24"/>
        </w:rPr>
        <w:t xml:space="preserve">ticas demográficas e </w:t>
      </w:r>
      <w:r w:rsidR="00A82CC3">
        <w:rPr>
          <w:rFonts w:ascii="Arial" w:hAnsi="Arial" w:cs="Arial"/>
          <w:sz w:val="24"/>
          <w:szCs w:val="24"/>
        </w:rPr>
        <w:t xml:space="preserve">ocorrência de </w:t>
      </w:r>
      <w:r w:rsidR="009448B9">
        <w:rPr>
          <w:rFonts w:ascii="Arial" w:hAnsi="Arial" w:cs="Arial"/>
          <w:sz w:val="24"/>
          <w:szCs w:val="24"/>
        </w:rPr>
        <w:t xml:space="preserve">óbito durante o voo. </w:t>
      </w:r>
    </w:p>
    <w:tbl>
      <w:tblPr>
        <w:tblStyle w:val="Tabelacomgrade"/>
        <w:tblW w:w="9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957"/>
        <w:gridCol w:w="1277"/>
        <w:gridCol w:w="1277"/>
        <w:gridCol w:w="1117"/>
      </w:tblGrid>
      <w:tr w:rsidR="00741873" w:rsidRPr="00ED6C50" w14:paraId="3D3533F0" w14:textId="77777777" w:rsidTr="001A3688">
        <w:trPr>
          <w:trHeight w:val="255"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</w:tcPr>
          <w:p w14:paraId="4E5C361E" w14:textId="5E224222" w:rsidR="009448B9" w:rsidRPr="00ED6C50" w:rsidRDefault="009448B9" w:rsidP="00B85B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Variáveis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294FC35" w14:textId="63500A89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89C58E4" w14:textId="10B11119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10B0249" w14:textId="3618517A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Média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14:paraId="2E639418" w14:textId="32960030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DP</w:t>
            </w:r>
            <w:r w:rsidR="00ED6C50" w:rsidRPr="00ED6C5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741873" w:rsidRPr="00ED6C50" w14:paraId="5ACE46CE" w14:textId="77777777" w:rsidTr="001A3688">
        <w:trPr>
          <w:trHeight w:val="262"/>
          <w:jc w:val="center"/>
        </w:trPr>
        <w:tc>
          <w:tcPr>
            <w:tcW w:w="4594" w:type="dxa"/>
            <w:tcBorders>
              <w:top w:val="single" w:sz="4" w:space="0" w:color="auto"/>
            </w:tcBorders>
          </w:tcPr>
          <w:p w14:paraId="3D164226" w14:textId="24B26C47" w:rsidR="009448B9" w:rsidRPr="00ED6C50" w:rsidRDefault="009448B9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bCs/>
                <w:sz w:val="24"/>
                <w:szCs w:val="24"/>
              </w:rPr>
              <w:t>Sexo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19F47BFB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3450D4C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B1BF088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9E755AB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B9" w:rsidRPr="00ED6C50" w14:paraId="03B33DCF" w14:textId="77777777" w:rsidTr="001A3688">
        <w:trPr>
          <w:trHeight w:val="255"/>
          <w:jc w:val="center"/>
        </w:trPr>
        <w:tc>
          <w:tcPr>
            <w:tcW w:w="4594" w:type="dxa"/>
          </w:tcPr>
          <w:p w14:paraId="43C88222" w14:textId="44C0EC40" w:rsidR="009448B9" w:rsidRPr="00ED6C50" w:rsidRDefault="009448B9" w:rsidP="00B85B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D6C50">
              <w:rPr>
                <w:rFonts w:ascii="Arial" w:hAnsi="Arial" w:cs="Arial"/>
                <w:bCs/>
                <w:sz w:val="24"/>
                <w:szCs w:val="24"/>
              </w:rPr>
              <w:t xml:space="preserve"> Masculino</w:t>
            </w:r>
          </w:p>
        </w:tc>
        <w:tc>
          <w:tcPr>
            <w:tcW w:w="957" w:type="dxa"/>
          </w:tcPr>
          <w:p w14:paraId="7E351EA0" w14:textId="28E8969D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277" w:type="dxa"/>
          </w:tcPr>
          <w:p w14:paraId="56E4DCE1" w14:textId="19ED6C7C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60,57</w:t>
            </w:r>
          </w:p>
        </w:tc>
        <w:tc>
          <w:tcPr>
            <w:tcW w:w="1277" w:type="dxa"/>
          </w:tcPr>
          <w:p w14:paraId="24FA8E37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B2E8BBA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873" w:rsidRPr="00ED6C50" w14:paraId="28E1E0B9" w14:textId="77777777" w:rsidTr="001A3688">
        <w:trPr>
          <w:trHeight w:val="262"/>
          <w:jc w:val="center"/>
        </w:trPr>
        <w:tc>
          <w:tcPr>
            <w:tcW w:w="4594" w:type="dxa"/>
          </w:tcPr>
          <w:p w14:paraId="367F23D4" w14:textId="67404D76" w:rsidR="009448B9" w:rsidRPr="00ED6C50" w:rsidRDefault="009448B9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 xml:space="preserve">   Feminino</w:t>
            </w:r>
          </w:p>
        </w:tc>
        <w:tc>
          <w:tcPr>
            <w:tcW w:w="957" w:type="dxa"/>
          </w:tcPr>
          <w:p w14:paraId="468E516F" w14:textId="7DE6CA5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277" w:type="dxa"/>
          </w:tcPr>
          <w:p w14:paraId="5CD6EBDC" w14:textId="446794B5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39,43</w:t>
            </w:r>
          </w:p>
        </w:tc>
        <w:tc>
          <w:tcPr>
            <w:tcW w:w="1277" w:type="dxa"/>
          </w:tcPr>
          <w:p w14:paraId="3C233D46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EF284EA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873" w:rsidRPr="00ED6C50" w14:paraId="54FC4930" w14:textId="77777777" w:rsidTr="001A3688">
        <w:trPr>
          <w:trHeight w:val="262"/>
          <w:jc w:val="center"/>
        </w:trPr>
        <w:tc>
          <w:tcPr>
            <w:tcW w:w="4594" w:type="dxa"/>
          </w:tcPr>
          <w:p w14:paraId="7C76D944" w14:textId="0155E079" w:rsidR="009448B9" w:rsidRPr="00ED6C50" w:rsidRDefault="009448B9" w:rsidP="00B85B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Idade em anos completos</w:t>
            </w:r>
          </w:p>
        </w:tc>
        <w:tc>
          <w:tcPr>
            <w:tcW w:w="957" w:type="dxa"/>
          </w:tcPr>
          <w:p w14:paraId="767A1184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3FEF2E8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6B99529" w14:textId="56912E04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53,11</w:t>
            </w:r>
          </w:p>
        </w:tc>
        <w:tc>
          <w:tcPr>
            <w:tcW w:w="1117" w:type="dxa"/>
          </w:tcPr>
          <w:p w14:paraId="389C086E" w14:textId="1A9F21CE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</w:tr>
      <w:tr w:rsidR="00741873" w:rsidRPr="00ED6C50" w14:paraId="79CB08F1" w14:textId="77777777" w:rsidTr="001A3688">
        <w:trPr>
          <w:trHeight w:val="255"/>
          <w:jc w:val="center"/>
        </w:trPr>
        <w:tc>
          <w:tcPr>
            <w:tcW w:w="4594" w:type="dxa"/>
          </w:tcPr>
          <w:p w14:paraId="6D909F7C" w14:textId="7273C6E8" w:rsidR="009448B9" w:rsidRPr="00ED6C50" w:rsidRDefault="009448B9" w:rsidP="00B85B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Óbito durante o voo</w:t>
            </w:r>
          </w:p>
        </w:tc>
        <w:tc>
          <w:tcPr>
            <w:tcW w:w="957" w:type="dxa"/>
          </w:tcPr>
          <w:p w14:paraId="60434B36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0A93781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6C2FE05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197DB76" w14:textId="77777777" w:rsidR="009448B9" w:rsidRPr="00ED6C50" w:rsidRDefault="009448B9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C50" w:rsidRPr="00ED6C50" w14:paraId="1D5DE1EB" w14:textId="77777777" w:rsidTr="001A3688">
        <w:trPr>
          <w:trHeight w:val="262"/>
          <w:jc w:val="center"/>
        </w:trPr>
        <w:tc>
          <w:tcPr>
            <w:tcW w:w="4594" w:type="dxa"/>
          </w:tcPr>
          <w:p w14:paraId="56D53A80" w14:textId="036E70DA" w:rsidR="00ED6C50" w:rsidRPr="00ED6C50" w:rsidRDefault="00ED6C50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 xml:space="preserve">    Sim</w:t>
            </w:r>
          </w:p>
        </w:tc>
        <w:tc>
          <w:tcPr>
            <w:tcW w:w="957" w:type="dxa"/>
          </w:tcPr>
          <w:p w14:paraId="4D322C3F" w14:textId="3C5A8633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18D84E5F" w14:textId="641276B0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  <w:tc>
          <w:tcPr>
            <w:tcW w:w="1277" w:type="dxa"/>
          </w:tcPr>
          <w:p w14:paraId="3D43520D" w14:textId="77777777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AAF97C2" w14:textId="77777777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C50" w:rsidRPr="00ED6C50" w14:paraId="4B1BAB3C" w14:textId="77777777" w:rsidTr="001A3688">
        <w:trPr>
          <w:trHeight w:val="63"/>
          <w:jc w:val="center"/>
        </w:trPr>
        <w:tc>
          <w:tcPr>
            <w:tcW w:w="4594" w:type="dxa"/>
            <w:tcBorders>
              <w:bottom w:val="single" w:sz="4" w:space="0" w:color="auto"/>
            </w:tcBorders>
          </w:tcPr>
          <w:p w14:paraId="02C8C5FE" w14:textId="6FB636A0" w:rsidR="00ED6C50" w:rsidRPr="00ED6C50" w:rsidRDefault="00ED6C50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 xml:space="preserve">    Não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B6051C0" w14:textId="367BE293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92D2098" w14:textId="3360190D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sz w:val="24"/>
                <w:szCs w:val="24"/>
              </w:rPr>
              <w:t>99,46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34862EE" w14:textId="77777777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0B07F3AB" w14:textId="77777777" w:rsidR="00ED6C50" w:rsidRPr="00ED6C50" w:rsidRDefault="00ED6C50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87D12" w14:textId="53274B0A" w:rsidR="00A82CC3" w:rsidRPr="00A82CC3" w:rsidRDefault="00A82CC3" w:rsidP="00B85B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*DP – Desvio Padrão</w:t>
      </w:r>
    </w:p>
    <w:p w14:paraId="59016DB6" w14:textId="3B750C60" w:rsidR="00524A37" w:rsidRDefault="00ED6C50" w:rsidP="00B85BC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Todos os pacientes que </w:t>
      </w:r>
      <w:r w:rsidR="00A82CC3">
        <w:rPr>
          <w:rFonts w:ascii="Arial" w:hAnsi="Arial" w:cs="Arial"/>
          <w:bCs/>
          <w:sz w:val="24"/>
          <w:szCs w:val="24"/>
        </w:rPr>
        <w:t xml:space="preserve">evoluíram a óbito durante a </w:t>
      </w:r>
      <w:r>
        <w:rPr>
          <w:rFonts w:ascii="Arial" w:hAnsi="Arial" w:cs="Arial"/>
          <w:bCs/>
          <w:sz w:val="24"/>
          <w:szCs w:val="24"/>
        </w:rPr>
        <w:t>remoção</w:t>
      </w:r>
      <w:r w:rsidR="00A82CC3">
        <w:rPr>
          <w:rFonts w:ascii="Arial" w:hAnsi="Arial" w:cs="Arial"/>
          <w:bCs/>
          <w:sz w:val="24"/>
          <w:szCs w:val="24"/>
        </w:rPr>
        <w:t xml:space="preserve"> aérea</w:t>
      </w:r>
      <w:r>
        <w:rPr>
          <w:rFonts w:ascii="Arial" w:hAnsi="Arial" w:cs="Arial"/>
          <w:bCs/>
          <w:sz w:val="24"/>
          <w:szCs w:val="24"/>
        </w:rPr>
        <w:t xml:space="preserve"> eram do sexo masculino, com média de idade de 53,06 anos, próxima a da amostra total. </w:t>
      </w:r>
      <w:r w:rsidR="00741873">
        <w:rPr>
          <w:rFonts w:ascii="Arial" w:hAnsi="Arial" w:cs="Arial"/>
          <w:bCs/>
          <w:sz w:val="24"/>
          <w:szCs w:val="24"/>
        </w:rPr>
        <w:t>Quanto à</w:t>
      </w:r>
      <w:r w:rsidR="00524A37">
        <w:rPr>
          <w:rFonts w:ascii="Arial" w:hAnsi="Arial" w:cs="Arial"/>
          <w:bCs/>
          <w:sz w:val="24"/>
          <w:szCs w:val="24"/>
        </w:rPr>
        <w:t xml:space="preserve"> prestação da assistência à saúde, os hospitais de origem dos pacientes eram regionais; entretanto, foi identificado um hospital militar, o de guarnição de Tabatinga que, por ser área fronteiriça, possui atuação estratégica do exército.</w:t>
      </w:r>
    </w:p>
    <w:p w14:paraId="785C7B86" w14:textId="77777777" w:rsidR="001A3688" w:rsidRDefault="00524A37" w:rsidP="00B85BC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Figura 1 evidencia a distância entre as cidades de origem dos pacientes que morreram durante o voo e a capital</w:t>
      </w:r>
      <w:r w:rsidR="00A82CC3">
        <w:rPr>
          <w:rFonts w:ascii="Arial" w:hAnsi="Arial" w:cs="Arial"/>
          <w:bCs/>
          <w:sz w:val="24"/>
          <w:szCs w:val="24"/>
        </w:rPr>
        <w:t xml:space="preserve"> Manaus</w:t>
      </w:r>
      <w:r>
        <w:rPr>
          <w:rFonts w:ascii="Arial" w:hAnsi="Arial" w:cs="Arial"/>
          <w:bCs/>
          <w:sz w:val="24"/>
          <w:szCs w:val="24"/>
        </w:rPr>
        <w:t>, com média de 653 quilômetros</w:t>
      </w:r>
      <w:r w:rsidR="009704C3">
        <w:rPr>
          <w:rFonts w:ascii="Arial" w:hAnsi="Arial" w:cs="Arial"/>
          <w:bCs/>
          <w:sz w:val="24"/>
          <w:szCs w:val="24"/>
        </w:rPr>
        <w:t xml:space="preserve"> e destaque à cidade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704C3">
        <w:rPr>
          <w:rFonts w:ascii="Arial" w:hAnsi="Arial" w:cs="Arial"/>
          <w:bCs/>
          <w:sz w:val="24"/>
          <w:szCs w:val="24"/>
        </w:rPr>
        <w:t xml:space="preserve">Tabatinga (1.109 quilômetros </w:t>
      </w:r>
      <w:r w:rsidR="00BA666D">
        <w:rPr>
          <w:rFonts w:ascii="Arial" w:hAnsi="Arial" w:cs="Arial"/>
          <w:bCs/>
          <w:sz w:val="24"/>
          <w:szCs w:val="24"/>
        </w:rPr>
        <w:t xml:space="preserve">de distância </w:t>
      </w:r>
      <w:r w:rsidR="009704C3">
        <w:rPr>
          <w:rFonts w:ascii="Arial" w:hAnsi="Arial" w:cs="Arial"/>
          <w:bCs/>
          <w:sz w:val="24"/>
          <w:szCs w:val="24"/>
        </w:rPr>
        <w:t>da capital Manaus)</w:t>
      </w:r>
      <w:r w:rsidR="00BA666D">
        <w:rPr>
          <w:rFonts w:ascii="Arial" w:hAnsi="Arial" w:cs="Arial"/>
          <w:bCs/>
          <w:sz w:val="24"/>
          <w:szCs w:val="24"/>
        </w:rPr>
        <w:t>.</w:t>
      </w:r>
    </w:p>
    <w:p w14:paraId="6E643D6F" w14:textId="31B142CD" w:rsidR="006956E0" w:rsidRPr="001A3688" w:rsidRDefault="00BA666D" w:rsidP="00B85B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BA4C3D1" wp14:editId="3A5AEC90">
            <wp:simplePos x="0" y="0"/>
            <wp:positionH relativeFrom="margin">
              <wp:align>left</wp:align>
            </wp:positionH>
            <wp:positionV relativeFrom="paragraph">
              <wp:posOffset>529590</wp:posOffset>
            </wp:positionV>
            <wp:extent cx="5642610" cy="1533525"/>
            <wp:effectExtent l="0" t="0" r="15240" b="9525"/>
            <wp:wrapTight wrapText="bothSides">
              <wp:wrapPolygon edited="0">
                <wp:start x="0" y="0"/>
                <wp:lineTo x="0" y="21466"/>
                <wp:lineTo x="21585" y="21466"/>
                <wp:lineTo x="21585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4C8" w:rsidRPr="001450B9">
        <w:rPr>
          <w:rFonts w:ascii="Arial" w:hAnsi="Arial" w:cs="Arial"/>
          <w:b/>
          <w:sz w:val="24"/>
          <w:szCs w:val="24"/>
        </w:rPr>
        <w:t>Figura 1.</w:t>
      </w:r>
      <w:r w:rsidR="009564C8" w:rsidRPr="001450B9">
        <w:rPr>
          <w:rFonts w:ascii="Arial" w:hAnsi="Arial" w:cs="Arial"/>
          <w:sz w:val="24"/>
          <w:szCs w:val="24"/>
        </w:rPr>
        <w:t xml:space="preserve"> Distâ</w:t>
      </w:r>
      <w:r w:rsidR="009564C8">
        <w:rPr>
          <w:rFonts w:ascii="Arial" w:hAnsi="Arial" w:cs="Arial"/>
          <w:sz w:val="24"/>
          <w:szCs w:val="24"/>
        </w:rPr>
        <w:t>ncia</w:t>
      </w:r>
      <w:r w:rsidR="00524A37">
        <w:rPr>
          <w:rFonts w:ascii="Arial" w:hAnsi="Arial" w:cs="Arial"/>
          <w:sz w:val="24"/>
          <w:szCs w:val="24"/>
        </w:rPr>
        <w:t>,</w:t>
      </w:r>
      <w:r w:rsidR="009564C8">
        <w:rPr>
          <w:rFonts w:ascii="Arial" w:hAnsi="Arial" w:cs="Arial"/>
          <w:sz w:val="24"/>
          <w:szCs w:val="24"/>
        </w:rPr>
        <w:t xml:space="preserve"> em quilômetros</w:t>
      </w:r>
      <w:r w:rsidR="00524A37">
        <w:rPr>
          <w:rFonts w:ascii="Arial" w:hAnsi="Arial" w:cs="Arial"/>
          <w:sz w:val="24"/>
          <w:szCs w:val="24"/>
        </w:rPr>
        <w:t>,</w:t>
      </w:r>
      <w:r w:rsidR="009564C8">
        <w:rPr>
          <w:rFonts w:ascii="Arial" w:hAnsi="Arial" w:cs="Arial"/>
          <w:sz w:val="24"/>
          <w:szCs w:val="24"/>
        </w:rPr>
        <w:t xml:space="preserve"> </w:t>
      </w:r>
      <w:r w:rsidR="00524A37">
        <w:rPr>
          <w:rFonts w:ascii="Arial" w:hAnsi="Arial" w:cs="Arial"/>
          <w:sz w:val="24"/>
          <w:szCs w:val="24"/>
        </w:rPr>
        <w:t>da</w:t>
      </w:r>
      <w:r w:rsidR="009564C8" w:rsidRPr="001450B9">
        <w:rPr>
          <w:rFonts w:ascii="Arial" w:hAnsi="Arial" w:cs="Arial"/>
          <w:sz w:val="24"/>
          <w:szCs w:val="24"/>
        </w:rPr>
        <w:t xml:space="preserve"> </w:t>
      </w:r>
      <w:r w:rsidR="009564C8">
        <w:rPr>
          <w:rFonts w:ascii="Arial" w:hAnsi="Arial" w:cs="Arial"/>
          <w:sz w:val="24"/>
          <w:szCs w:val="24"/>
        </w:rPr>
        <w:t>c</w:t>
      </w:r>
      <w:r w:rsidR="009564C8" w:rsidRPr="001450B9">
        <w:rPr>
          <w:rFonts w:ascii="Arial" w:hAnsi="Arial" w:cs="Arial"/>
          <w:sz w:val="24"/>
          <w:szCs w:val="24"/>
        </w:rPr>
        <w:t>idade de origem dos pacientes</w:t>
      </w:r>
      <w:r w:rsidR="009564C8">
        <w:rPr>
          <w:rFonts w:ascii="Arial" w:hAnsi="Arial" w:cs="Arial"/>
          <w:sz w:val="24"/>
          <w:szCs w:val="24"/>
        </w:rPr>
        <w:t xml:space="preserve"> que evoluíram a óbito durante o transporte </w:t>
      </w:r>
      <w:proofErr w:type="spellStart"/>
      <w:r w:rsidR="009564C8">
        <w:rPr>
          <w:rFonts w:ascii="Arial" w:hAnsi="Arial" w:cs="Arial"/>
          <w:sz w:val="24"/>
          <w:szCs w:val="24"/>
        </w:rPr>
        <w:t>aeromédico</w:t>
      </w:r>
      <w:proofErr w:type="spellEnd"/>
      <w:r w:rsidR="00524A37">
        <w:rPr>
          <w:rFonts w:ascii="Arial" w:hAnsi="Arial" w:cs="Arial"/>
          <w:sz w:val="24"/>
          <w:szCs w:val="24"/>
        </w:rPr>
        <w:t xml:space="preserve"> (n=4) até a capital Manaus.</w:t>
      </w:r>
      <w:r w:rsidR="009564C8" w:rsidRPr="009564C8">
        <w:rPr>
          <w:noProof/>
          <w:lang w:eastAsia="pt-BR"/>
        </w:rPr>
        <w:t xml:space="preserve"> </w:t>
      </w:r>
    </w:p>
    <w:p w14:paraId="4280B3ED" w14:textId="6443E75D" w:rsidR="00524A37" w:rsidRDefault="00524A37" w:rsidP="00B85BCE">
      <w:pPr>
        <w:spacing w:line="360" w:lineRule="auto"/>
        <w:jc w:val="both"/>
      </w:pPr>
      <w:r w:rsidRPr="00524A37">
        <w:rPr>
          <w:rFonts w:ascii="Arial" w:hAnsi="Arial" w:cs="Arial"/>
          <w:b/>
          <w:sz w:val="24"/>
          <w:szCs w:val="24"/>
        </w:rPr>
        <w:lastRenderedPageBreak/>
        <w:t>Tabela 2</w:t>
      </w:r>
      <w:r>
        <w:rPr>
          <w:rFonts w:ascii="Arial" w:hAnsi="Arial" w:cs="Arial"/>
          <w:sz w:val="24"/>
          <w:szCs w:val="24"/>
        </w:rPr>
        <w:t xml:space="preserve">. Distribuição dos pacientes que evoluíram a óbito durante o transporte </w:t>
      </w:r>
      <w:proofErr w:type="spellStart"/>
      <w:r>
        <w:rPr>
          <w:rFonts w:ascii="Arial" w:hAnsi="Arial" w:cs="Arial"/>
          <w:sz w:val="24"/>
          <w:szCs w:val="24"/>
        </w:rPr>
        <w:t>aeromédico</w:t>
      </w:r>
      <w:proofErr w:type="spellEnd"/>
      <w:r>
        <w:rPr>
          <w:rFonts w:ascii="Arial" w:hAnsi="Arial" w:cs="Arial"/>
          <w:sz w:val="24"/>
          <w:szCs w:val="24"/>
        </w:rPr>
        <w:t xml:space="preserve"> (n=4) segundo presença de </w:t>
      </w:r>
      <w:proofErr w:type="spellStart"/>
      <w:r>
        <w:rPr>
          <w:rFonts w:ascii="Arial" w:hAnsi="Arial" w:cs="Arial"/>
          <w:sz w:val="24"/>
          <w:szCs w:val="24"/>
        </w:rPr>
        <w:t>comorbidade</w:t>
      </w:r>
      <w:proofErr w:type="spellEnd"/>
      <w:r>
        <w:rPr>
          <w:rFonts w:ascii="Arial" w:hAnsi="Arial" w:cs="Arial"/>
          <w:sz w:val="24"/>
          <w:szCs w:val="24"/>
        </w:rPr>
        <w:t xml:space="preserve">(s) e/ou COVID-19, suporte ventilatório e uso de droga vasoativa.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851"/>
        <w:gridCol w:w="1134"/>
      </w:tblGrid>
      <w:tr w:rsidR="00524A37" w:rsidRPr="00ED6C50" w14:paraId="50D48EB8" w14:textId="77777777" w:rsidTr="00524A37">
        <w:trPr>
          <w:jc w:val="center"/>
        </w:trPr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</w:tcPr>
          <w:p w14:paraId="5E01A224" w14:textId="77777777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Variáveis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B63636" w14:textId="77777777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4AAE7B" w14:textId="77777777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24A37" w:rsidRPr="00ED6C50" w14:paraId="584C6B6C" w14:textId="77777777" w:rsidTr="00524A37">
        <w:trPr>
          <w:jc w:val="center"/>
        </w:trPr>
        <w:tc>
          <w:tcPr>
            <w:tcW w:w="4589" w:type="dxa"/>
            <w:tcBorders>
              <w:top w:val="single" w:sz="4" w:space="0" w:color="auto"/>
            </w:tcBorders>
          </w:tcPr>
          <w:p w14:paraId="05741B30" w14:textId="4D04D53E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Presença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comorbidade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43BAF5" w14:textId="77777777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681D87" w14:textId="77777777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A37" w:rsidRPr="00ED6C50" w14:paraId="5BFCC242" w14:textId="77777777" w:rsidTr="00524A37">
        <w:trPr>
          <w:jc w:val="center"/>
        </w:trPr>
        <w:tc>
          <w:tcPr>
            <w:tcW w:w="4589" w:type="dxa"/>
          </w:tcPr>
          <w:p w14:paraId="06C1EDD9" w14:textId="53043351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Sim</w:t>
            </w:r>
          </w:p>
        </w:tc>
        <w:tc>
          <w:tcPr>
            <w:tcW w:w="851" w:type="dxa"/>
          </w:tcPr>
          <w:p w14:paraId="58CE489D" w14:textId="3F04762A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C4A45F" w14:textId="0BBE05AC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24A37" w:rsidRPr="00ED6C50" w14:paraId="6823F986" w14:textId="77777777" w:rsidTr="00524A37">
        <w:trPr>
          <w:jc w:val="center"/>
        </w:trPr>
        <w:tc>
          <w:tcPr>
            <w:tcW w:w="4589" w:type="dxa"/>
          </w:tcPr>
          <w:p w14:paraId="0AB557E3" w14:textId="24FD62F0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Não </w:t>
            </w:r>
          </w:p>
        </w:tc>
        <w:tc>
          <w:tcPr>
            <w:tcW w:w="851" w:type="dxa"/>
          </w:tcPr>
          <w:p w14:paraId="69F9673E" w14:textId="35873939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FAB62D" w14:textId="7E7D99FB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24A37" w:rsidRPr="00ED6C50" w14:paraId="7E290B80" w14:textId="77777777" w:rsidTr="00524A37">
        <w:trPr>
          <w:jc w:val="center"/>
        </w:trPr>
        <w:tc>
          <w:tcPr>
            <w:tcW w:w="4589" w:type="dxa"/>
          </w:tcPr>
          <w:p w14:paraId="47286DA2" w14:textId="4C9D978D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Presença de COVID-19</w:t>
            </w:r>
          </w:p>
        </w:tc>
        <w:tc>
          <w:tcPr>
            <w:tcW w:w="851" w:type="dxa"/>
          </w:tcPr>
          <w:p w14:paraId="7502C587" w14:textId="77777777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0B88B" w14:textId="77777777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A37" w:rsidRPr="00ED6C50" w14:paraId="6ACD6667" w14:textId="77777777" w:rsidTr="00524A37">
        <w:trPr>
          <w:jc w:val="center"/>
        </w:trPr>
        <w:tc>
          <w:tcPr>
            <w:tcW w:w="4589" w:type="dxa"/>
          </w:tcPr>
          <w:p w14:paraId="07AB2517" w14:textId="38FCD623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Sim</w:t>
            </w:r>
          </w:p>
        </w:tc>
        <w:tc>
          <w:tcPr>
            <w:tcW w:w="851" w:type="dxa"/>
          </w:tcPr>
          <w:p w14:paraId="4BBA92EF" w14:textId="56AFCC5D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A3C1C6" w14:textId="313FF450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24A37" w:rsidRPr="00ED6C50" w14:paraId="646422C0" w14:textId="77777777" w:rsidTr="00524A37">
        <w:trPr>
          <w:jc w:val="center"/>
        </w:trPr>
        <w:tc>
          <w:tcPr>
            <w:tcW w:w="4589" w:type="dxa"/>
          </w:tcPr>
          <w:p w14:paraId="64DE6D0F" w14:textId="0DD00A12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Não </w:t>
            </w:r>
          </w:p>
        </w:tc>
        <w:tc>
          <w:tcPr>
            <w:tcW w:w="851" w:type="dxa"/>
          </w:tcPr>
          <w:p w14:paraId="440ACB04" w14:textId="2209EA85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1B27E0" w14:textId="70F1EED9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24A37" w:rsidRPr="00ED6C50" w14:paraId="6195952F" w14:textId="77777777" w:rsidTr="00524A37">
        <w:trPr>
          <w:jc w:val="center"/>
        </w:trPr>
        <w:tc>
          <w:tcPr>
            <w:tcW w:w="4589" w:type="dxa"/>
          </w:tcPr>
          <w:p w14:paraId="0AB8BAFC" w14:textId="317F10D9" w:rsidR="00524A37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Suporte ventilatório durante o voo</w:t>
            </w:r>
          </w:p>
        </w:tc>
        <w:tc>
          <w:tcPr>
            <w:tcW w:w="851" w:type="dxa"/>
          </w:tcPr>
          <w:p w14:paraId="6BEA190E" w14:textId="77777777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0212E" w14:textId="77777777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A37" w:rsidRPr="00ED6C50" w14:paraId="5D6CE6CF" w14:textId="77777777" w:rsidTr="00524A37">
        <w:trPr>
          <w:jc w:val="center"/>
        </w:trPr>
        <w:tc>
          <w:tcPr>
            <w:tcW w:w="4589" w:type="dxa"/>
          </w:tcPr>
          <w:p w14:paraId="3638F34A" w14:textId="3384C73A" w:rsidR="00524A37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Sim</w:t>
            </w:r>
          </w:p>
        </w:tc>
        <w:tc>
          <w:tcPr>
            <w:tcW w:w="851" w:type="dxa"/>
          </w:tcPr>
          <w:p w14:paraId="41DA2F08" w14:textId="4EB9B5BB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A4B14E1" w14:textId="34F780F2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524A37" w:rsidRPr="00ED6C50" w14:paraId="4C3F3A58" w14:textId="77777777" w:rsidTr="00524A37">
        <w:trPr>
          <w:jc w:val="center"/>
        </w:trPr>
        <w:tc>
          <w:tcPr>
            <w:tcW w:w="4589" w:type="dxa"/>
          </w:tcPr>
          <w:p w14:paraId="38796AE3" w14:textId="1220B181" w:rsidR="00524A37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Não </w:t>
            </w:r>
          </w:p>
        </w:tc>
        <w:tc>
          <w:tcPr>
            <w:tcW w:w="851" w:type="dxa"/>
          </w:tcPr>
          <w:p w14:paraId="25065272" w14:textId="12D5ACCF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9599EE" w14:textId="7496E62F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524A37" w:rsidRPr="00ED6C50" w14:paraId="2473E57F" w14:textId="77777777" w:rsidTr="00524A37">
        <w:trPr>
          <w:jc w:val="center"/>
        </w:trPr>
        <w:tc>
          <w:tcPr>
            <w:tcW w:w="4589" w:type="dxa"/>
          </w:tcPr>
          <w:p w14:paraId="17AC8A09" w14:textId="12D2839A" w:rsidR="00524A37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Uso de droga vasoativa durante o voo</w:t>
            </w:r>
          </w:p>
        </w:tc>
        <w:tc>
          <w:tcPr>
            <w:tcW w:w="851" w:type="dxa"/>
          </w:tcPr>
          <w:p w14:paraId="51384A65" w14:textId="77777777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AD756" w14:textId="77777777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A37" w:rsidRPr="00ED6C50" w14:paraId="7A954B5D" w14:textId="77777777" w:rsidTr="00524A37">
        <w:trPr>
          <w:jc w:val="center"/>
        </w:trPr>
        <w:tc>
          <w:tcPr>
            <w:tcW w:w="4589" w:type="dxa"/>
          </w:tcPr>
          <w:p w14:paraId="266EC1E5" w14:textId="231F20E6" w:rsidR="00524A37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Sim</w:t>
            </w:r>
          </w:p>
        </w:tc>
        <w:tc>
          <w:tcPr>
            <w:tcW w:w="851" w:type="dxa"/>
          </w:tcPr>
          <w:p w14:paraId="021134B4" w14:textId="5CF584D8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1F8DF1" w14:textId="6D731455" w:rsidR="00524A37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24A37" w:rsidRPr="00ED6C50" w14:paraId="01731224" w14:textId="77777777" w:rsidTr="00524A37">
        <w:trPr>
          <w:jc w:val="center"/>
        </w:trPr>
        <w:tc>
          <w:tcPr>
            <w:tcW w:w="4589" w:type="dxa"/>
            <w:tcBorders>
              <w:bottom w:val="single" w:sz="4" w:space="0" w:color="auto"/>
            </w:tcBorders>
          </w:tcPr>
          <w:p w14:paraId="70960487" w14:textId="45D1A165" w:rsidR="00524A37" w:rsidRPr="00ED6C50" w:rsidRDefault="00524A37" w:rsidP="00B85B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Não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3894A5" w14:textId="14ADAA5D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AB6379" w14:textId="3350B04D" w:rsidR="00524A37" w:rsidRPr="00ED6C50" w:rsidRDefault="00524A37" w:rsidP="00B85B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</w:tbl>
    <w:p w14:paraId="772242AD" w14:textId="30D46256" w:rsidR="00524A37" w:rsidRDefault="00524A37" w:rsidP="00B85BCE">
      <w:pPr>
        <w:tabs>
          <w:tab w:val="left" w:pos="213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3ED6F2" w14:textId="30C7C6C8" w:rsidR="00524A37" w:rsidRDefault="00524A37" w:rsidP="00B85BC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dados da Tabela 2 mostram que metade dos pacientes que morreram durante o voo apresentavam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comorbidade</w:t>
      </w:r>
      <w:proofErr w:type="spellEnd"/>
      <w:r>
        <w:rPr>
          <w:rFonts w:ascii="Arial" w:hAnsi="Arial" w:cs="Arial"/>
          <w:bCs/>
          <w:sz w:val="24"/>
          <w:szCs w:val="24"/>
        </w:rPr>
        <w:t>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e estavam infectados pela COVID-19. </w:t>
      </w:r>
      <w:r w:rsidR="009704C3">
        <w:rPr>
          <w:rFonts w:ascii="Arial" w:hAnsi="Arial" w:cs="Arial"/>
          <w:bCs/>
          <w:sz w:val="24"/>
          <w:szCs w:val="24"/>
        </w:rPr>
        <w:t xml:space="preserve">Características dos pacientes com o novo coronavírus corroboram com estudo de </w:t>
      </w:r>
      <w:proofErr w:type="spellStart"/>
      <w:r>
        <w:rPr>
          <w:rFonts w:ascii="Arial" w:hAnsi="Arial" w:cs="Arial"/>
          <w:bCs/>
          <w:sz w:val="24"/>
          <w:szCs w:val="24"/>
        </w:rPr>
        <w:t>Pordajani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colaboradores (2020)</w:t>
      </w:r>
      <w:r w:rsidR="009704C3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A</w:t>
      </w:r>
      <w:r w:rsidR="009704C3">
        <w:rPr>
          <w:rFonts w:ascii="Arial" w:hAnsi="Arial" w:cs="Arial"/>
          <w:bCs/>
          <w:sz w:val="24"/>
          <w:szCs w:val="24"/>
        </w:rPr>
        <w:t>inda sobre os casos de óbitos durante o voo, a</w:t>
      </w:r>
      <w:r>
        <w:rPr>
          <w:rFonts w:ascii="Arial" w:hAnsi="Arial" w:cs="Arial"/>
          <w:bCs/>
          <w:sz w:val="24"/>
          <w:szCs w:val="24"/>
        </w:rPr>
        <w:t xml:space="preserve"> maioria dos pacientes</w:t>
      </w:r>
      <w:r w:rsidR="009704C3">
        <w:rPr>
          <w:rFonts w:ascii="Arial" w:hAnsi="Arial" w:cs="Arial"/>
          <w:bCs/>
          <w:sz w:val="24"/>
          <w:szCs w:val="24"/>
        </w:rPr>
        <w:t xml:space="preserve"> estava em ventilação mecânica (75,00%) durante a remoção e dois doentes faziam uso de droga vasoativa</w:t>
      </w:r>
      <w:r w:rsidR="00BA666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como dopamina</w:t>
      </w:r>
      <w:r w:rsidR="009704C3">
        <w:rPr>
          <w:rFonts w:ascii="Arial" w:hAnsi="Arial" w:cs="Arial"/>
          <w:bCs/>
          <w:sz w:val="24"/>
          <w:szCs w:val="24"/>
        </w:rPr>
        <w:t xml:space="preserve"> (n=1)</w:t>
      </w:r>
      <w:r>
        <w:rPr>
          <w:rFonts w:ascii="Arial" w:hAnsi="Arial" w:cs="Arial"/>
          <w:bCs/>
          <w:sz w:val="24"/>
          <w:szCs w:val="24"/>
        </w:rPr>
        <w:t xml:space="preserve"> e noradrenalina</w:t>
      </w:r>
      <w:r w:rsidR="009704C3">
        <w:rPr>
          <w:rFonts w:ascii="Arial" w:hAnsi="Arial" w:cs="Arial"/>
          <w:bCs/>
          <w:sz w:val="24"/>
          <w:szCs w:val="24"/>
        </w:rPr>
        <w:t xml:space="preserve"> (n=1)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83A36C4" w14:textId="77777777" w:rsidR="002352BF" w:rsidRDefault="002352BF" w:rsidP="00B85BC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5C081F" w14:textId="026E0D48" w:rsidR="00B73504" w:rsidRPr="001A3688" w:rsidRDefault="008B6311" w:rsidP="00B85BC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CONCLUSÃO</w:t>
      </w:r>
    </w:p>
    <w:p w14:paraId="59E1581B" w14:textId="76FC8CD2" w:rsidR="00BA666D" w:rsidRDefault="009704C3" w:rsidP="00B85BC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do óbito durante o </w:t>
      </w:r>
      <w:r w:rsidR="00BA18C0">
        <w:rPr>
          <w:rFonts w:ascii="Arial" w:hAnsi="Arial" w:cs="Arial"/>
          <w:bCs/>
          <w:sz w:val="24"/>
          <w:szCs w:val="24"/>
        </w:rPr>
        <w:t xml:space="preserve">transporte </w:t>
      </w:r>
      <w:proofErr w:type="spellStart"/>
      <w:r w:rsidR="00BA18C0">
        <w:rPr>
          <w:rFonts w:ascii="Arial" w:hAnsi="Arial" w:cs="Arial"/>
          <w:bCs/>
          <w:sz w:val="24"/>
          <w:szCs w:val="24"/>
        </w:rPr>
        <w:t>aeromédico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ser pouco descrito na literatura e </w:t>
      </w:r>
      <w:r w:rsidR="00BA666D">
        <w:rPr>
          <w:rFonts w:ascii="Arial" w:hAnsi="Arial" w:cs="Arial"/>
          <w:bCs/>
          <w:sz w:val="24"/>
          <w:szCs w:val="24"/>
        </w:rPr>
        <w:t>sua incidência não ser elevada</w:t>
      </w:r>
      <w:r>
        <w:rPr>
          <w:rFonts w:ascii="Arial" w:hAnsi="Arial" w:cs="Arial"/>
          <w:bCs/>
          <w:sz w:val="24"/>
          <w:szCs w:val="24"/>
        </w:rPr>
        <w:t xml:space="preserve">, a ocorrência deste evento adverso pode ser evitada com a implantação de protocolos de avaliação e cuidados a serem adotados pela </w:t>
      </w:r>
      <w:r w:rsidR="00BA18C0">
        <w:rPr>
          <w:rFonts w:ascii="Arial" w:hAnsi="Arial" w:cs="Arial"/>
          <w:bCs/>
          <w:sz w:val="24"/>
          <w:szCs w:val="24"/>
        </w:rPr>
        <w:t>equipe de saúde</w:t>
      </w:r>
      <w:r w:rsidR="00B73504" w:rsidRPr="005F5282">
        <w:rPr>
          <w:rFonts w:ascii="Arial" w:hAnsi="Arial" w:cs="Arial"/>
          <w:bCs/>
          <w:sz w:val="24"/>
          <w:szCs w:val="24"/>
        </w:rPr>
        <w:t xml:space="preserve"> </w:t>
      </w:r>
      <w:r w:rsidR="00BA18C0">
        <w:rPr>
          <w:rFonts w:ascii="Arial" w:hAnsi="Arial" w:cs="Arial"/>
          <w:bCs/>
          <w:sz w:val="24"/>
          <w:szCs w:val="24"/>
        </w:rPr>
        <w:t>antes e durante a remoção do paciente</w:t>
      </w:r>
      <w:r w:rsidR="00BA666D">
        <w:rPr>
          <w:rFonts w:ascii="Arial" w:hAnsi="Arial" w:cs="Arial"/>
          <w:bCs/>
          <w:sz w:val="24"/>
          <w:szCs w:val="24"/>
        </w:rPr>
        <w:t xml:space="preserve">, especialmente em longos </w:t>
      </w:r>
      <w:proofErr w:type="spellStart"/>
      <w:r w:rsidR="00BA666D">
        <w:rPr>
          <w:rFonts w:ascii="Arial" w:hAnsi="Arial" w:cs="Arial"/>
          <w:bCs/>
          <w:sz w:val="24"/>
          <w:szCs w:val="24"/>
        </w:rPr>
        <w:t>translados</w:t>
      </w:r>
      <w:proofErr w:type="spellEnd"/>
      <w:r w:rsidR="00BA666D">
        <w:rPr>
          <w:rFonts w:ascii="Arial" w:hAnsi="Arial" w:cs="Arial"/>
          <w:bCs/>
          <w:sz w:val="24"/>
          <w:szCs w:val="24"/>
        </w:rPr>
        <w:t>.</w:t>
      </w:r>
    </w:p>
    <w:p w14:paraId="51B33C97" w14:textId="642840B3" w:rsidR="00A046F1" w:rsidRDefault="00A046F1" w:rsidP="00BA666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746F6AE" w14:textId="78726160" w:rsidR="00A046F1" w:rsidRDefault="00A046F1" w:rsidP="00BA666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58E894B" w14:textId="3FA01DE1" w:rsidR="003F7469" w:rsidRDefault="009564C8" w:rsidP="00165B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666D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7CA71CE6" w14:textId="77777777" w:rsidR="00165B06" w:rsidRPr="00165B06" w:rsidRDefault="00165B06" w:rsidP="00165B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14B634" w14:textId="1070F6A7" w:rsidR="00471D20" w:rsidRDefault="00471D20" w:rsidP="00165B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666D">
        <w:rPr>
          <w:rFonts w:ascii="Arial" w:hAnsi="Arial" w:cs="Arial"/>
          <w:sz w:val="24"/>
          <w:szCs w:val="24"/>
          <w:lang w:val="en-US"/>
        </w:rPr>
        <w:t xml:space="preserve">BLUMEN, I. J.; LEMKIN, D. L. Principles and Direction of Air Medical Transport: Previously the Air Medical Physician Handbook. </w:t>
      </w:r>
      <w:r w:rsidRPr="00BA666D">
        <w:rPr>
          <w:rFonts w:ascii="Arial" w:hAnsi="Arial" w:cs="Arial"/>
          <w:b/>
          <w:bCs/>
          <w:sz w:val="24"/>
          <w:szCs w:val="24"/>
        </w:rPr>
        <w:t xml:space="preserve">Air Medical </w:t>
      </w:r>
      <w:proofErr w:type="spellStart"/>
      <w:r w:rsidRPr="00BA666D">
        <w:rPr>
          <w:rFonts w:ascii="Arial" w:hAnsi="Arial" w:cs="Arial"/>
          <w:b/>
          <w:bCs/>
          <w:sz w:val="24"/>
          <w:szCs w:val="24"/>
        </w:rPr>
        <w:t>Physician</w:t>
      </w:r>
      <w:proofErr w:type="spellEnd"/>
      <w:r w:rsidRPr="00BA66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A666D">
        <w:rPr>
          <w:rFonts w:ascii="Arial" w:hAnsi="Arial" w:cs="Arial"/>
          <w:b/>
          <w:bCs/>
          <w:sz w:val="24"/>
          <w:szCs w:val="24"/>
        </w:rPr>
        <w:t>Association</w:t>
      </w:r>
      <w:proofErr w:type="spellEnd"/>
      <w:r w:rsidRPr="00BA666D">
        <w:rPr>
          <w:rFonts w:ascii="Arial" w:hAnsi="Arial" w:cs="Arial"/>
          <w:sz w:val="24"/>
          <w:szCs w:val="24"/>
        </w:rPr>
        <w:t>, 2006.</w:t>
      </w:r>
    </w:p>
    <w:p w14:paraId="1FF7BF46" w14:textId="654DDB05" w:rsidR="00471D20" w:rsidRDefault="00471D20" w:rsidP="00DA5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66D">
        <w:rPr>
          <w:rFonts w:ascii="Arial" w:hAnsi="Arial" w:cs="Arial"/>
          <w:sz w:val="24"/>
          <w:szCs w:val="24"/>
          <w:lang w:val="es-419"/>
        </w:rPr>
        <w:t xml:space="preserve">CARDOSO, R. G. et al. </w:t>
      </w:r>
      <w:r w:rsidRPr="00BA666D">
        <w:rPr>
          <w:rFonts w:ascii="Arial" w:hAnsi="Arial" w:cs="Arial"/>
          <w:sz w:val="24"/>
          <w:szCs w:val="24"/>
        </w:rPr>
        <w:t xml:space="preserve">Resgate </w:t>
      </w:r>
      <w:proofErr w:type="spellStart"/>
      <w:r w:rsidRPr="00BA666D">
        <w:rPr>
          <w:rFonts w:ascii="Arial" w:hAnsi="Arial" w:cs="Arial"/>
          <w:sz w:val="24"/>
          <w:szCs w:val="24"/>
        </w:rPr>
        <w:t>aeromédico</w:t>
      </w:r>
      <w:proofErr w:type="spellEnd"/>
      <w:r w:rsidRPr="00BA666D">
        <w:rPr>
          <w:rFonts w:ascii="Arial" w:hAnsi="Arial" w:cs="Arial"/>
          <w:sz w:val="24"/>
          <w:szCs w:val="24"/>
        </w:rPr>
        <w:t xml:space="preserve"> a traumatizados: experiência na região metropolitana de Campinas, Brasil. </w:t>
      </w:r>
      <w:r w:rsidRPr="00BA666D">
        <w:rPr>
          <w:rFonts w:ascii="Arial" w:hAnsi="Arial" w:cs="Arial"/>
          <w:b/>
          <w:bCs/>
          <w:sz w:val="24"/>
          <w:szCs w:val="24"/>
        </w:rPr>
        <w:t>Rev. Col. Bras. Cir</w:t>
      </w:r>
      <w:r w:rsidRPr="00BA666D">
        <w:rPr>
          <w:rFonts w:ascii="Arial" w:hAnsi="Arial" w:cs="Arial"/>
          <w:sz w:val="24"/>
          <w:szCs w:val="24"/>
        </w:rPr>
        <w:t>., Rio de Janeiro, v. 41, n. 4, p. 236-244, 2014.</w:t>
      </w:r>
    </w:p>
    <w:p w14:paraId="27A1283A" w14:textId="58B30BDB" w:rsidR="003F7469" w:rsidRPr="00BA666D" w:rsidRDefault="003F7469" w:rsidP="00DA5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4C6DA" w14:textId="7025AF23" w:rsidR="003F7469" w:rsidRDefault="00471D20" w:rsidP="00DA5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66D">
        <w:rPr>
          <w:rFonts w:ascii="Arial" w:hAnsi="Arial" w:cs="Arial"/>
          <w:sz w:val="24"/>
          <w:szCs w:val="24"/>
          <w:lang w:val="en-US"/>
        </w:rPr>
        <w:t xml:space="preserve">EMRA; TURNER, C. T; SWANSON, E. R. </w:t>
      </w:r>
      <w:r w:rsidRPr="00BA666D">
        <w:rPr>
          <w:rFonts w:ascii="Arial" w:hAnsi="Arial" w:cs="Arial"/>
          <w:b/>
          <w:bCs/>
          <w:sz w:val="24"/>
          <w:szCs w:val="24"/>
          <w:lang w:val="en-US"/>
        </w:rPr>
        <w:t xml:space="preserve">Flight: Physiology of Air Transport </w:t>
      </w:r>
      <w:r w:rsidR="000F16A0" w:rsidRPr="00BA666D">
        <w:rPr>
          <w:rFonts w:ascii="Arial" w:hAnsi="Arial" w:cs="Arial"/>
          <w:b/>
          <w:bCs/>
          <w:sz w:val="24"/>
          <w:szCs w:val="24"/>
          <w:lang w:val="en-US"/>
        </w:rPr>
        <w:t>and</w:t>
      </w:r>
      <w:r w:rsidRPr="00BA666D">
        <w:rPr>
          <w:rFonts w:ascii="Arial" w:hAnsi="Arial" w:cs="Arial"/>
          <w:b/>
          <w:bCs/>
          <w:sz w:val="24"/>
          <w:szCs w:val="24"/>
          <w:lang w:val="en-US"/>
        </w:rPr>
        <w:t xml:space="preserve"> Problems </w:t>
      </w:r>
      <w:proofErr w:type="gramStart"/>
      <w:r w:rsidR="000F16A0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0F16A0" w:rsidRPr="00BA666D">
        <w:rPr>
          <w:rFonts w:ascii="Arial" w:hAnsi="Arial" w:cs="Arial"/>
          <w:b/>
          <w:bCs/>
          <w:sz w:val="24"/>
          <w:szCs w:val="24"/>
          <w:lang w:val="en-US"/>
        </w:rPr>
        <w:t>o</w:t>
      </w:r>
      <w:proofErr w:type="gramEnd"/>
      <w:r w:rsidRPr="00BA666D">
        <w:rPr>
          <w:rFonts w:ascii="Arial" w:hAnsi="Arial" w:cs="Arial"/>
          <w:b/>
          <w:bCs/>
          <w:sz w:val="24"/>
          <w:szCs w:val="24"/>
          <w:lang w:val="en-US"/>
        </w:rPr>
        <w:t xml:space="preserve"> Be Considered Along The Way. EMS Essentials</w:t>
      </w:r>
      <w:r w:rsidRPr="00BA666D">
        <w:rPr>
          <w:rFonts w:ascii="Arial" w:hAnsi="Arial" w:cs="Arial"/>
          <w:sz w:val="24"/>
          <w:szCs w:val="24"/>
          <w:lang w:val="en-US"/>
        </w:rPr>
        <w:t xml:space="preserve">. Available from: https://www.emra.org/books/emra-ems-essentials/chapter-12-flight/. </w:t>
      </w:r>
      <w:r>
        <w:rPr>
          <w:rFonts w:ascii="Arial" w:hAnsi="Arial" w:cs="Arial"/>
          <w:sz w:val="24"/>
          <w:szCs w:val="24"/>
        </w:rPr>
        <w:t>Acesso em: 25 julho</w:t>
      </w:r>
      <w:r w:rsidRPr="00BA666D">
        <w:rPr>
          <w:rFonts w:ascii="Arial" w:hAnsi="Arial" w:cs="Arial"/>
          <w:sz w:val="24"/>
          <w:szCs w:val="24"/>
        </w:rPr>
        <w:t xml:space="preserve"> de 2022</w:t>
      </w:r>
    </w:p>
    <w:p w14:paraId="6D879E9A" w14:textId="77777777" w:rsidR="00165B06" w:rsidRPr="00BA666D" w:rsidRDefault="00165B06" w:rsidP="00DA5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74274" w14:textId="31F34706" w:rsidR="00471D20" w:rsidRDefault="00471D20" w:rsidP="00DA52E5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KHURANA, </w:t>
      </w:r>
      <w:proofErr w:type="spellStart"/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>Himanshu</w:t>
      </w:r>
      <w:proofErr w:type="spellEnd"/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MEHTA, </w:t>
      </w:r>
      <w:proofErr w:type="spellStart"/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>Yatin</w:t>
      </w:r>
      <w:proofErr w:type="spellEnd"/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DUBEY, </w:t>
      </w:r>
      <w:proofErr w:type="spellStart"/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>Sunil</w:t>
      </w:r>
      <w:proofErr w:type="spellEnd"/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Air medical transportation in India: Our experience. </w:t>
      </w:r>
      <w:r w:rsidRPr="00BA666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Journal of </w:t>
      </w:r>
      <w:proofErr w:type="spellStart"/>
      <w:r w:rsidRPr="00BA666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Anaesthesiology</w:t>
      </w:r>
      <w:proofErr w:type="spellEnd"/>
      <w:r w:rsidRPr="00BA666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, Clinical Pharmacology</w:t>
      </w:r>
      <w:r w:rsidRPr="00BA666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, v. 32, n. 3, p. 359, 2016.</w:t>
      </w:r>
    </w:p>
    <w:p w14:paraId="5CF89249" w14:textId="77777777" w:rsidR="00165B06" w:rsidRPr="00BA666D" w:rsidRDefault="00165B06" w:rsidP="00DA52E5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14:paraId="13487BF5" w14:textId="64AD3E5D" w:rsidR="00471D20" w:rsidRPr="00BA666D" w:rsidRDefault="00471D20" w:rsidP="00165B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666D">
        <w:rPr>
          <w:rFonts w:ascii="Arial" w:hAnsi="Arial" w:cs="Arial"/>
          <w:sz w:val="24"/>
          <w:szCs w:val="24"/>
          <w:lang w:val="en-US"/>
        </w:rPr>
        <w:t xml:space="preserve">PORDANJANI, </w:t>
      </w:r>
      <w:proofErr w:type="spellStart"/>
      <w:r w:rsidRPr="00BA666D">
        <w:rPr>
          <w:rFonts w:ascii="Arial" w:hAnsi="Arial" w:cs="Arial"/>
          <w:sz w:val="24"/>
          <w:szCs w:val="24"/>
          <w:lang w:val="en-US"/>
        </w:rPr>
        <w:t>Sajjad</w:t>
      </w:r>
      <w:proofErr w:type="spellEnd"/>
      <w:r w:rsidRPr="00BA66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666D">
        <w:rPr>
          <w:rFonts w:ascii="Arial" w:hAnsi="Arial" w:cs="Arial"/>
          <w:sz w:val="24"/>
          <w:szCs w:val="24"/>
          <w:lang w:val="en-US"/>
        </w:rPr>
        <w:t>Rahimi</w:t>
      </w:r>
      <w:proofErr w:type="spellEnd"/>
      <w:r w:rsidRPr="00BA666D">
        <w:rPr>
          <w:rFonts w:ascii="Arial" w:hAnsi="Arial" w:cs="Arial"/>
          <w:sz w:val="24"/>
          <w:szCs w:val="24"/>
          <w:lang w:val="en-US"/>
        </w:rPr>
        <w:t xml:space="preserve"> et al. </w:t>
      </w:r>
      <w:r w:rsidRPr="00BA666D">
        <w:rPr>
          <w:rFonts w:ascii="Arial" w:hAnsi="Arial" w:cs="Arial"/>
          <w:sz w:val="24"/>
          <w:szCs w:val="24"/>
        </w:rPr>
        <w:t xml:space="preserve">Aspectos da epidemiologia, patologia, virologia, imunologia, transmissão, prevenção, prognóstico, diagnóstico e tratamento da pandemia de COVID-19: uma revisão narrativa. </w:t>
      </w:r>
      <w:proofErr w:type="spellStart"/>
      <w:r w:rsidRPr="00165B06">
        <w:rPr>
          <w:rFonts w:ascii="Arial" w:hAnsi="Arial" w:cs="Arial"/>
          <w:b/>
          <w:sz w:val="24"/>
          <w:szCs w:val="24"/>
        </w:rPr>
        <w:t>International</w:t>
      </w:r>
      <w:proofErr w:type="spellEnd"/>
      <w:r w:rsidRPr="00165B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B06">
        <w:rPr>
          <w:rFonts w:ascii="Arial" w:hAnsi="Arial" w:cs="Arial"/>
          <w:b/>
          <w:sz w:val="24"/>
          <w:szCs w:val="24"/>
        </w:rPr>
        <w:t>Journal</w:t>
      </w:r>
      <w:proofErr w:type="spellEnd"/>
      <w:r w:rsidRPr="00165B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B06">
        <w:rPr>
          <w:rFonts w:ascii="Arial" w:hAnsi="Arial" w:cs="Arial"/>
          <w:b/>
          <w:sz w:val="24"/>
          <w:szCs w:val="24"/>
        </w:rPr>
        <w:t>of</w:t>
      </w:r>
      <w:proofErr w:type="spellEnd"/>
      <w:r w:rsidRPr="00165B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B06">
        <w:rPr>
          <w:rFonts w:ascii="Arial" w:hAnsi="Arial" w:cs="Arial"/>
          <w:b/>
          <w:sz w:val="24"/>
          <w:szCs w:val="24"/>
        </w:rPr>
        <w:t>Preventive</w:t>
      </w:r>
      <w:proofErr w:type="spellEnd"/>
      <w:r w:rsidRPr="00165B06">
        <w:rPr>
          <w:rFonts w:ascii="Arial" w:hAnsi="Arial" w:cs="Arial"/>
          <w:b/>
          <w:sz w:val="24"/>
          <w:szCs w:val="24"/>
        </w:rPr>
        <w:t xml:space="preserve"> Medicine</w:t>
      </w:r>
      <w:r w:rsidRPr="00BA666D">
        <w:rPr>
          <w:rFonts w:ascii="Arial" w:hAnsi="Arial" w:cs="Arial"/>
          <w:sz w:val="24"/>
          <w:szCs w:val="24"/>
        </w:rPr>
        <w:t>, v. 12, n. 1, pág. 38, 2021.Acesso em: 10 de agosto de 2022.</w:t>
      </w:r>
    </w:p>
    <w:p w14:paraId="1E4F5A74" w14:textId="7EDDAB1F" w:rsidR="00471D20" w:rsidRPr="00BA666D" w:rsidRDefault="00165B06" w:rsidP="00DA52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666D">
        <w:rPr>
          <w:rFonts w:ascii="Arial" w:hAnsi="Arial" w:cs="Arial"/>
          <w:sz w:val="24"/>
          <w:szCs w:val="24"/>
          <w:lang w:val="en-US"/>
        </w:rPr>
        <w:t>SINGH,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A666D">
        <w:rPr>
          <w:rFonts w:ascii="Arial" w:hAnsi="Arial" w:cs="Arial"/>
          <w:sz w:val="24"/>
          <w:szCs w:val="24"/>
          <w:lang w:val="en-US"/>
        </w:rPr>
        <w:t>J.</w:t>
      </w:r>
      <w:r w:rsidR="00471D20" w:rsidRPr="00BA666D">
        <w:rPr>
          <w:rFonts w:ascii="Arial" w:hAnsi="Arial" w:cs="Arial"/>
          <w:sz w:val="24"/>
          <w:szCs w:val="24"/>
          <w:lang w:val="en-US"/>
        </w:rPr>
        <w:t xml:space="preserve"> M. et al. </w:t>
      </w:r>
      <w:r w:rsidR="00471D20" w:rsidRPr="00043966">
        <w:rPr>
          <w:rFonts w:ascii="Arial" w:hAnsi="Arial" w:cs="Arial"/>
          <w:b/>
          <w:sz w:val="24"/>
          <w:szCs w:val="24"/>
          <w:lang w:val="en-US"/>
        </w:rPr>
        <w:t xml:space="preserve">Incidence and predictors of critical events during urgent air–medical transport. </w:t>
      </w:r>
      <w:r w:rsidR="00471D20" w:rsidRPr="00043966">
        <w:rPr>
          <w:rFonts w:ascii="Arial" w:hAnsi="Arial" w:cs="Arial"/>
          <w:bCs/>
          <w:sz w:val="24"/>
          <w:szCs w:val="24"/>
        </w:rPr>
        <w:t>CMAJ</w:t>
      </w:r>
      <w:r w:rsidR="00471D20" w:rsidRPr="00BA666D">
        <w:rPr>
          <w:rFonts w:ascii="Arial" w:hAnsi="Arial" w:cs="Arial"/>
          <w:b/>
          <w:bCs/>
          <w:sz w:val="24"/>
          <w:szCs w:val="24"/>
        </w:rPr>
        <w:t xml:space="preserve">, </w:t>
      </w:r>
      <w:r w:rsidR="00471D20" w:rsidRPr="00BA666D">
        <w:rPr>
          <w:rFonts w:ascii="Arial" w:hAnsi="Arial" w:cs="Arial"/>
          <w:sz w:val="24"/>
          <w:szCs w:val="24"/>
        </w:rPr>
        <w:t>v. 181, n. 9, p. 579-584, 2009</w:t>
      </w:r>
      <w:r w:rsidR="00471D20">
        <w:rPr>
          <w:rFonts w:ascii="Arial" w:hAnsi="Arial" w:cs="Arial"/>
          <w:sz w:val="24"/>
          <w:szCs w:val="24"/>
        </w:rPr>
        <w:t>.</w:t>
      </w:r>
    </w:p>
    <w:sectPr w:rsidR="00471D20" w:rsidRPr="00BA666D" w:rsidSect="00DB0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E18F" w14:textId="77777777" w:rsidR="00CA6F3A" w:rsidRDefault="00CA6F3A" w:rsidP="003C78B5">
      <w:pPr>
        <w:spacing w:after="0" w:line="240" w:lineRule="auto"/>
      </w:pPr>
      <w:r>
        <w:separator/>
      </w:r>
    </w:p>
  </w:endnote>
  <w:endnote w:type="continuationSeparator" w:id="0">
    <w:p w14:paraId="72AB055D" w14:textId="77777777" w:rsidR="00CA6F3A" w:rsidRDefault="00CA6F3A" w:rsidP="003C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7FB9" w14:textId="77777777" w:rsidR="00F361A8" w:rsidRDefault="00F361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C696438B58E47FAAFB6E3D343FB827C"/>
      </w:placeholder>
      <w:temporary/>
      <w:showingPlcHdr/>
    </w:sdtPr>
    <w:sdtEndPr/>
    <w:sdtContent>
      <w:p w14:paraId="57A61EE9" w14:textId="77777777" w:rsidR="00E26EB5" w:rsidRDefault="00E26EB5">
        <w:pPr>
          <w:pStyle w:val="Rodap"/>
        </w:pPr>
        <w:r>
          <w:t>[Digite aqui]</w:t>
        </w:r>
      </w:p>
    </w:sdtContent>
  </w:sdt>
  <w:p w14:paraId="6994337C" w14:textId="4DA2AD26" w:rsidR="003C78B5" w:rsidRPr="00F34B38" w:rsidRDefault="003C78B5" w:rsidP="00F34B38">
    <w:pPr>
      <w:pStyle w:val="Rodap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11E2" w14:textId="256EAE21" w:rsidR="00E26EB5" w:rsidRDefault="00180517" w:rsidP="00E26EB5">
    <w:pPr>
      <w:pStyle w:val="Rodap"/>
      <w:jc w:val="both"/>
      <w:rPr>
        <w:sz w:val="20"/>
        <w:szCs w:val="20"/>
      </w:rPr>
    </w:pPr>
    <w:r>
      <w:rPr>
        <w:sz w:val="20"/>
        <w:szCs w:val="20"/>
        <w:vertAlign w:val="superscript"/>
      </w:rPr>
      <w:t xml:space="preserve"> </w:t>
    </w:r>
    <w:r w:rsidR="00E26EB5">
      <w:rPr>
        <w:sz w:val="20"/>
        <w:szCs w:val="20"/>
        <w:vertAlign w:val="superscript"/>
      </w:rPr>
      <w:t xml:space="preserve">1 </w:t>
    </w:r>
    <w:r w:rsidR="00E26EB5" w:rsidRPr="003C78B5">
      <w:rPr>
        <w:sz w:val="20"/>
        <w:szCs w:val="20"/>
      </w:rPr>
      <w:t xml:space="preserve">Professor da Escola de Enfermagem de Manaus da Universidade Federal do Amazonas – EEM/UFAM. Mestre em Enfermagem. Doutorando em Enfermagem em Saúde do Adulto – PROESA da Escola de Enfermagem da Universidade de São Paulo – USP. </w:t>
    </w:r>
    <w:hyperlink r:id="rId1" w:history="1">
      <w:r w:rsidR="00E26EB5" w:rsidRPr="00F361A8">
        <w:rPr>
          <w:rStyle w:val="Hyperlink"/>
          <w:color w:val="auto"/>
          <w:sz w:val="20"/>
          <w:szCs w:val="20"/>
          <w:u w:val="none"/>
        </w:rPr>
        <w:t>doutorandoalexandre@usp.br</w:t>
      </w:r>
    </w:hyperlink>
    <w:r w:rsidR="00E26EB5" w:rsidRPr="00F361A8">
      <w:rPr>
        <w:sz w:val="20"/>
        <w:szCs w:val="20"/>
      </w:rPr>
      <w:t>.</w:t>
    </w:r>
  </w:p>
  <w:p w14:paraId="349A0755" w14:textId="77777777" w:rsidR="00E26EB5" w:rsidRDefault="00E26EB5" w:rsidP="00E26EB5">
    <w:pPr>
      <w:pStyle w:val="Rodap"/>
      <w:jc w:val="both"/>
      <w:rPr>
        <w:sz w:val="20"/>
        <w:szCs w:val="20"/>
      </w:rPr>
    </w:pPr>
    <w:r>
      <w:rPr>
        <w:sz w:val="20"/>
        <w:szCs w:val="20"/>
        <w:vertAlign w:val="superscript"/>
      </w:rPr>
      <w:t xml:space="preserve">2 </w:t>
    </w:r>
    <w:r>
      <w:rPr>
        <w:sz w:val="20"/>
        <w:szCs w:val="20"/>
      </w:rPr>
      <w:t>Enfermeira Especialista em Terapia Intensiva. Mestranda da Escola de Enfermagem da Universidade Federal do Amazonas – EEM/UFAM.</w:t>
    </w:r>
    <w:r w:rsidRPr="00F361A8">
      <w:rPr>
        <w:sz w:val="20"/>
        <w:szCs w:val="20"/>
      </w:rPr>
      <w:t xml:space="preserve"> </w:t>
    </w:r>
    <w:hyperlink r:id="rId2" w:history="1">
      <w:r w:rsidRPr="00F361A8">
        <w:rPr>
          <w:rStyle w:val="Hyperlink"/>
          <w:color w:val="auto"/>
          <w:sz w:val="20"/>
          <w:szCs w:val="20"/>
          <w:u w:val="none"/>
        </w:rPr>
        <w:t>tati_borgesma@hotmail.com</w:t>
      </w:r>
    </w:hyperlink>
  </w:p>
  <w:p w14:paraId="141827DD" w14:textId="3DDB5399" w:rsidR="00E26EB5" w:rsidRDefault="00E26EB5" w:rsidP="00E26EB5">
    <w:pPr>
      <w:pStyle w:val="Rodap"/>
      <w:jc w:val="both"/>
      <w:rPr>
        <w:sz w:val="20"/>
        <w:szCs w:val="20"/>
      </w:rPr>
    </w:pPr>
    <w:r>
      <w:rPr>
        <w:sz w:val="20"/>
        <w:szCs w:val="20"/>
        <w:vertAlign w:val="superscript"/>
      </w:rPr>
      <w:t xml:space="preserve">3 </w:t>
    </w:r>
    <w:r>
      <w:rPr>
        <w:sz w:val="20"/>
        <w:szCs w:val="20"/>
      </w:rPr>
      <w:t>Enfermeiro Especialista em Urgência e Emergência</w:t>
    </w:r>
    <w:r w:rsidR="00180517">
      <w:rPr>
        <w:sz w:val="20"/>
        <w:szCs w:val="20"/>
      </w:rPr>
      <w:t xml:space="preserve"> e Enfermagem Aeroespacial pela ABRAERO</w:t>
    </w:r>
    <w:r>
      <w:rPr>
        <w:sz w:val="20"/>
        <w:szCs w:val="20"/>
      </w:rPr>
      <w:t>. Enfer</w:t>
    </w:r>
    <w:r w:rsidR="00DA52E5">
      <w:rPr>
        <w:sz w:val="20"/>
        <w:szCs w:val="20"/>
      </w:rPr>
      <w:t xml:space="preserve">meiro de voo da empresa Manaus </w:t>
    </w:r>
    <w:proofErr w:type="spellStart"/>
    <w:r w:rsidR="00DA52E5">
      <w:rPr>
        <w:sz w:val="20"/>
        <w:szCs w:val="20"/>
      </w:rPr>
      <w:t>A</w:t>
    </w:r>
    <w:r>
      <w:rPr>
        <w:sz w:val="20"/>
        <w:szCs w:val="20"/>
      </w:rPr>
      <w:t>erotaxi</w:t>
    </w:r>
    <w:proofErr w:type="spellEnd"/>
    <w:r>
      <w:rPr>
        <w:sz w:val="20"/>
        <w:szCs w:val="20"/>
      </w:rPr>
      <w:t xml:space="preserve">. </w:t>
    </w:r>
    <w:r w:rsidR="00F361A8" w:rsidRPr="00F361A8">
      <w:rPr>
        <w:sz w:val="20"/>
        <w:szCs w:val="20"/>
      </w:rPr>
      <w:t>silvio.moreira</w:t>
    </w:r>
    <w:bookmarkStart w:id="1" w:name="_GoBack"/>
    <w:bookmarkEnd w:id="1"/>
    <w:r w:rsidR="00F361A8" w:rsidRPr="00F361A8">
      <w:rPr>
        <w:sz w:val="20"/>
        <w:szCs w:val="20"/>
      </w:rPr>
      <w:t>@manausaerotaxi.com.br</w:t>
    </w:r>
  </w:p>
  <w:p w14:paraId="7DBE16E8" w14:textId="2B306090" w:rsidR="00E26EB5" w:rsidRPr="00F34B38" w:rsidRDefault="00E26EB5" w:rsidP="00E26EB5">
    <w:pPr>
      <w:pStyle w:val="Rodap"/>
      <w:jc w:val="both"/>
      <w:rPr>
        <w:sz w:val="20"/>
        <w:szCs w:val="20"/>
      </w:rPr>
    </w:pPr>
    <w:r>
      <w:rPr>
        <w:sz w:val="20"/>
        <w:szCs w:val="20"/>
        <w:vertAlign w:val="superscript"/>
      </w:rPr>
      <w:t xml:space="preserve">4 </w:t>
    </w:r>
    <w:r>
      <w:rPr>
        <w:sz w:val="20"/>
        <w:szCs w:val="20"/>
      </w:rPr>
      <w:t>Professora Livre Docente da Escola de Enfermagem da Universidade de São Paulo – EEUSP. Mestre e Doutora em Ciências da Saúde pela EEUSP.</w:t>
    </w:r>
    <w:r w:rsidR="001A3688">
      <w:rPr>
        <w:sz w:val="20"/>
        <w:szCs w:val="20"/>
      </w:rPr>
      <w:t xml:space="preserve"> </w:t>
    </w:r>
    <w:r>
      <w:rPr>
        <w:sz w:val="20"/>
        <w:szCs w:val="20"/>
      </w:rPr>
      <w:t xml:space="preserve"> lilianogueira@usp.br.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B3EC" w14:textId="77777777" w:rsidR="00CA6F3A" w:rsidRDefault="00CA6F3A" w:rsidP="003C78B5">
      <w:pPr>
        <w:spacing w:after="0" w:line="240" w:lineRule="auto"/>
      </w:pPr>
      <w:r>
        <w:separator/>
      </w:r>
    </w:p>
  </w:footnote>
  <w:footnote w:type="continuationSeparator" w:id="0">
    <w:p w14:paraId="348451A0" w14:textId="77777777" w:rsidR="00CA6F3A" w:rsidRDefault="00CA6F3A" w:rsidP="003C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7A9B" w14:textId="77777777" w:rsidR="00F361A8" w:rsidRDefault="00F361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26D2" w14:textId="4CB7CB0D" w:rsidR="003F7469" w:rsidRDefault="003F7469" w:rsidP="003F7469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052108" wp14:editId="49986A7C">
          <wp:simplePos x="0" y="0"/>
          <wp:positionH relativeFrom="column">
            <wp:posOffset>2799550</wp:posOffset>
          </wp:positionH>
          <wp:positionV relativeFrom="paragraph">
            <wp:posOffset>-346710</wp:posOffset>
          </wp:positionV>
          <wp:extent cx="2626360" cy="798612"/>
          <wp:effectExtent l="0" t="0" r="254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to-162107-icone-512x51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3594" b="61133" l="586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92" b="35082"/>
                  <a:stretch/>
                </pic:blipFill>
                <pic:spPr bwMode="auto">
                  <a:xfrm>
                    <a:off x="0" y="0"/>
                    <a:ext cx="2626360" cy="798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A2BF" w14:textId="18E3F028" w:rsidR="00E26EB5" w:rsidRDefault="00E26EB5" w:rsidP="00E26EB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77B712" wp14:editId="4994540B">
          <wp:simplePos x="0" y="0"/>
          <wp:positionH relativeFrom="column">
            <wp:posOffset>2847285</wp:posOffset>
          </wp:positionH>
          <wp:positionV relativeFrom="paragraph">
            <wp:posOffset>-346710</wp:posOffset>
          </wp:positionV>
          <wp:extent cx="2626360" cy="798612"/>
          <wp:effectExtent l="0" t="0" r="254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to-162107-icone-512x51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3594" b="61133" l="586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92" b="35082"/>
                  <a:stretch/>
                </pic:blipFill>
                <pic:spPr bwMode="auto">
                  <a:xfrm>
                    <a:off x="0" y="0"/>
                    <a:ext cx="2626360" cy="798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0F"/>
    <w:rsid w:val="000144E7"/>
    <w:rsid w:val="000255DA"/>
    <w:rsid w:val="000423D6"/>
    <w:rsid w:val="00043966"/>
    <w:rsid w:val="00056A21"/>
    <w:rsid w:val="0006508C"/>
    <w:rsid w:val="00095C09"/>
    <w:rsid w:val="000A3DC5"/>
    <w:rsid w:val="000B33BA"/>
    <w:rsid w:val="000B7F7F"/>
    <w:rsid w:val="000D2625"/>
    <w:rsid w:val="000D5738"/>
    <w:rsid w:val="000E0CAD"/>
    <w:rsid w:val="000F16A0"/>
    <w:rsid w:val="00104B1F"/>
    <w:rsid w:val="00110662"/>
    <w:rsid w:val="00130D57"/>
    <w:rsid w:val="00140A67"/>
    <w:rsid w:val="001450B9"/>
    <w:rsid w:val="00152FAC"/>
    <w:rsid w:val="00157E33"/>
    <w:rsid w:val="00165B06"/>
    <w:rsid w:val="00180517"/>
    <w:rsid w:val="0018463F"/>
    <w:rsid w:val="001A3688"/>
    <w:rsid w:val="001A724B"/>
    <w:rsid w:val="001B76CC"/>
    <w:rsid w:val="001B7A7B"/>
    <w:rsid w:val="002241D1"/>
    <w:rsid w:val="002352BF"/>
    <w:rsid w:val="00252F43"/>
    <w:rsid w:val="002D4858"/>
    <w:rsid w:val="0033199C"/>
    <w:rsid w:val="00336F6A"/>
    <w:rsid w:val="00351506"/>
    <w:rsid w:val="00361A97"/>
    <w:rsid w:val="00365D02"/>
    <w:rsid w:val="0037539E"/>
    <w:rsid w:val="00391AEE"/>
    <w:rsid w:val="00392799"/>
    <w:rsid w:val="003A0DB8"/>
    <w:rsid w:val="003B0811"/>
    <w:rsid w:val="003B4EF4"/>
    <w:rsid w:val="003B64A0"/>
    <w:rsid w:val="003B7A9B"/>
    <w:rsid w:val="003C78B5"/>
    <w:rsid w:val="003E761B"/>
    <w:rsid w:val="003E7896"/>
    <w:rsid w:val="003F6ED0"/>
    <w:rsid w:val="003F7469"/>
    <w:rsid w:val="00407198"/>
    <w:rsid w:val="00411E8A"/>
    <w:rsid w:val="00435E59"/>
    <w:rsid w:val="00454FC1"/>
    <w:rsid w:val="00457180"/>
    <w:rsid w:val="00465CA5"/>
    <w:rsid w:val="0046701A"/>
    <w:rsid w:val="00471D20"/>
    <w:rsid w:val="00475584"/>
    <w:rsid w:val="0047684B"/>
    <w:rsid w:val="004C6222"/>
    <w:rsid w:val="004F718F"/>
    <w:rsid w:val="00524A37"/>
    <w:rsid w:val="0056639B"/>
    <w:rsid w:val="00573A4E"/>
    <w:rsid w:val="005824B6"/>
    <w:rsid w:val="00594428"/>
    <w:rsid w:val="005A3846"/>
    <w:rsid w:val="005B0980"/>
    <w:rsid w:val="005D6D82"/>
    <w:rsid w:val="005F5192"/>
    <w:rsid w:val="005F5282"/>
    <w:rsid w:val="006053C6"/>
    <w:rsid w:val="00607764"/>
    <w:rsid w:val="00610698"/>
    <w:rsid w:val="00632D44"/>
    <w:rsid w:val="00650C9A"/>
    <w:rsid w:val="006709DD"/>
    <w:rsid w:val="006809B0"/>
    <w:rsid w:val="00684283"/>
    <w:rsid w:val="0068430B"/>
    <w:rsid w:val="00685C1F"/>
    <w:rsid w:val="006864C4"/>
    <w:rsid w:val="006956E0"/>
    <w:rsid w:val="006A360F"/>
    <w:rsid w:val="006B3C14"/>
    <w:rsid w:val="006F6620"/>
    <w:rsid w:val="00703638"/>
    <w:rsid w:val="007078C2"/>
    <w:rsid w:val="00741873"/>
    <w:rsid w:val="00755B27"/>
    <w:rsid w:val="00790104"/>
    <w:rsid w:val="00791EE5"/>
    <w:rsid w:val="00792B69"/>
    <w:rsid w:val="00792C68"/>
    <w:rsid w:val="007A79EE"/>
    <w:rsid w:val="007C07E1"/>
    <w:rsid w:val="007C479F"/>
    <w:rsid w:val="007C4A4C"/>
    <w:rsid w:val="007C6A98"/>
    <w:rsid w:val="007F2CD5"/>
    <w:rsid w:val="0080659F"/>
    <w:rsid w:val="0081321D"/>
    <w:rsid w:val="00847FBF"/>
    <w:rsid w:val="00864F05"/>
    <w:rsid w:val="0086534B"/>
    <w:rsid w:val="00870DF6"/>
    <w:rsid w:val="008750C8"/>
    <w:rsid w:val="00882E60"/>
    <w:rsid w:val="00887184"/>
    <w:rsid w:val="008916B3"/>
    <w:rsid w:val="008B6311"/>
    <w:rsid w:val="008B6768"/>
    <w:rsid w:val="008D42AA"/>
    <w:rsid w:val="008E663E"/>
    <w:rsid w:val="009146B0"/>
    <w:rsid w:val="00914BBB"/>
    <w:rsid w:val="009429A6"/>
    <w:rsid w:val="009448B9"/>
    <w:rsid w:val="00947091"/>
    <w:rsid w:val="00954585"/>
    <w:rsid w:val="009564C8"/>
    <w:rsid w:val="0095780C"/>
    <w:rsid w:val="009669B7"/>
    <w:rsid w:val="009704C3"/>
    <w:rsid w:val="00971702"/>
    <w:rsid w:val="00981661"/>
    <w:rsid w:val="00985A9D"/>
    <w:rsid w:val="00995768"/>
    <w:rsid w:val="00996A2A"/>
    <w:rsid w:val="009A003A"/>
    <w:rsid w:val="009A4755"/>
    <w:rsid w:val="009B0952"/>
    <w:rsid w:val="009C5972"/>
    <w:rsid w:val="009E229D"/>
    <w:rsid w:val="009E60FB"/>
    <w:rsid w:val="009E7297"/>
    <w:rsid w:val="009F595D"/>
    <w:rsid w:val="00A046F1"/>
    <w:rsid w:val="00A06FC0"/>
    <w:rsid w:val="00A17E1C"/>
    <w:rsid w:val="00A30FF6"/>
    <w:rsid w:val="00A356FD"/>
    <w:rsid w:val="00A446A7"/>
    <w:rsid w:val="00A67471"/>
    <w:rsid w:val="00A755AF"/>
    <w:rsid w:val="00A82CC3"/>
    <w:rsid w:val="00A97B30"/>
    <w:rsid w:val="00AB4BA1"/>
    <w:rsid w:val="00AC06C5"/>
    <w:rsid w:val="00AD3E1F"/>
    <w:rsid w:val="00AE5B1E"/>
    <w:rsid w:val="00AF3CB6"/>
    <w:rsid w:val="00B1162E"/>
    <w:rsid w:val="00B346ED"/>
    <w:rsid w:val="00B36CBA"/>
    <w:rsid w:val="00B57510"/>
    <w:rsid w:val="00B73504"/>
    <w:rsid w:val="00B735A5"/>
    <w:rsid w:val="00B85B96"/>
    <w:rsid w:val="00B85BCE"/>
    <w:rsid w:val="00B93E7E"/>
    <w:rsid w:val="00BA18C0"/>
    <w:rsid w:val="00BA1903"/>
    <w:rsid w:val="00BA1BA5"/>
    <w:rsid w:val="00BA666D"/>
    <w:rsid w:val="00BB7D2C"/>
    <w:rsid w:val="00C35727"/>
    <w:rsid w:val="00C45AE7"/>
    <w:rsid w:val="00C53B78"/>
    <w:rsid w:val="00C75B08"/>
    <w:rsid w:val="00C957B2"/>
    <w:rsid w:val="00CA6F3A"/>
    <w:rsid w:val="00CB44DE"/>
    <w:rsid w:val="00CC678A"/>
    <w:rsid w:val="00CD66BC"/>
    <w:rsid w:val="00CE28AE"/>
    <w:rsid w:val="00CF4518"/>
    <w:rsid w:val="00D06E14"/>
    <w:rsid w:val="00D2485A"/>
    <w:rsid w:val="00D24A3B"/>
    <w:rsid w:val="00D268B5"/>
    <w:rsid w:val="00D7377F"/>
    <w:rsid w:val="00D80FE4"/>
    <w:rsid w:val="00D94C4B"/>
    <w:rsid w:val="00DA52E5"/>
    <w:rsid w:val="00DB0A26"/>
    <w:rsid w:val="00DC6C8D"/>
    <w:rsid w:val="00DD0AC6"/>
    <w:rsid w:val="00DD4668"/>
    <w:rsid w:val="00DE649E"/>
    <w:rsid w:val="00DF7797"/>
    <w:rsid w:val="00E011B5"/>
    <w:rsid w:val="00E02B6A"/>
    <w:rsid w:val="00E263FF"/>
    <w:rsid w:val="00E26EB5"/>
    <w:rsid w:val="00E52FDE"/>
    <w:rsid w:val="00E5545B"/>
    <w:rsid w:val="00E61F38"/>
    <w:rsid w:val="00E63090"/>
    <w:rsid w:val="00E67ECB"/>
    <w:rsid w:val="00E709B4"/>
    <w:rsid w:val="00E77AE8"/>
    <w:rsid w:val="00E91A48"/>
    <w:rsid w:val="00E967C9"/>
    <w:rsid w:val="00EA0AA8"/>
    <w:rsid w:val="00EB1206"/>
    <w:rsid w:val="00ED6C50"/>
    <w:rsid w:val="00ED6DD5"/>
    <w:rsid w:val="00EF2550"/>
    <w:rsid w:val="00F11790"/>
    <w:rsid w:val="00F26D2B"/>
    <w:rsid w:val="00F34B38"/>
    <w:rsid w:val="00F356A2"/>
    <w:rsid w:val="00F361A8"/>
    <w:rsid w:val="00F47BA7"/>
    <w:rsid w:val="00FE1EC4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46A5D"/>
  <w15:docId w15:val="{4A0DB5A7-4FB8-4D31-9EE5-CDBE10E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279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27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0C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C7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8B5"/>
  </w:style>
  <w:style w:type="paragraph" w:styleId="Rodap">
    <w:name w:val="footer"/>
    <w:basedOn w:val="Normal"/>
    <w:link w:val="RodapChar"/>
    <w:uiPriority w:val="99"/>
    <w:unhideWhenUsed/>
    <w:rsid w:val="003C7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ati_borgesma@hotmail.com" TargetMode="External"/><Relationship Id="rId1" Type="http://schemas.openxmlformats.org/officeDocument/2006/relationships/hyperlink" Target="mailto:doutorandoalexandre@us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Planilha1!$E$4</c:f>
              <c:strCache>
                <c:ptCount val="1"/>
                <c:pt idx="0">
                  <c:v>DISTÂNCIA EM QUILÔMETROS DE MANAUS</c:v>
                </c:pt>
              </c:strCache>
            </c:strRef>
          </c:tx>
          <c:spPr>
            <a:gradFill>
              <a:gsLst>
                <a:gs pos="100000">
                  <a:srgbClr val="0070C0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3"/>
              <c:layout>
                <c:manualLayout>
                  <c:x val="-9.3096973708512328E-17"/>
                  <c:y val="0.180219992992679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2E-4E03-9FE6-5CA3C5F39E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Planilha1!$D$5:$D$8</c:f>
              <c:strCache>
                <c:ptCount val="4"/>
                <c:pt idx="0">
                  <c:v>TABATINGA</c:v>
                </c:pt>
                <c:pt idx="1">
                  <c:v>MARAÃ</c:v>
                </c:pt>
                <c:pt idx="2">
                  <c:v>TAPAUÁ</c:v>
                </c:pt>
                <c:pt idx="3">
                  <c:v>COARI</c:v>
                </c:pt>
              </c:strCache>
            </c:strRef>
          </c:cat>
          <c:val>
            <c:numRef>
              <c:f>Planilha1!$E$5:$E$8</c:f>
              <c:numCache>
                <c:formatCode>General</c:formatCode>
                <c:ptCount val="4"/>
                <c:pt idx="0" formatCode="#,##0">
                  <c:v>1109</c:v>
                </c:pt>
                <c:pt idx="1">
                  <c:v>610</c:v>
                </c:pt>
                <c:pt idx="2">
                  <c:v>449</c:v>
                </c:pt>
                <c:pt idx="3">
                  <c:v>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1-452C-8A45-8864E85328C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53296896"/>
        <c:axId val="172790144"/>
      </c:barChart>
      <c:catAx>
        <c:axId val="15329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790144"/>
        <c:crosses val="autoZero"/>
        <c:auto val="1"/>
        <c:lblAlgn val="ctr"/>
        <c:lblOffset val="100"/>
        <c:noMultiLvlLbl val="0"/>
      </c:catAx>
      <c:valAx>
        <c:axId val="17279014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5329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96438B58E47FAAFB6E3D343FB8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D57A5-2924-4D52-98BE-6E418077E2DF}"/>
      </w:docPartPr>
      <w:docPartBody>
        <w:p w:rsidR="0054263C" w:rsidRDefault="00653430" w:rsidP="00653430">
          <w:pPr>
            <w:pStyle w:val="EC696438B58E47FAAFB6E3D343FB827C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30"/>
    <w:rsid w:val="000A2CB3"/>
    <w:rsid w:val="003360AF"/>
    <w:rsid w:val="0054263C"/>
    <w:rsid w:val="00653430"/>
    <w:rsid w:val="0092116E"/>
    <w:rsid w:val="00A42DC2"/>
    <w:rsid w:val="00B62592"/>
    <w:rsid w:val="00E04E18"/>
    <w:rsid w:val="00F0582F"/>
    <w:rsid w:val="00F97533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2E3CDCE4AFC45669ADB95AD39AEBF78">
    <w:name w:val="72E3CDCE4AFC45669ADB95AD39AEBF78"/>
    <w:rsid w:val="00653430"/>
  </w:style>
  <w:style w:type="paragraph" w:customStyle="1" w:styleId="EC696438B58E47FAAFB6E3D343FB827C">
    <w:name w:val="EC696438B58E47FAAFB6E3D343FB827C"/>
    <w:rsid w:val="00653430"/>
  </w:style>
  <w:style w:type="paragraph" w:customStyle="1" w:styleId="768DBFA7E74A431AB0472AC8C21D6C9C">
    <w:name w:val="768DBFA7E74A431AB0472AC8C21D6C9C"/>
    <w:rsid w:val="00336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de Souza Vieira</dc:creator>
  <cp:lastModifiedBy>Usuário do Windows</cp:lastModifiedBy>
  <cp:revision>2</cp:revision>
  <cp:lastPrinted>2022-09-11T21:50:00Z</cp:lastPrinted>
  <dcterms:created xsi:type="dcterms:W3CDTF">2022-09-11T21:51:00Z</dcterms:created>
  <dcterms:modified xsi:type="dcterms:W3CDTF">2022-09-11T21:51:00Z</dcterms:modified>
</cp:coreProperties>
</file>