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1950B" w14:textId="75A2556D" w:rsidR="009B4393" w:rsidRPr="00504C19" w:rsidRDefault="009B4393" w:rsidP="0028034C">
      <w:pPr>
        <w:tabs>
          <w:tab w:val="left" w:pos="5871"/>
        </w:tabs>
        <w:ind w:firstLine="0"/>
        <w:jc w:val="left"/>
      </w:pPr>
    </w:p>
    <w:p w14:paraId="7782595F" w14:textId="77777777" w:rsidR="0028034C" w:rsidRPr="00504C19" w:rsidRDefault="0028034C" w:rsidP="0028034C">
      <w:pPr>
        <w:tabs>
          <w:tab w:val="left" w:pos="5871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0C338CB5" w14:textId="1EBDA864" w:rsidR="00CF427F" w:rsidRPr="00504C19" w:rsidRDefault="00026BCD" w:rsidP="0028034C">
      <w:pPr>
        <w:pStyle w:val="Title"/>
      </w:pPr>
      <w:r w:rsidRPr="00504C19">
        <w:t>RESUMO EXPANDIDO</w:t>
      </w:r>
    </w:p>
    <w:p w14:paraId="40182AD9" w14:textId="77777777" w:rsidR="0491D5EE" w:rsidRPr="00504C19" w:rsidRDefault="0491D5EE" w:rsidP="297915AF">
      <w:pPr>
        <w:pStyle w:val="Texto"/>
      </w:pPr>
    </w:p>
    <w:p w14:paraId="6990960F" w14:textId="12F2FE26" w:rsidR="0491D5EE" w:rsidRPr="00504C19" w:rsidRDefault="2BF74FE8" w:rsidP="00876F92">
      <w:pPr>
        <w:ind w:firstLine="0"/>
        <w:rPr>
          <w:rFonts w:ascii="Arial" w:hAnsi="Arial" w:cs="Arial"/>
          <w:sz w:val="24"/>
          <w:szCs w:val="24"/>
        </w:rPr>
      </w:pPr>
      <w:r w:rsidRPr="00504C19">
        <w:rPr>
          <w:rFonts w:ascii="Arial" w:hAnsi="Arial" w:cs="Arial"/>
          <w:sz w:val="24"/>
          <w:szCs w:val="24"/>
        </w:rPr>
        <w:t xml:space="preserve">Grupo de Trabalho (GT): </w:t>
      </w:r>
      <w:r w:rsidR="00CA32DA" w:rsidRPr="00504C19">
        <w:rPr>
          <w:rFonts w:ascii="Arial" w:hAnsi="Arial" w:cs="Arial"/>
          <w:sz w:val="24"/>
          <w:szCs w:val="24"/>
        </w:rPr>
        <w:t xml:space="preserve">GT1 - </w:t>
      </w:r>
      <w:r w:rsidR="00876F92" w:rsidRPr="00504C19">
        <w:rPr>
          <w:rFonts w:ascii="Helvetica" w:hAnsi="Helvetica" w:cs="Helvetica"/>
          <w:kern w:val="0"/>
          <w:sz w:val="24"/>
          <w:szCs w:val="24"/>
        </w:rPr>
        <w:t>Convivência escolar e enfrentamento à violência: práticas que desenvolvemos para a melhoria da qualidade da escolarização</w:t>
      </w:r>
    </w:p>
    <w:p w14:paraId="77D0EFC2" w14:textId="77777777" w:rsidR="00876F92" w:rsidRPr="00504C19" w:rsidRDefault="00876F92" w:rsidP="001F6136">
      <w:pPr>
        <w:ind w:firstLine="0"/>
        <w:rPr>
          <w:rFonts w:ascii="Arial" w:hAnsi="Arial" w:cs="Arial"/>
          <w:sz w:val="24"/>
          <w:szCs w:val="24"/>
        </w:rPr>
      </w:pPr>
    </w:p>
    <w:p w14:paraId="7E19E27C" w14:textId="0F0CC43C" w:rsidR="00251815" w:rsidRPr="00504C19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504C19">
        <w:rPr>
          <w:rFonts w:ascii="Arial" w:hAnsi="Arial" w:cs="Arial"/>
          <w:sz w:val="24"/>
          <w:szCs w:val="24"/>
        </w:rPr>
        <w:t>Modalidade d</w:t>
      </w:r>
      <w:r w:rsidR="64F49340" w:rsidRPr="00504C19">
        <w:rPr>
          <w:rFonts w:ascii="Arial" w:hAnsi="Arial" w:cs="Arial"/>
          <w:sz w:val="24"/>
          <w:szCs w:val="24"/>
        </w:rPr>
        <w:t xml:space="preserve">o </w:t>
      </w:r>
      <w:r w:rsidR="52EB1B39" w:rsidRPr="00504C19">
        <w:rPr>
          <w:rFonts w:ascii="Arial" w:hAnsi="Arial" w:cs="Arial"/>
          <w:sz w:val="24"/>
          <w:szCs w:val="24"/>
        </w:rPr>
        <w:t>trabalho</w:t>
      </w:r>
      <w:r w:rsidR="5A2C2FA2" w:rsidRPr="00504C19">
        <w:rPr>
          <w:rFonts w:ascii="Arial" w:hAnsi="Arial" w:cs="Arial"/>
          <w:sz w:val="24"/>
          <w:szCs w:val="24"/>
        </w:rPr>
        <w:t>:</w:t>
      </w:r>
      <w:r w:rsidR="261990A4" w:rsidRPr="00504C19">
        <w:rPr>
          <w:rFonts w:ascii="Arial" w:hAnsi="Arial" w:cs="Arial"/>
          <w:sz w:val="24"/>
          <w:szCs w:val="24"/>
        </w:rPr>
        <w:t xml:space="preserve"> </w:t>
      </w:r>
      <w:r w:rsidR="0003117C" w:rsidRPr="00504C19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504C19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2E1EFB7A" w:rsidR="110062EF" w:rsidRPr="00504C19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504C19">
        <w:rPr>
          <w:rFonts w:ascii="Arial" w:hAnsi="Arial" w:cs="Arial"/>
          <w:sz w:val="24"/>
          <w:szCs w:val="24"/>
        </w:rPr>
        <w:t xml:space="preserve">Formato de apresentação: </w:t>
      </w:r>
      <w:r w:rsidR="0028034C" w:rsidRPr="00504C19">
        <w:rPr>
          <w:rFonts w:ascii="Arial" w:hAnsi="Arial" w:cs="Arial"/>
          <w:sz w:val="24"/>
          <w:szCs w:val="24"/>
        </w:rPr>
        <w:t>online ou presencial</w:t>
      </w:r>
    </w:p>
    <w:p w14:paraId="5191CADF" w14:textId="5F803C52" w:rsidR="0491D5EE" w:rsidRPr="00504C19" w:rsidRDefault="0491D5EE" w:rsidP="00E73320">
      <w:pPr>
        <w:pStyle w:val="Texto"/>
      </w:pPr>
    </w:p>
    <w:p w14:paraId="34366E20" w14:textId="77777777" w:rsidR="00CA32DA" w:rsidRPr="00504C19" w:rsidRDefault="00CA32DA" w:rsidP="00CA32DA">
      <w:pPr>
        <w:pStyle w:val="BodyText"/>
        <w:spacing w:before="0" w:after="0" w:line="360" w:lineRule="auto"/>
        <w:jc w:val="center"/>
        <w:rPr>
          <w:rFonts w:ascii="Arial" w:hAnsi="Arial" w:cs="Arial"/>
          <w:b/>
          <w:bCs/>
          <w:color w:val="000000"/>
          <w:lang w:val="pt-BR"/>
        </w:rPr>
      </w:pPr>
      <w:r w:rsidRPr="00504C19">
        <w:rPr>
          <w:rFonts w:ascii="Arial" w:hAnsi="Arial" w:cs="Arial"/>
          <w:b/>
          <w:bCs/>
          <w:color w:val="000000"/>
          <w:lang w:val="pt-BR"/>
        </w:rPr>
        <w:t>COMO ESTUDANTES, EDUCADORES E GESTORES IMPACTAM A ESCOLA?</w:t>
      </w:r>
    </w:p>
    <w:p w14:paraId="272B7E3E" w14:textId="77777777" w:rsidR="00CA32DA" w:rsidRPr="00504C19" w:rsidRDefault="00CA32DA" w:rsidP="00CA32DA">
      <w:pPr>
        <w:pStyle w:val="Autoria"/>
        <w:spacing w:line="360" w:lineRule="auto"/>
        <w:jc w:val="center"/>
        <w:rPr>
          <w:b/>
          <w:bCs/>
          <w:sz w:val="24"/>
        </w:rPr>
      </w:pPr>
      <w:r w:rsidRPr="00504C19">
        <w:rPr>
          <w:b/>
          <w:bCs/>
          <w:color w:val="000000"/>
          <w:sz w:val="24"/>
        </w:rPr>
        <w:t>UMA ANÁLISE EXPLORATÓRIA COM O GC INDEX® NO REINO UNIDO</w:t>
      </w:r>
    </w:p>
    <w:p w14:paraId="5A1B1E66" w14:textId="6C5C168C" w:rsidR="78AE189E" w:rsidRPr="00504C19" w:rsidRDefault="78AE189E" w:rsidP="00E73320">
      <w:pPr>
        <w:pStyle w:val="Texto"/>
      </w:pPr>
    </w:p>
    <w:p w14:paraId="7DC4BC66" w14:textId="5722C7D8" w:rsidR="00A161E5" w:rsidRPr="00504C19" w:rsidRDefault="00CA32DA" w:rsidP="004C446D">
      <w:pPr>
        <w:pStyle w:val="Autoria"/>
        <w:rPr>
          <w:sz w:val="24"/>
        </w:rPr>
      </w:pPr>
      <w:r w:rsidRPr="00504C19">
        <w:rPr>
          <w:sz w:val="24"/>
        </w:rPr>
        <w:t>Letícia Dolenga</w:t>
      </w:r>
      <w:r w:rsidRPr="00504C19">
        <w:rPr>
          <w:rStyle w:val="FootnoteReference"/>
          <w:sz w:val="24"/>
        </w:rPr>
        <w:footnoteReference w:id="1"/>
      </w:r>
      <w:r w:rsidRPr="00504C19">
        <w:rPr>
          <w:sz w:val="24"/>
        </w:rPr>
        <w:t xml:space="preserve"> e Dr. John Mervyn-Smith</w:t>
      </w:r>
      <w:r w:rsidRPr="00504C19">
        <w:rPr>
          <w:rStyle w:val="FootnoteReference"/>
          <w:sz w:val="24"/>
        </w:rPr>
        <w:footnoteReference w:id="2"/>
      </w:r>
    </w:p>
    <w:p w14:paraId="4F47D999" w14:textId="323E0AE3" w:rsidR="00DF040B" w:rsidRPr="00504C19" w:rsidRDefault="00250E5E" w:rsidP="00250E5E">
      <w:pPr>
        <w:pStyle w:val="Texto"/>
        <w:tabs>
          <w:tab w:val="clear" w:pos="4819"/>
          <w:tab w:val="left" w:pos="5760"/>
        </w:tabs>
      </w:pPr>
      <w:r w:rsidRPr="00504C19">
        <w:tab/>
      </w:r>
    </w:p>
    <w:p w14:paraId="7783C2E5" w14:textId="3D16840D" w:rsidR="00BB3206" w:rsidRPr="00504C19" w:rsidRDefault="00BD0F6C" w:rsidP="00442C14">
      <w:pPr>
        <w:pStyle w:val="Resumo"/>
        <w:rPr>
          <w:b/>
          <w:bCs/>
        </w:rPr>
      </w:pPr>
      <w:r w:rsidRPr="00504C19">
        <w:rPr>
          <w:b/>
          <w:bCs/>
        </w:rPr>
        <w:t xml:space="preserve">PALAVRAS-CHAVE: </w:t>
      </w:r>
      <w:r w:rsidR="00876F92" w:rsidRPr="00504C19">
        <w:rPr>
          <w:color w:val="000000" w:themeColor="text1"/>
        </w:rPr>
        <w:t>Convivência escolar; Clima educativo; Diversidade de impacto; Engajamento; Perfil de contribuição.</w:t>
      </w:r>
    </w:p>
    <w:p w14:paraId="7237142C" w14:textId="77777777" w:rsidR="00597F8A" w:rsidRPr="00504C19" w:rsidRDefault="00597F8A" w:rsidP="009A33DE">
      <w:pPr>
        <w:pStyle w:val="Texto"/>
      </w:pPr>
    </w:p>
    <w:p w14:paraId="3982CFE3" w14:textId="65C980E7" w:rsidR="00707214" w:rsidRPr="00504C19" w:rsidRDefault="0060173B" w:rsidP="004C446D">
      <w:pPr>
        <w:pStyle w:val="Heading1"/>
      </w:pPr>
      <w:r w:rsidRPr="00504C19">
        <w:t xml:space="preserve">1 </w:t>
      </w:r>
      <w:r w:rsidR="00707214" w:rsidRPr="00504C19">
        <w:t>INTRODUÇÃO</w:t>
      </w:r>
    </w:p>
    <w:p w14:paraId="04B603BE" w14:textId="77777777" w:rsidR="00876F92" w:rsidRPr="00504C19" w:rsidRDefault="00876F92" w:rsidP="00876F92"/>
    <w:p w14:paraId="49AEEC1D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Diante de rápidas transformações sociais, culturais e tecnológicas, os desafios educacionais exigem novas formas de compreender as dinâmicas relacionais nas escolas. As interações no ambiente escolar produzem sentidos de pertencimento e engajamento, e o reconhecimento, ou ausência dele, de diferentes formas de contribuição impacta diretamente trajetórias mais justas e inclusivas.</w:t>
      </w:r>
    </w:p>
    <w:p w14:paraId="56A4F2A5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Pensar a convivência como qualidade das relações, e não como mera ausência de conflitos, implica revisar as estruturas pedagógicas e culturais que moldam o que é considerado participação legítima. Apesar de avanços em políticas públicas, o modelo tradicional de ensino ainda prevalece em muitas instituições, favorecendo certos perfis de estudantes e limitando as possibilidades de expressão de outros.</w:t>
      </w:r>
    </w:p>
    <w:p w14:paraId="10FD832E" w14:textId="67087ECE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É neste contexto que se insere esta proposta investigativa ao explorar dados gerados por meio da aplicação do The GC Index®</w:t>
      </w:r>
      <w:r w:rsidRPr="00504C19">
        <w:rPr>
          <w:rStyle w:val="apple-converted-space"/>
          <w:rFonts w:ascii="Arial" w:eastAsiaTheme="majorEastAsia" w:hAnsi="Arial" w:cs="Arial"/>
          <w:i/>
          <w:iCs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 xml:space="preserve">e do Young People Index® em uma escola </w:t>
      </w:r>
      <w:r w:rsidR="00D5661D" w:rsidRPr="00504C19">
        <w:rPr>
          <w:rFonts w:ascii="Arial" w:hAnsi="Arial" w:cs="Arial"/>
          <w:color w:val="000000"/>
          <w:lang w:val="pt-BR"/>
        </w:rPr>
        <w:t xml:space="preserve">pública </w:t>
      </w:r>
      <w:r w:rsidRPr="00504C19">
        <w:rPr>
          <w:rFonts w:ascii="Arial" w:hAnsi="Arial" w:cs="Arial"/>
          <w:color w:val="000000"/>
          <w:lang w:val="pt-BR"/>
        </w:rPr>
        <w:t xml:space="preserve">do Reino Unido. A partir dos perfis de impacto coletados entre estudantes, educadores e colaboradores, buscam-se hipóteses exploratórias que </w:t>
      </w:r>
      <w:r w:rsidRPr="00504C19">
        <w:rPr>
          <w:rFonts w:ascii="Arial" w:hAnsi="Arial" w:cs="Arial"/>
          <w:color w:val="000000"/>
          <w:lang w:val="pt-BR"/>
        </w:rPr>
        <w:lastRenderedPageBreak/>
        <w:t>ampliem a compreensão sobre o engajamento e a convivência escolar, com ênfase na valorização da diversidade de contribuições no cotidiano educativo.</w:t>
      </w:r>
    </w:p>
    <w:p w14:paraId="251506C0" w14:textId="77777777" w:rsidR="00435A4C" w:rsidRPr="00504C19" w:rsidRDefault="00435A4C" w:rsidP="00876F92">
      <w:pPr>
        <w:pStyle w:val="Texto"/>
        <w:ind w:firstLine="0"/>
      </w:pPr>
    </w:p>
    <w:p w14:paraId="41EEC0FF" w14:textId="3199E977" w:rsidR="00435A4C" w:rsidRPr="00504C19" w:rsidRDefault="00FC4166" w:rsidP="004C446D">
      <w:pPr>
        <w:pStyle w:val="Heading1"/>
      </w:pPr>
      <w:r w:rsidRPr="00504C19">
        <w:t>2</w:t>
      </w:r>
      <w:r w:rsidR="00D97213" w:rsidRPr="00504C19">
        <w:t xml:space="preserve"> </w:t>
      </w:r>
      <w:r w:rsidR="00055BA2" w:rsidRPr="00504C19">
        <w:t>REFERENCIAL TEÓRICO</w:t>
      </w:r>
    </w:p>
    <w:p w14:paraId="683A7A76" w14:textId="77777777" w:rsidR="00876F92" w:rsidRPr="00504C19" w:rsidRDefault="00876F92" w:rsidP="00876F92"/>
    <w:p w14:paraId="56D1FE5C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O perfil dos estudantes na contemporaneidade é atravessado por profundas transformações culturais e tecnológicas, que alteram suas formas de aprender, comunicar e se engajar. Como argumenta Dubet (2004), a escola já não pode contar com a aceitação automática de sua autoridade, pois enfrenta novas formas de socialização juvenil.</w:t>
      </w:r>
    </w:p>
    <w:p w14:paraId="5117E597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Imersos em uma realidade marcada por mudanças culturais, sociais e digitais,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estudantes constroem vínculos de forma diversa.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Autores como Jenkins (2009) e Lemos (2013) mostram como esta “nova” cultura desafia práticas escolares baseadas na repetição e obediência. O protagonismo juvenil, nesse cenário, também se diversifica, emergindo em espaços coletivos, digitais e comunitários (Martins, 2009).</w:t>
      </w:r>
    </w:p>
    <w:p w14:paraId="1CCFA75A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Apesar dessas transformações, muitas escolas mantêm estilos centrados na memorização e hierarquia (Saviani, 2013; Kenski, 2007), desvalorizando outras formas de expressão (Bourdieu; Passeron, 2014).</w:t>
      </w:r>
    </w:p>
    <w:p w14:paraId="6553E4D6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Engajamento e clima educativo são conceitos fundamentais para essa discussão. Fredricks </w:t>
      </w:r>
      <w:r w:rsidRPr="00504C19">
        <w:rPr>
          <w:rFonts w:ascii="Arial" w:hAnsi="Arial" w:cs="Arial"/>
          <w:i/>
          <w:iCs/>
          <w:color w:val="000000"/>
          <w:lang w:val="pt-BR"/>
        </w:rPr>
        <w:t>et al</w:t>
      </w:r>
      <w:r w:rsidRPr="00504C19">
        <w:rPr>
          <w:rFonts w:ascii="Arial" w:hAnsi="Arial" w:cs="Arial"/>
          <w:color w:val="000000"/>
          <w:lang w:val="pt-BR"/>
        </w:rPr>
        <w:t>. (2004) propõem que o engajamento envolva dimensões comportamentais, emocionais e cognitivas. Ryan e Deci (2000) apontam que a escuta, o reconhecimento e a segurança relacional favorecem motivações mais autônomas e duradouras. Escolas que estruturam relações baseadas na escuta, na clareza de regras e na valorização da pluralidade promovem ambientes mais propícios ao desenvolvimento integral dos sujeitos (UNESCO, 2016; Day; Gu, 2010).</w:t>
      </w:r>
    </w:p>
    <w:p w14:paraId="5E7EC7F9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Diferentemente de testes baseados em traços fixos, o The GC Index® (Mervyn-Smith; Ott, 2025) propõe compreender o impacto humano a partir de proclividades: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Game Changer (GC)</w:t>
      </w:r>
      <w:r w:rsidRPr="00504C19">
        <w:rPr>
          <w:rFonts w:ascii="Arial" w:hAnsi="Arial" w:cs="Arial"/>
          <w:color w:val="000000"/>
          <w:lang w:val="pt-BR"/>
        </w:rPr>
        <w:t>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Strategist (ST)</w:t>
      </w:r>
      <w:r w:rsidRPr="00504C19">
        <w:rPr>
          <w:rFonts w:ascii="Arial" w:hAnsi="Arial" w:cs="Arial"/>
          <w:color w:val="000000"/>
          <w:lang w:val="pt-BR"/>
        </w:rPr>
        <w:t>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Implementer (IM)</w:t>
      </w:r>
      <w:r w:rsidRPr="00504C19">
        <w:rPr>
          <w:rFonts w:ascii="Arial" w:hAnsi="Arial" w:cs="Arial"/>
          <w:color w:val="000000"/>
          <w:lang w:val="pt-BR"/>
        </w:rPr>
        <w:t>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Polisher (PO)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Play Maker (PM)</w:t>
      </w:r>
      <w:r w:rsidRPr="00504C19">
        <w:rPr>
          <w:rFonts w:ascii="Arial" w:hAnsi="Arial" w:cs="Arial"/>
          <w:color w:val="000000"/>
          <w:lang w:val="pt-BR"/>
        </w:rPr>
        <w:t xml:space="preserve">. Trata-se de um mapeamento que considera o contexto e as oportunidades disponíveis para que cada pessoa contribua de forma autêntica no mundo. </w:t>
      </w:r>
    </w:p>
    <w:p w14:paraId="40CA7A51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Essa abordagem se articula a uma pedagogia plural, (Damon, 2008; Antunes, 2012), que reconhece a diversidade de formas de aprender, agir e se expressar como recursos coletivos. O reconhecimento das diferentes formas de contribuição, quando </w:t>
      </w:r>
      <w:r w:rsidRPr="00504C19">
        <w:rPr>
          <w:rFonts w:ascii="Arial" w:hAnsi="Arial" w:cs="Arial"/>
          <w:color w:val="000000"/>
          <w:lang w:val="pt-BR"/>
        </w:rPr>
        <w:lastRenderedPageBreak/>
        <w:t>articulado a práticas pedagógicas plurais, enriquece os processos formativos e fortalece a cultura institucional.</w:t>
      </w:r>
    </w:p>
    <w:p w14:paraId="6EF99736" w14:textId="618871C7" w:rsidR="0C591BAA" w:rsidRPr="00504C19" w:rsidRDefault="0C591BAA" w:rsidP="00DF040B">
      <w:pPr>
        <w:pStyle w:val="Texto"/>
      </w:pPr>
    </w:p>
    <w:p w14:paraId="1DD2BBB3" w14:textId="0B784F74" w:rsidR="00707214" w:rsidRPr="00504C19" w:rsidRDefault="00FC4166" w:rsidP="004C446D">
      <w:pPr>
        <w:pStyle w:val="Heading1"/>
      </w:pPr>
      <w:r w:rsidRPr="00504C19">
        <w:t>3</w:t>
      </w:r>
      <w:r w:rsidR="0060173B" w:rsidRPr="00504C19">
        <w:t xml:space="preserve"> </w:t>
      </w:r>
      <w:r w:rsidR="00707214" w:rsidRPr="00504C19">
        <w:t>METODOLOGIA</w:t>
      </w:r>
    </w:p>
    <w:p w14:paraId="031EB813" w14:textId="77777777" w:rsidR="003B0874" w:rsidRPr="00504C19" w:rsidRDefault="003B0874" w:rsidP="003B0874"/>
    <w:p w14:paraId="75AC7201" w14:textId="57C3EF44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Trata-se de um estudo exploratório, qualitativo e interpretativo, que buscou compreender como diferentes estilos de impacto, mapeados pelas ferramentas GC Index® </w:t>
      </w:r>
      <w:r w:rsidR="00F37A87" w:rsidRPr="00504C19">
        <w:rPr>
          <w:rFonts w:ascii="Arial" w:hAnsi="Arial" w:cs="Arial"/>
          <w:color w:val="000000"/>
          <w:lang w:val="pt-BR"/>
        </w:rPr>
        <w:t>(</w:t>
      </w:r>
      <w:r w:rsidR="00F37A87" w:rsidRPr="00504C19">
        <w:rPr>
          <w:rStyle w:val="Emphasis"/>
          <w:rFonts w:ascii="Arial" w:eastAsiaTheme="majorEastAsia" w:hAnsi="Arial" w:cs="Arial"/>
          <w:color w:val="000000"/>
          <w:lang w:val="pt-BR"/>
        </w:rPr>
        <w:t>GCI</w:t>
      </w:r>
      <w:r w:rsidR="00F37A87" w:rsidRPr="00504C19">
        <w:rPr>
          <w:rStyle w:val="Emphasis"/>
          <w:rFonts w:ascii="Arial" w:eastAsiaTheme="majorEastAsia" w:hAnsi="Arial" w:cs="Arial"/>
          <w:i w:val="0"/>
          <w:iCs w:val="0"/>
          <w:color w:val="000000"/>
          <w:lang w:val="pt-BR"/>
        </w:rPr>
        <w:t>®)</w:t>
      </w:r>
      <w:r w:rsidR="00F37A87" w:rsidRPr="00504C19">
        <w:rPr>
          <w:rStyle w:val="apple-converted-space"/>
          <w:rFonts w:ascii="Arial" w:eastAsiaTheme="majorEastAsia" w:hAnsi="Arial" w:cs="Arial"/>
          <w:i/>
          <w:iCs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 Young People Index®</w:t>
      </w:r>
      <w:r w:rsidR="00F37A87" w:rsidRPr="00504C19">
        <w:rPr>
          <w:rFonts w:ascii="Arial" w:hAnsi="Arial" w:cs="Arial"/>
          <w:color w:val="000000"/>
          <w:lang w:val="pt-BR"/>
        </w:rPr>
        <w:t xml:space="preserve"> (YPI) </w:t>
      </w:r>
      <w:r w:rsidRPr="00504C19">
        <w:rPr>
          <w:rFonts w:ascii="Arial" w:hAnsi="Arial" w:cs="Arial"/>
          <w:color w:val="000000"/>
          <w:lang w:val="pt-BR"/>
        </w:rPr>
        <w:t xml:space="preserve"> (versão adaptada da metodologia GC para o público jovem) se manifestam no contexto escolar e que implicações podem ter para as convivência e engajamento.</w:t>
      </w:r>
    </w:p>
    <w:p w14:paraId="739E7E94" w14:textId="5D8BB188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  <w:lang w:val="pt-BR"/>
        </w:rPr>
      </w:pPr>
      <w:r w:rsidRPr="00504C19">
        <w:rPr>
          <w:rFonts w:ascii="Arial" w:hAnsi="Arial" w:cs="Arial"/>
          <w:color w:val="000000" w:themeColor="text1"/>
          <w:lang w:val="pt-BR"/>
        </w:rPr>
        <w:t xml:space="preserve">O mapeamento considera em cinco proclividades: </w:t>
      </w:r>
      <w:r w:rsidRPr="00504C19">
        <w:rPr>
          <w:rStyle w:val="Strong"/>
          <w:rFonts w:ascii="Arial" w:hAnsi="Arial" w:cs="Arial"/>
          <w:i/>
          <w:iCs/>
          <w:color w:val="000000" w:themeColor="text1"/>
          <w:lang w:val="pt-BR"/>
        </w:rPr>
        <w:t>Game Changer (GC)</w:t>
      </w:r>
      <w:r w:rsidRPr="00504C19">
        <w:rPr>
          <w:rFonts w:ascii="Arial" w:hAnsi="Arial" w:cs="Arial"/>
          <w:b/>
          <w:bCs/>
          <w:color w:val="000000" w:themeColor="text1"/>
          <w:lang w:val="pt-BR"/>
        </w:rPr>
        <w:t>,</w:t>
      </w:r>
      <w:r w:rsidRPr="00504C19">
        <w:rPr>
          <w:rFonts w:ascii="Arial" w:hAnsi="Arial" w:cs="Arial"/>
          <w:color w:val="000000" w:themeColor="text1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têm energia voltada para ideias originais e expressão da criatividade</w:t>
      </w:r>
      <w:r w:rsidRPr="00504C19">
        <w:rPr>
          <w:rFonts w:ascii="Arial" w:hAnsi="Arial" w:cs="Arial"/>
          <w:color w:val="000000" w:themeColor="text1"/>
          <w:lang w:val="pt-BR"/>
        </w:rPr>
        <w:t xml:space="preserve">; </w:t>
      </w:r>
      <w:r w:rsidRPr="00504C19">
        <w:rPr>
          <w:rStyle w:val="Strong"/>
          <w:rFonts w:ascii="Arial" w:hAnsi="Arial" w:cs="Arial"/>
          <w:i/>
          <w:iCs/>
          <w:color w:val="000000" w:themeColor="text1"/>
          <w:lang w:val="pt-BR"/>
        </w:rPr>
        <w:t>Strategist (ST)</w:t>
      </w:r>
      <w:r w:rsidRPr="00504C19">
        <w:rPr>
          <w:rFonts w:ascii="Arial" w:hAnsi="Arial" w:cs="Arial"/>
          <w:b/>
          <w:bCs/>
          <w:i/>
          <w:iCs/>
          <w:color w:val="000000" w:themeColor="text1"/>
          <w:lang w:val="pt-BR"/>
        </w:rPr>
        <w:t>,</w:t>
      </w:r>
      <w:r w:rsidRPr="00504C19">
        <w:rPr>
          <w:rFonts w:ascii="Arial" w:hAnsi="Arial" w:cs="Arial"/>
          <w:color w:val="000000" w:themeColor="text1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têm energia para dar sentido aos acontecimentos ao seu redor e fazer perguntas como “por quê?”</w:t>
      </w:r>
      <w:r w:rsidRPr="00504C19">
        <w:rPr>
          <w:rFonts w:ascii="Arial" w:hAnsi="Arial" w:cs="Arial"/>
          <w:color w:val="000000" w:themeColor="text1"/>
          <w:lang w:val="pt-BR"/>
        </w:rPr>
        <w:t xml:space="preserve">; </w:t>
      </w:r>
      <w:r w:rsidRPr="00504C19">
        <w:rPr>
          <w:rStyle w:val="Strong"/>
          <w:rFonts w:ascii="Arial" w:hAnsi="Arial" w:cs="Arial"/>
          <w:i/>
          <w:iCs/>
          <w:color w:val="000000" w:themeColor="text1"/>
          <w:lang w:val="pt-BR"/>
        </w:rPr>
        <w:t>Implementer (IM)</w:t>
      </w:r>
      <w:r w:rsidRPr="00504C19">
        <w:rPr>
          <w:rFonts w:ascii="Arial" w:hAnsi="Arial" w:cs="Arial"/>
          <w:b/>
          <w:bCs/>
          <w:i/>
          <w:iCs/>
          <w:color w:val="000000" w:themeColor="text1"/>
          <w:lang w:val="pt-BR"/>
        </w:rPr>
        <w:t>,</w:t>
      </w:r>
      <w:r w:rsidRPr="00504C19">
        <w:rPr>
          <w:rFonts w:ascii="Arial" w:hAnsi="Arial" w:cs="Arial"/>
          <w:color w:val="000000" w:themeColor="text1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têm energia para executar tarefas práticas; são focados em resultados</w:t>
      </w:r>
      <w:r w:rsidRPr="00504C19">
        <w:rPr>
          <w:rFonts w:ascii="Arial" w:hAnsi="Arial" w:cs="Arial"/>
          <w:color w:val="000000" w:themeColor="text1"/>
          <w:lang w:val="pt-BR"/>
        </w:rPr>
        <w:t xml:space="preserve">; </w:t>
      </w:r>
      <w:r w:rsidRPr="00504C19">
        <w:rPr>
          <w:rStyle w:val="Strong"/>
          <w:rFonts w:ascii="Arial" w:hAnsi="Arial" w:cs="Arial"/>
          <w:i/>
          <w:iCs/>
          <w:color w:val="000000" w:themeColor="text1"/>
          <w:lang w:val="pt-BR"/>
        </w:rPr>
        <w:t>Polisher (PO)</w:t>
      </w:r>
      <w:r w:rsidRPr="00504C19">
        <w:rPr>
          <w:rFonts w:ascii="Arial" w:hAnsi="Arial" w:cs="Arial"/>
          <w:b/>
          <w:bCs/>
          <w:color w:val="000000" w:themeColor="text1"/>
          <w:lang w:val="pt-BR"/>
        </w:rPr>
        <w:t>,</w:t>
      </w:r>
      <w:r w:rsidRPr="00504C19">
        <w:rPr>
          <w:rFonts w:ascii="Arial" w:hAnsi="Arial" w:cs="Arial"/>
          <w:color w:val="000000" w:themeColor="text1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têm energia voltada para aprimorar o que já existe; buscam a excelência</w:t>
      </w:r>
      <w:r w:rsidRPr="00504C19">
        <w:rPr>
          <w:rFonts w:ascii="Arial" w:hAnsi="Arial" w:cs="Arial"/>
          <w:color w:val="000000" w:themeColor="text1"/>
          <w:lang w:val="pt-BR"/>
        </w:rPr>
        <w:t xml:space="preserve">; e </w:t>
      </w:r>
      <w:r w:rsidRPr="00504C19">
        <w:rPr>
          <w:rStyle w:val="Strong"/>
          <w:rFonts w:ascii="Arial" w:hAnsi="Arial" w:cs="Arial"/>
          <w:i/>
          <w:iCs/>
          <w:color w:val="000000" w:themeColor="text1"/>
          <w:lang w:val="pt-BR"/>
        </w:rPr>
        <w:t>Play Maker (PM)</w:t>
      </w:r>
      <w:r w:rsidRPr="00504C19">
        <w:rPr>
          <w:rFonts w:ascii="Arial" w:hAnsi="Arial" w:cs="Arial"/>
          <w:b/>
          <w:bCs/>
          <w:color w:val="000000" w:themeColor="text1"/>
          <w:lang w:val="pt-BR"/>
        </w:rPr>
        <w:t>,</w:t>
      </w:r>
      <w:r w:rsidRPr="00504C19">
        <w:rPr>
          <w:rFonts w:ascii="Arial" w:hAnsi="Arial" w:cs="Arial"/>
          <w:color w:val="000000" w:themeColor="text1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têm energia para construir coesão e promover a colaboração dentro de grupos</w:t>
      </w:r>
      <w:r w:rsidRPr="00504C19">
        <w:rPr>
          <w:rFonts w:ascii="Arial" w:hAnsi="Arial" w:cs="Arial"/>
          <w:color w:val="000000" w:themeColor="text1"/>
          <w:lang w:val="pt-BR"/>
        </w:rPr>
        <w:t>.</w:t>
      </w:r>
    </w:p>
    <w:p w14:paraId="226AFB77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  <w:lang w:val="pt-BR"/>
        </w:rPr>
      </w:pPr>
      <w:r w:rsidRPr="00504C19">
        <w:rPr>
          <w:rFonts w:ascii="Arial" w:hAnsi="Arial" w:cs="Arial"/>
          <w:color w:val="000000" w:themeColor="text1"/>
          <w:lang w:val="pt-BR"/>
        </w:rPr>
        <w:t>Essas proclividades refletem preferências de contribuição, não traços fixos, e, segundo Mervyn-Smith e Ott (2025), não se correlacionam a idade, gênero, desempenho acadêmico ou localização, o que amplia sua aplicabilidade.</w:t>
      </w:r>
    </w:p>
    <w:p w14:paraId="7D3DB5E8" w14:textId="56B546E6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Os dados foram coletados (link</w:t>
      </w:r>
      <w:r w:rsidR="0028034C" w:rsidRPr="00504C19">
        <w:rPr>
          <w:rFonts w:ascii="Arial" w:hAnsi="Arial" w:cs="Arial"/>
          <w:color w:val="000000"/>
          <w:lang w:val="pt-BR"/>
        </w:rPr>
        <w:t>s</w:t>
      </w:r>
      <w:r w:rsidRPr="00504C19">
        <w:rPr>
          <w:rFonts w:ascii="Arial" w:hAnsi="Arial" w:cs="Arial"/>
          <w:color w:val="000000"/>
          <w:lang w:val="pt-BR"/>
        </w:rPr>
        <w:t xml:space="preserve"> enviado</w:t>
      </w:r>
      <w:r w:rsidR="0028034C" w:rsidRPr="00504C19">
        <w:rPr>
          <w:rFonts w:ascii="Arial" w:hAnsi="Arial" w:cs="Arial"/>
          <w:color w:val="000000"/>
          <w:lang w:val="pt-BR"/>
        </w:rPr>
        <w:t>s</w:t>
      </w:r>
      <w:r w:rsidRPr="00504C19">
        <w:rPr>
          <w:rFonts w:ascii="Arial" w:hAnsi="Arial" w:cs="Arial"/>
          <w:color w:val="000000"/>
          <w:lang w:val="pt-BR"/>
        </w:rPr>
        <w:t xml:space="preserve"> pela própria plataforma</w:t>
      </w:r>
      <w:r w:rsidR="0028034C" w:rsidRPr="00504C19">
        <w:rPr>
          <w:rFonts w:ascii="Arial" w:hAnsi="Arial" w:cs="Arial"/>
          <w:color w:val="000000"/>
          <w:lang w:val="pt-BR"/>
        </w:rPr>
        <w:t xml:space="preserve"> da ferramenta</w:t>
      </w:r>
      <w:r w:rsidRPr="00504C19">
        <w:rPr>
          <w:rFonts w:ascii="Arial" w:hAnsi="Arial" w:cs="Arial"/>
          <w:color w:val="000000"/>
          <w:lang w:val="pt-BR"/>
        </w:rPr>
        <w:t>) em uma escola pública do Reino Unido (The GC Index, 701(n) foram respondidos (623 estudantes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78 profissionais) com taxa de adesão de 91,7%. A análise documental foi conduzida com base nos relatórios institucionais (The GC Index, 2022), considerando a combinação de proclividades e seus possíveis direcionadores pedagógicos.</w:t>
      </w:r>
    </w:p>
    <w:p w14:paraId="43786F88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Pesquisas qualitativas com enfoque exploratório são apropriadas para fenômenos complexos e situados, pois priorizam significados e relações em vez de generalizações (Minayo, 2001; André, 2005). Este estudo, portanto, oferece subsídios analíticos iniciais que podem contribuir para o redesenho de práticas escolares mais responsivas à diversidade de estilos de contribuição.</w:t>
      </w:r>
    </w:p>
    <w:p w14:paraId="5905B946" w14:textId="5520B327" w:rsidR="6EB1BE39" w:rsidRPr="00504C19" w:rsidRDefault="6EB1BE39" w:rsidP="6EB1BE39">
      <w:pPr>
        <w:pStyle w:val="Texto"/>
      </w:pPr>
    </w:p>
    <w:p w14:paraId="4B72C82E" w14:textId="432E00B9" w:rsidR="00707214" w:rsidRPr="00504C19" w:rsidRDefault="00FC4166" w:rsidP="004C446D">
      <w:pPr>
        <w:pStyle w:val="Heading1"/>
      </w:pPr>
      <w:r w:rsidRPr="00504C19">
        <w:t>4</w:t>
      </w:r>
      <w:r w:rsidR="0060173B" w:rsidRPr="00504C19">
        <w:t xml:space="preserve"> </w:t>
      </w:r>
      <w:r w:rsidR="00B7745C" w:rsidRPr="00504C19">
        <w:t xml:space="preserve">RESULTADOS E </w:t>
      </w:r>
      <w:r w:rsidR="00707214" w:rsidRPr="00504C19">
        <w:t>DISCUSSÃO</w:t>
      </w:r>
    </w:p>
    <w:p w14:paraId="250D0B1C" w14:textId="77777777" w:rsidR="003B0874" w:rsidRPr="00504C19" w:rsidRDefault="003B0874" w:rsidP="003B0874"/>
    <w:p w14:paraId="11AE3F9B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lastRenderedPageBreak/>
        <w:t>A partir do mapeamento realizado com as ferramentas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GCI®</w:t>
      </w:r>
      <w:r w:rsidRPr="00504C19">
        <w:rPr>
          <w:rStyle w:val="apple-converted-space"/>
          <w:rFonts w:ascii="Arial" w:eastAsiaTheme="majorEastAsia" w:hAnsi="Arial" w:cs="Arial"/>
          <w:i/>
          <w:iCs/>
          <w:color w:val="000000"/>
          <w:lang w:val="pt-BR"/>
        </w:rPr>
        <w:t xml:space="preserve"> </w:t>
      </w:r>
      <w:r w:rsidRPr="00504C19">
        <w:rPr>
          <w:rFonts w:ascii="Arial" w:hAnsi="Arial" w:cs="Arial"/>
          <w:i/>
          <w:iCs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i/>
          <w:iCs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YPI®</w:t>
      </w:r>
      <w:r w:rsidRPr="00504C19">
        <w:rPr>
          <w:rFonts w:ascii="Arial" w:hAnsi="Arial" w:cs="Arial"/>
          <w:i/>
          <w:iCs/>
          <w:color w:val="000000"/>
          <w:lang w:val="pt-BR"/>
        </w:rPr>
        <w:t>,</w:t>
      </w:r>
      <w:r w:rsidRPr="00504C19">
        <w:rPr>
          <w:rFonts w:ascii="Arial" w:hAnsi="Arial" w:cs="Arial"/>
          <w:color w:val="000000"/>
          <w:lang w:val="pt-BR"/>
        </w:rPr>
        <w:t xml:space="preserve"> os dados foram analisados com base em critérios analíticos voltados a identificar onde se concentra a energia de contribuição, quais tensões podem emergir entre estilos distintos e como essas dinâmicas impactam o engajamento e a convivência escolar.</w:t>
      </w:r>
    </w:p>
    <w:p w14:paraId="64CADFEB" w14:textId="3CEF5FB1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Entre os profissionais (</w:t>
      </w:r>
      <w:r w:rsidRPr="00504C19">
        <w:rPr>
          <w:rFonts w:ascii="Arial" w:hAnsi="Arial" w:cs="Arial"/>
          <w:i/>
          <w:iCs/>
          <w:color w:val="000000"/>
          <w:lang w:val="pt-BR"/>
        </w:rPr>
        <w:t>Staff</w:t>
      </w:r>
      <w:r w:rsidRPr="00504C19">
        <w:rPr>
          <w:rFonts w:ascii="Arial" w:hAnsi="Arial" w:cs="Arial"/>
          <w:color w:val="000000"/>
          <w:lang w:val="pt-BR"/>
        </w:rPr>
        <w:t xml:space="preserve"> n=78),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PO </w:t>
      </w:r>
      <w:r w:rsidRPr="00504C19">
        <w:rPr>
          <w:rFonts w:ascii="Arial" w:hAnsi="Arial" w:cs="Arial"/>
          <w:color w:val="000000"/>
          <w:lang w:val="pt-BR"/>
        </w:rPr>
        <w:t>as proclividades mais frequentes (30,5% cada), indicando energia para execução e aprimoramento.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apareceu em 16%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foi a menos representada (6,5%). Na alta gestão (</w:t>
      </w:r>
      <w:r w:rsidRPr="00504C19">
        <w:rPr>
          <w:rFonts w:ascii="Arial" w:hAnsi="Arial" w:cs="Arial"/>
          <w:i/>
          <w:iCs/>
          <w:color w:val="000000"/>
          <w:lang w:val="pt-BR"/>
        </w:rPr>
        <w:t>SLT</w:t>
      </w:r>
      <w:r w:rsidRPr="00504C19">
        <w:rPr>
          <w:rFonts w:ascii="Arial" w:hAnsi="Arial" w:cs="Arial"/>
          <w:color w:val="000000"/>
          <w:lang w:val="pt-BR"/>
        </w:rPr>
        <w:t xml:space="preserve">, n=5), observou-se concentração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ST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(40%), seguido por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</w:t>
      </w:r>
      <w:r w:rsidRPr="00504C19">
        <w:rPr>
          <w:rFonts w:ascii="Arial" w:hAnsi="Arial" w:cs="Arial"/>
          <w:color w:val="000000"/>
          <w:lang w:val="pt-BR"/>
        </w:rPr>
        <w:t>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(20% cada), sem presença de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</w:t>
      </w:r>
      <w:r w:rsidRPr="00504C19">
        <w:rPr>
          <w:rFonts w:ascii="Arial" w:hAnsi="Arial" w:cs="Arial"/>
          <w:color w:val="000000"/>
          <w:lang w:val="pt-BR"/>
        </w:rPr>
        <w:t xml:space="preserve">. As coordenações </w:t>
      </w:r>
      <w:r w:rsidR="0028034C" w:rsidRPr="00504C19">
        <w:rPr>
          <w:rFonts w:ascii="Arial" w:hAnsi="Arial" w:cs="Arial"/>
          <w:color w:val="000000"/>
          <w:lang w:val="pt-BR"/>
        </w:rPr>
        <w:t xml:space="preserve">de </w:t>
      </w:r>
      <w:r w:rsidRPr="00504C19">
        <w:rPr>
          <w:rFonts w:ascii="Arial" w:hAnsi="Arial" w:cs="Arial"/>
          <w:color w:val="000000"/>
          <w:lang w:val="pt-BR"/>
        </w:rPr>
        <w:t>turmas (</w:t>
      </w:r>
      <w:r w:rsidRPr="00504C19">
        <w:rPr>
          <w:rFonts w:ascii="Arial" w:hAnsi="Arial" w:cs="Arial"/>
          <w:i/>
          <w:iCs/>
          <w:color w:val="000000"/>
          <w:lang w:val="pt-BR"/>
        </w:rPr>
        <w:t>Head of Year</w:t>
      </w:r>
      <w:r w:rsidRPr="00504C19">
        <w:rPr>
          <w:rFonts w:ascii="Arial" w:hAnsi="Arial" w:cs="Arial"/>
          <w:color w:val="000000"/>
          <w:lang w:val="pt-BR"/>
        </w:rPr>
        <w:t xml:space="preserve"> n=5) e </w:t>
      </w:r>
      <w:r w:rsidR="0028034C" w:rsidRPr="00504C19">
        <w:rPr>
          <w:rFonts w:ascii="Arial" w:hAnsi="Arial" w:cs="Arial"/>
          <w:color w:val="000000"/>
          <w:lang w:val="pt-BR"/>
        </w:rPr>
        <w:t xml:space="preserve">de </w:t>
      </w:r>
      <w:r w:rsidRPr="00504C19">
        <w:rPr>
          <w:rFonts w:ascii="Arial" w:hAnsi="Arial" w:cs="Arial"/>
          <w:color w:val="000000"/>
          <w:lang w:val="pt-BR"/>
        </w:rPr>
        <w:t>departamento (</w:t>
      </w:r>
      <w:r w:rsidRPr="00504C19">
        <w:rPr>
          <w:rFonts w:ascii="Arial" w:hAnsi="Arial" w:cs="Arial"/>
          <w:i/>
          <w:iCs/>
          <w:color w:val="000000"/>
          <w:lang w:val="pt-BR"/>
        </w:rPr>
        <w:t>Head of Departament</w:t>
      </w:r>
      <w:r w:rsidRPr="00504C19">
        <w:rPr>
          <w:rFonts w:ascii="Arial" w:hAnsi="Arial" w:cs="Arial"/>
          <w:color w:val="000000"/>
          <w:lang w:val="pt-BR"/>
        </w:rPr>
        <w:t xml:space="preserve"> n=10) apresentaram predominância de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 (43% e 46%)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="0028034C" w:rsidRPr="00504C19">
        <w:rPr>
          <w:rStyle w:val="Emphasis"/>
          <w:rFonts w:ascii="Arial" w:eastAsiaTheme="majorEastAsia" w:hAnsi="Arial" w:cs="Arial"/>
          <w:color w:val="000000"/>
          <w:lang w:val="pt-BR"/>
        </w:rPr>
        <w:t>ST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 (</w:t>
      </w:r>
      <w:r w:rsidR="0028034C" w:rsidRPr="00504C19">
        <w:rPr>
          <w:rStyle w:val="Emphasis"/>
          <w:rFonts w:ascii="Arial" w:eastAsiaTheme="majorEastAsia" w:hAnsi="Arial" w:cs="Arial"/>
          <w:color w:val="000000"/>
          <w:lang w:val="pt-BR"/>
        </w:rPr>
        <w:t>28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,5% e 15,5% respectivamente)</w:t>
      </w:r>
      <w:r w:rsidRPr="00504C19">
        <w:rPr>
          <w:rFonts w:ascii="Arial" w:hAnsi="Arial" w:cs="Arial"/>
          <w:i/>
          <w:iCs/>
          <w:color w:val="000000"/>
          <w:lang w:val="pt-BR"/>
        </w:rPr>
        <w:t>,</w:t>
      </w:r>
      <w:r w:rsidRPr="00504C19">
        <w:rPr>
          <w:rFonts w:ascii="Arial" w:hAnsi="Arial" w:cs="Arial"/>
          <w:color w:val="000000"/>
          <w:lang w:val="pt-BR"/>
        </w:rPr>
        <w:t xml:space="preserve"> refletindo um perfil que busca excelência e planejador, com baixa incidência de proclividades associadas à inovação </w:t>
      </w:r>
      <w:r w:rsidRPr="00504C19">
        <w:rPr>
          <w:rFonts w:ascii="Arial" w:hAnsi="Arial" w:cs="Arial"/>
          <w:i/>
          <w:iCs/>
          <w:color w:val="000000"/>
          <w:lang w:val="pt-BR"/>
        </w:rPr>
        <w:t>(GC)</w:t>
      </w:r>
      <w:r w:rsidRPr="00504C19">
        <w:rPr>
          <w:rFonts w:ascii="Arial" w:hAnsi="Arial" w:cs="Arial"/>
          <w:color w:val="000000"/>
          <w:lang w:val="pt-BR"/>
        </w:rPr>
        <w:t xml:space="preserve"> e execução </w:t>
      </w:r>
      <w:r w:rsidRPr="00504C19">
        <w:rPr>
          <w:rFonts w:ascii="Arial" w:hAnsi="Arial" w:cs="Arial"/>
          <w:i/>
          <w:iCs/>
          <w:color w:val="000000"/>
          <w:lang w:val="pt-BR"/>
        </w:rPr>
        <w:t>(IM).</w:t>
      </w:r>
    </w:p>
    <w:p w14:paraId="55FD2691" w14:textId="4EDCD2D1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Entre os estudantes (n=623), destacaram-se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PO </w:t>
      </w:r>
      <w:r w:rsidRPr="00504C19">
        <w:rPr>
          <w:rFonts w:ascii="Arial" w:hAnsi="Arial" w:cs="Arial"/>
          <w:color w:val="000000"/>
          <w:lang w:val="pt-BR"/>
        </w:rPr>
        <w:t>(31,5%)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 xml:space="preserve">(25,5%), seguidos por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ST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(17,5%),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(13%)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GC </w:t>
      </w:r>
      <w:r w:rsidRPr="00504C19">
        <w:rPr>
          <w:rFonts w:ascii="Arial" w:hAnsi="Arial" w:cs="Arial"/>
          <w:color w:val="000000"/>
          <w:lang w:val="pt-BR"/>
        </w:rPr>
        <w:t>(12,5%). Nos anos iniciais (Year 7 e Year 9),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GC </w:t>
      </w:r>
      <w:r w:rsidRPr="00504C19">
        <w:rPr>
          <w:rFonts w:ascii="Arial" w:hAnsi="Arial" w:cs="Arial"/>
          <w:color w:val="000000"/>
          <w:lang w:val="pt-BR"/>
        </w:rPr>
        <w:t>teve maior expressão (17,5% e 21%, respectivamente), indicando forte potencial criativo</w:t>
      </w:r>
      <w:r w:rsidRPr="00504C19">
        <w:rPr>
          <w:rFonts w:ascii="Arial" w:hAnsi="Arial" w:cs="Arial"/>
          <w:i/>
          <w:iCs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GC)</w:t>
      </w:r>
      <w:r w:rsidRPr="00504C19">
        <w:rPr>
          <w:rFonts w:ascii="Arial" w:hAnsi="Arial" w:cs="Arial"/>
          <w:i/>
          <w:iCs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no início da escolarização. Já os anos finais (</w:t>
      </w:r>
      <w:r w:rsidRPr="00504C19">
        <w:rPr>
          <w:rFonts w:ascii="Arial" w:hAnsi="Arial" w:cs="Arial"/>
          <w:i/>
          <w:iCs/>
          <w:color w:val="000000"/>
          <w:lang w:val="pt-BR"/>
        </w:rPr>
        <w:t>Year 11 e Lower 6th</w:t>
      </w:r>
      <w:r w:rsidRPr="00504C19">
        <w:rPr>
          <w:rFonts w:ascii="Arial" w:hAnsi="Arial" w:cs="Arial"/>
          <w:color w:val="000000"/>
          <w:lang w:val="pt-BR"/>
        </w:rPr>
        <w:t xml:space="preserve">) observou-se concentração de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(31%)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ST (19%) em ambos</w:t>
      </w:r>
      <w:r w:rsidRPr="00504C19">
        <w:rPr>
          <w:rFonts w:ascii="Arial" w:hAnsi="Arial" w:cs="Arial"/>
          <w:color w:val="000000"/>
          <w:lang w:val="pt-BR"/>
        </w:rPr>
        <w:t xml:space="preserve">, podendo sugerir adaptação progressiva às demandas acadêmicas formais, às diretrizes </w:t>
      </w:r>
      <w:r w:rsidR="003B0874" w:rsidRPr="00504C19">
        <w:rPr>
          <w:rFonts w:ascii="Arial" w:hAnsi="Arial" w:cs="Arial"/>
          <w:color w:val="000000"/>
          <w:lang w:val="pt-BR"/>
        </w:rPr>
        <w:t>institucionais</w:t>
      </w:r>
      <w:r w:rsidRPr="00504C19">
        <w:rPr>
          <w:rFonts w:ascii="Arial" w:hAnsi="Arial" w:cs="Arial"/>
          <w:color w:val="000000"/>
          <w:lang w:val="pt-BR"/>
        </w:rPr>
        <w:t xml:space="preserve"> ou, ainda à composição das proclividades dos próprios profissionais. </w:t>
      </w:r>
    </w:p>
    <w:p w14:paraId="6BBD6D9A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As relações entre professores e estudantes revelaram diferentes dinâmicas pedagógicas, com implicações diretas para o engajamento e a aprendizagem. Interações entre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Implementer (IM)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Game Changer (GC), por exemplo,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podem exigir </w:t>
      </w:r>
      <w:r w:rsidRPr="00504C19">
        <w:rPr>
          <w:rFonts w:ascii="Arial" w:hAnsi="Arial" w:cs="Arial"/>
          <w:color w:val="000000"/>
          <w:lang w:val="pt-BR"/>
        </w:rPr>
        <w:t>mediação mais cuidadosa, pois colocam em diálogo a energia da execução com o impulso criativo, demandando estratégias que traduzam ideias em ações. Já  as relações entre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Play Maker (PM)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Polisher (PO)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tendem a favorecer ambientes colaborativos, com atenção à qualidade e às relações interpessoais, ainda que enfrentem desafios relacionados à execução (</w:t>
      </w:r>
      <w:r w:rsidRPr="00504C19">
        <w:rPr>
          <w:rFonts w:ascii="Arial" w:hAnsi="Arial" w:cs="Arial"/>
          <w:i/>
          <w:iCs/>
          <w:color w:val="000000"/>
          <w:lang w:val="pt-BR"/>
        </w:rPr>
        <w:t>IM</w:t>
      </w:r>
      <w:r w:rsidRPr="00504C19">
        <w:rPr>
          <w:rFonts w:ascii="Arial" w:hAnsi="Arial" w:cs="Arial"/>
          <w:color w:val="000000"/>
          <w:lang w:val="pt-BR"/>
        </w:rPr>
        <w:t>) e tomada de decisão coletiva (</w:t>
      </w:r>
      <w:r w:rsidRPr="00504C19">
        <w:rPr>
          <w:rFonts w:ascii="Arial" w:hAnsi="Arial" w:cs="Arial"/>
          <w:i/>
          <w:iCs/>
          <w:color w:val="000000"/>
          <w:lang w:val="pt-BR"/>
        </w:rPr>
        <w:t>ST</w:t>
      </w:r>
      <w:r w:rsidRPr="00504C19">
        <w:rPr>
          <w:rFonts w:ascii="Arial" w:hAnsi="Arial" w:cs="Arial"/>
          <w:color w:val="000000"/>
          <w:lang w:val="pt-BR"/>
        </w:rPr>
        <w:t xml:space="preserve">). </w:t>
      </w:r>
    </w:p>
    <w:p w14:paraId="5D22A07C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Com os dados individuais, possibilitou explorar, de forma aplicada, como essas diferenças podem se manifestar nas relações pedagógicas. A partir dos mapas de dois professores e dois estudantes, identificaram-se padrões de convergência e tensão produtiva entre as proclividades. O Professor 1, com alta pontuação em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IM </w:t>
      </w:r>
      <w:r w:rsidRPr="00504C19">
        <w:rPr>
          <w:rFonts w:ascii="Arial" w:hAnsi="Arial" w:cs="Arial"/>
          <w:color w:val="000000"/>
          <w:lang w:val="pt-BR"/>
        </w:rPr>
        <w:t>(10), energia para execução e organização, seguido por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ST </w:t>
      </w:r>
      <w:r w:rsidRPr="00504C19">
        <w:rPr>
          <w:rFonts w:ascii="Arial" w:hAnsi="Arial" w:cs="Arial"/>
          <w:color w:val="000000"/>
          <w:lang w:val="pt-BR"/>
        </w:rPr>
        <w:t>(5)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(4), com baixas pontuações em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(1)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 xml:space="preserve">(1). Já o Professor 2, apresenta perfil equilibrado com </w:t>
      </w:r>
      <w:r w:rsidRPr="00504C19">
        <w:rPr>
          <w:rFonts w:ascii="Arial" w:hAnsi="Arial" w:cs="Arial"/>
          <w:color w:val="000000"/>
          <w:lang w:val="pt-BR"/>
        </w:rPr>
        <w:lastRenderedPageBreak/>
        <w:t>destaque para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(7),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ST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(6)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(6), além de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(4)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GC </w:t>
      </w:r>
      <w:r w:rsidRPr="00504C19">
        <w:rPr>
          <w:rFonts w:ascii="Arial" w:hAnsi="Arial" w:cs="Arial"/>
          <w:color w:val="000000"/>
          <w:lang w:val="pt-BR"/>
        </w:rPr>
        <w:t xml:space="preserve">(5), orientação à cooperação </w:t>
      </w:r>
      <w:r w:rsidRPr="00504C19">
        <w:rPr>
          <w:rFonts w:ascii="Arial" w:hAnsi="Arial" w:cs="Arial"/>
          <w:i/>
          <w:iCs/>
          <w:color w:val="000000"/>
          <w:lang w:val="pt-BR"/>
        </w:rPr>
        <w:t>(PM)</w:t>
      </w:r>
      <w:r w:rsidRPr="00504C19">
        <w:rPr>
          <w:rFonts w:ascii="Arial" w:hAnsi="Arial" w:cs="Arial"/>
          <w:color w:val="000000"/>
          <w:lang w:val="pt-BR"/>
        </w:rPr>
        <w:t xml:space="preserve"> e à qualidade (</w:t>
      </w:r>
      <w:r w:rsidRPr="00504C19">
        <w:rPr>
          <w:rFonts w:ascii="Arial" w:hAnsi="Arial" w:cs="Arial"/>
          <w:i/>
          <w:iCs/>
          <w:color w:val="000000"/>
          <w:lang w:val="pt-BR"/>
        </w:rPr>
        <w:t>PO</w:t>
      </w:r>
      <w:r w:rsidRPr="00504C19">
        <w:rPr>
          <w:rFonts w:ascii="Arial" w:hAnsi="Arial" w:cs="Arial"/>
          <w:color w:val="000000"/>
          <w:lang w:val="pt-BR"/>
        </w:rPr>
        <w:t>). Entre os estudantes, o Estudante 1 combina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(9)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(7), evidenciando energia para aprimoramento (</w:t>
      </w:r>
      <w:r w:rsidRPr="00504C19">
        <w:rPr>
          <w:rFonts w:ascii="Arial" w:hAnsi="Arial" w:cs="Arial"/>
          <w:i/>
          <w:iCs/>
          <w:color w:val="000000"/>
          <w:lang w:val="pt-BR"/>
        </w:rPr>
        <w:t>PO</w:t>
      </w:r>
      <w:r w:rsidRPr="00504C19">
        <w:rPr>
          <w:rFonts w:ascii="Arial" w:hAnsi="Arial" w:cs="Arial"/>
          <w:color w:val="000000"/>
          <w:lang w:val="pt-BR"/>
        </w:rPr>
        <w:t>) e inovação (</w:t>
      </w:r>
      <w:r w:rsidRPr="00504C19">
        <w:rPr>
          <w:rFonts w:ascii="Arial" w:hAnsi="Arial" w:cs="Arial"/>
          <w:i/>
          <w:iCs/>
          <w:color w:val="000000"/>
          <w:lang w:val="pt-BR"/>
        </w:rPr>
        <w:t>GG</w:t>
      </w:r>
      <w:r w:rsidRPr="00504C19">
        <w:rPr>
          <w:rFonts w:ascii="Arial" w:hAnsi="Arial" w:cs="Arial"/>
          <w:color w:val="000000"/>
          <w:lang w:val="pt-BR"/>
        </w:rPr>
        <w:t xml:space="preserve">), enquanto o Estudante 2 apresenta energia com destaque para o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(8)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PO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(7), seguido por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 xml:space="preserve">ST </w:t>
      </w:r>
      <w:r w:rsidRPr="00504C19">
        <w:rPr>
          <w:rFonts w:ascii="Arial" w:hAnsi="Arial" w:cs="Arial"/>
          <w:color w:val="000000"/>
          <w:lang w:val="pt-BR"/>
        </w:rPr>
        <w:t>(5),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IM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(5) e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color w:val="000000"/>
          <w:lang w:val="pt-BR"/>
        </w:rPr>
        <w:t>GC</w:t>
      </w:r>
      <w:r w:rsidRPr="00504C19">
        <w:rPr>
          <w:rStyle w:val="apple-converted-space"/>
          <w:rFonts w:ascii="Arial" w:eastAsiaTheme="majorEastAsia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 xml:space="preserve">(6), com forte orientação à cooperação (PM) e à qualidade (PO). Os perfis descritos podem ser visualizados na </w:t>
      </w:r>
      <w:r w:rsidRPr="00504C19">
        <w:rPr>
          <w:rFonts w:ascii="Arial" w:hAnsi="Arial" w:cs="Arial"/>
          <w:b/>
          <w:bCs/>
          <w:color w:val="000000"/>
          <w:lang w:val="pt-BR"/>
        </w:rPr>
        <w:t>Figura 1</w:t>
      </w:r>
      <w:r w:rsidRPr="00504C19">
        <w:rPr>
          <w:rFonts w:ascii="Arial" w:hAnsi="Arial" w:cs="Arial"/>
          <w:color w:val="000000"/>
          <w:lang w:val="pt-BR"/>
        </w:rPr>
        <w:t>, a seguir:</w:t>
      </w:r>
    </w:p>
    <w:p w14:paraId="14739256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</w:p>
    <w:p w14:paraId="30C1A630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504C19">
        <w:rPr>
          <w:rFonts w:ascii="Arial" w:hAnsi="Arial" w:cs="Arial"/>
          <w:b/>
          <w:bCs/>
          <w:color w:val="000000" w:themeColor="text1"/>
          <w:sz w:val="20"/>
          <w:szCs w:val="20"/>
          <w:lang w:val="pt-BR"/>
        </w:rPr>
        <w:t xml:space="preserve">Figura 1: </w:t>
      </w:r>
      <w:r w:rsidRPr="00504C19">
        <w:rPr>
          <w:rFonts w:ascii="Arial" w:hAnsi="Arial" w:cs="Arial"/>
          <w:color w:val="000000" w:themeColor="text1"/>
          <w:sz w:val="20"/>
          <w:szCs w:val="20"/>
          <w:lang w:val="pt-BR"/>
        </w:rPr>
        <w:t>Mapa individual de proclividade - professor e estudante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436"/>
      </w:tblGrid>
      <w:tr w:rsidR="00504C19" w:rsidRPr="00504C19" w14:paraId="2D1D924F" w14:textId="77777777" w:rsidTr="00504C19">
        <w:tc>
          <w:tcPr>
            <w:tcW w:w="5676" w:type="dxa"/>
            <w:vAlign w:val="center"/>
          </w:tcPr>
          <w:p w14:paraId="633D78DE" w14:textId="77777777" w:rsidR="00876F92" w:rsidRPr="00504C19" w:rsidRDefault="00876F92" w:rsidP="00631F6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</w:pPr>
            <w:r w:rsidRPr="00504C19">
              <w:rPr>
                <w:rFonts w:ascii="Arial" w:hAnsi="Arial" w:cs="Arial"/>
                <w:noProof/>
                <w:color w:val="000000"/>
                <w:sz w:val="20"/>
                <w:szCs w:val="20"/>
                <w:lang w:val="pt-BR"/>
                <w14:ligatures w14:val="standardContextual"/>
              </w:rPr>
              <w:drawing>
                <wp:inline distT="0" distB="0" distL="0" distR="0" wp14:anchorId="6282B405" wp14:editId="0F7072EE">
                  <wp:extent cx="2094271" cy="2193547"/>
                  <wp:effectExtent l="0" t="0" r="1270" b="0"/>
                  <wp:docPr id="17784050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405016" name="Picture 17784050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10" cy="248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vAlign w:val="center"/>
          </w:tcPr>
          <w:p w14:paraId="4852D761" w14:textId="68272375" w:rsidR="00876F92" w:rsidRPr="00504C19" w:rsidRDefault="00504C19" w:rsidP="00631F6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</w:pPr>
            <w:r w:rsidRPr="00504C19">
              <w:rPr>
                <w:rFonts w:ascii="Arial" w:hAnsi="Arial" w:cs="Arial"/>
                <w:noProof/>
                <w:color w:val="000000"/>
                <w:sz w:val="20"/>
                <w:szCs w:val="20"/>
                <w:lang w:val="pt-BR"/>
                <w14:ligatures w14:val="standardContextual"/>
              </w:rPr>
              <w:drawing>
                <wp:inline distT="0" distB="0" distL="0" distR="0" wp14:anchorId="40881CDD" wp14:editId="154EE9EA">
                  <wp:extent cx="2679004" cy="2197013"/>
                  <wp:effectExtent l="0" t="0" r="1270" b="635"/>
                  <wp:docPr id="14962560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256096" name="Picture 149625609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571" cy="22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15B14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jc w:val="center"/>
        <w:rPr>
          <w:color w:val="000000" w:themeColor="text1"/>
          <w:sz w:val="20"/>
          <w:szCs w:val="20"/>
          <w:lang w:val="pt-BR"/>
        </w:rPr>
      </w:pPr>
      <w:r w:rsidRPr="00504C19">
        <w:rPr>
          <w:rFonts w:ascii="Arial" w:hAnsi="Arial" w:cs="Arial"/>
          <w:b/>
          <w:bCs/>
          <w:color w:val="000000" w:themeColor="text1"/>
          <w:sz w:val="20"/>
          <w:szCs w:val="20"/>
          <w:lang w:val="pt-BR"/>
        </w:rPr>
        <w:t xml:space="preserve">Fonte: </w:t>
      </w:r>
      <w:r w:rsidRPr="00504C19">
        <w:rPr>
          <w:rFonts w:ascii="Arial" w:hAnsi="Arial" w:cs="Arial"/>
          <w:color w:val="000000" w:themeColor="text1"/>
          <w:sz w:val="20"/>
          <w:szCs w:val="20"/>
          <w:lang w:val="pt-BR"/>
        </w:rPr>
        <w:t>Dados extraídos dos relatórios da pesquisa (The GC Index, 2022</w:t>
      </w:r>
      <w:r w:rsidRPr="00504C19">
        <w:rPr>
          <w:color w:val="000000" w:themeColor="text1"/>
          <w:sz w:val="20"/>
          <w:szCs w:val="20"/>
          <w:lang w:val="pt-BR"/>
        </w:rPr>
        <w:t>)</w:t>
      </w:r>
    </w:p>
    <w:p w14:paraId="04DFC75D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</w:p>
    <w:p w14:paraId="17EFFE00" w14:textId="423D1759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A leitura das proclividades evidencia o potencial do GC Index® para orientar intervenções pedagógicas mais sensíveis, nas quais a diversidade de estilos se transforma em recurso para o aprendizado colaborativo e a construção de vínculos educativos mais significativos. Compreender essas combinações permite que educadores ajustem suas práticas de comunicação, planejamento e </w:t>
      </w:r>
      <w:r w:rsidRPr="00504C19">
        <w:rPr>
          <w:rFonts w:ascii="Arial" w:hAnsi="Arial" w:cs="Arial"/>
          <w:i/>
          <w:iCs/>
          <w:color w:val="000000"/>
          <w:lang w:val="pt-BR"/>
        </w:rPr>
        <w:t>feedback</w:t>
      </w:r>
      <w:r w:rsidRPr="00504C19">
        <w:rPr>
          <w:rFonts w:ascii="Arial" w:hAnsi="Arial" w:cs="Arial"/>
          <w:color w:val="000000"/>
          <w:lang w:val="pt-BR"/>
        </w:rPr>
        <w:t>, favorecendo o reconhecimento das diferentes formas de aprendizagem e contribuição dos estudantes. Ao mesmo tempo, os próprios estudantes passam a reconhecer o que os mobiliza, o que os instiga a agir e como preferem contribuir, ampliando a consciência sobre seus próprios estilos de contribuição.</w:t>
      </w:r>
      <w:r w:rsidR="00C32801" w:rsidRPr="00504C19">
        <w:rPr>
          <w:rFonts w:ascii="Arial" w:hAnsi="Arial" w:cs="Arial"/>
          <w:color w:val="000000"/>
          <w:lang w:val="pt-BR"/>
        </w:rPr>
        <w:t xml:space="preserve"> </w:t>
      </w:r>
      <w:r w:rsidR="003323B6" w:rsidRPr="00504C19">
        <w:rPr>
          <w:rFonts w:ascii="Arial" w:hAnsi="Arial" w:cs="Arial"/>
          <w:color w:val="000000"/>
          <w:lang w:val="pt-BR"/>
        </w:rPr>
        <w:t xml:space="preserve">Partindo </w:t>
      </w:r>
      <w:r w:rsidR="00504C19" w:rsidRPr="00504C19">
        <w:rPr>
          <w:rFonts w:ascii="Arial" w:hAnsi="Arial" w:cs="Arial"/>
          <w:color w:val="000000"/>
          <w:lang w:val="pt-BR"/>
        </w:rPr>
        <w:t>do principio adotado pela metodologia de que todos podem gerar impacto positivo no mundo</w:t>
      </w:r>
      <w:r w:rsidR="003323B6" w:rsidRPr="00504C19">
        <w:rPr>
          <w:rFonts w:ascii="Arial" w:hAnsi="Arial" w:cs="Arial"/>
          <w:color w:val="000000"/>
          <w:lang w:val="pt-BR"/>
        </w:rPr>
        <w:t>, es</w:t>
      </w:r>
      <w:r w:rsidR="00504C19" w:rsidRPr="00504C19">
        <w:rPr>
          <w:rFonts w:ascii="Arial" w:hAnsi="Arial" w:cs="Arial"/>
          <w:color w:val="000000"/>
          <w:lang w:val="pt-BR"/>
        </w:rPr>
        <w:t>s</w:t>
      </w:r>
      <w:r w:rsidR="003323B6" w:rsidRPr="00504C19">
        <w:rPr>
          <w:rFonts w:ascii="Arial" w:hAnsi="Arial" w:cs="Arial"/>
          <w:color w:val="000000"/>
          <w:lang w:val="pt-BR"/>
        </w:rPr>
        <w:t xml:space="preserve">a abordagem amplia a compreensão sobre o valor singular de cada individuo em contexto coletivos. </w:t>
      </w:r>
    </w:p>
    <w:p w14:paraId="6CEFF6DA" w14:textId="52A6C910" w:rsidR="00876F92" w:rsidRPr="00504C19" w:rsidRDefault="003323B6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Tais</w:t>
      </w:r>
      <w:r w:rsidR="00876F92" w:rsidRPr="00504C19">
        <w:rPr>
          <w:rFonts w:ascii="Arial" w:hAnsi="Arial" w:cs="Arial"/>
          <w:color w:val="000000"/>
          <w:lang w:val="pt-BR"/>
        </w:rPr>
        <w:t xml:space="preserve"> observações </w:t>
      </w:r>
      <w:r w:rsidR="00504C19" w:rsidRPr="00504C19">
        <w:rPr>
          <w:rFonts w:ascii="Arial" w:hAnsi="Arial" w:cs="Arial"/>
          <w:color w:val="000000"/>
          <w:lang w:val="pt-BR"/>
        </w:rPr>
        <w:t>indicam</w:t>
      </w:r>
      <w:r w:rsidR="00876F92" w:rsidRPr="00504C19">
        <w:rPr>
          <w:rFonts w:ascii="Arial" w:hAnsi="Arial" w:cs="Arial"/>
          <w:color w:val="000000"/>
          <w:lang w:val="pt-BR"/>
        </w:rPr>
        <w:t xml:space="preserve"> que o conhecimento sobre proclividades qualifica a escuta institucional, </w:t>
      </w:r>
      <w:r w:rsidRPr="00504C19">
        <w:rPr>
          <w:rFonts w:ascii="Arial" w:hAnsi="Arial" w:cs="Arial"/>
          <w:color w:val="000000"/>
          <w:lang w:val="pt-BR"/>
        </w:rPr>
        <w:t xml:space="preserve">favorecendo </w:t>
      </w:r>
      <w:r w:rsidR="00876F92" w:rsidRPr="00504C19">
        <w:rPr>
          <w:rFonts w:ascii="Arial" w:hAnsi="Arial" w:cs="Arial"/>
          <w:color w:val="000000"/>
          <w:lang w:val="pt-BR"/>
        </w:rPr>
        <w:t>estratégias pedagógicas mais coerentes com os perfis da comunidade escolar. Ao reconhecer</w:t>
      </w:r>
      <w:r w:rsidRPr="00504C19">
        <w:rPr>
          <w:rFonts w:ascii="Arial" w:hAnsi="Arial" w:cs="Arial"/>
          <w:color w:val="000000"/>
          <w:lang w:val="pt-BR"/>
        </w:rPr>
        <w:t xml:space="preserve"> múltiplas</w:t>
      </w:r>
      <w:r w:rsidR="00876F92" w:rsidRPr="00504C19">
        <w:rPr>
          <w:rFonts w:ascii="Arial" w:hAnsi="Arial" w:cs="Arial"/>
          <w:color w:val="000000"/>
          <w:lang w:val="pt-BR"/>
        </w:rPr>
        <w:t xml:space="preserve"> formas de contribuição, </w:t>
      </w:r>
      <w:r w:rsidR="00876F92" w:rsidRPr="00504C19">
        <w:rPr>
          <w:rFonts w:ascii="Arial" w:hAnsi="Arial" w:cs="Arial"/>
          <w:color w:val="000000"/>
          <w:lang w:val="pt-BR"/>
        </w:rPr>
        <w:lastRenderedPageBreak/>
        <w:t>amplia</w:t>
      </w:r>
      <w:r w:rsidRPr="00504C19">
        <w:rPr>
          <w:rFonts w:ascii="Arial" w:hAnsi="Arial" w:cs="Arial"/>
          <w:color w:val="000000"/>
          <w:lang w:val="pt-BR"/>
        </w:rPr>
        <w:t>m</w:t>
      </w:r>
      <w:r w:rsidR="00876F92" w:rsidRPr="00504C19">
        <w:rPr>
          <w:rFonts w:ascii="Arial" w:hAnsi="Arial" w:cs="Arial"/>
          <w:color w:val="000000"/>
          <w:lang w:val="pt-BR"/>
        </w:rPr>
        <w:t xml:space="preserve">-se </w:t>
      </w:r>
      <w:r w:rsidRPr="00504C19">
        <w:rPr>
          <w:rFonts w:ascii="Arial" w:hAnsi="Arial" w:cs="Arial"/>
          <w:color w:val="000000"/>
          <w:lang w:val="pt-BR"/>
        </w:rPr>
        <w:t>tanto</w:t>
      </w:r>
      <w:r w:rsidR="00876F92" w:rsidRPr="00504C19">
        <w:rPr>
          <w:rFonts w:ascii="Arial" w:hAnsi="Arial" w:cs="Arial"/>
          <w:color w:val="000000"/>
          <w:lang w:val="pt-BR"/>
        </w:rPr>
        <w:t xml:space="preserve"> a capacidade de resposta das instituições</w:t>
      </w:r>
      <w:r w:rsidRPr="00504C19">
        <w:rPr>
          <w:rFonts w:ascii="Arial" w:hAnsi="Arial" w:cs="Arial"/>
          <w:color w:val="000000"/>
          <w:lang w:val="pt-BR"/>
        </w:rPr>
        <w:t xml:space="preserve"> quanto</w:t>
      </w:r>
      <w:r w:rsidR="00876F92" w:rsidRPr="00504C19">
        <w:rPr>
          <w:rFonts w:ascii="Arial" w:hAnsi="Arial" w:cs="Arial"/>
          <w:color w:val="000000"/>
          <w:lang w:val="pt-BR"/>
        </w:rPr>
        <w:t xml:space="preserve"> o espaço para o protagonismo estudantil, </w:t>
      </w:r>
      <w:r w:rsidRPr="00504C19">
        <w:rPr>
          <w:rFonts w:ascii="Arial" w:hAnsi="Arial" w:cs="Arial"/>
          <w:color w:val="000000"/>
          <w:lang w:val="pt-BR"/>
        </w:rPr>
        <w:t>à</w:t>
      </w:r>
      <w:r w:rsidR="00876F92" w:rsidRPr="00504C19">
        <w:rPr>
          <w:rFonts w:ascii="Arial" w:hAnsi="Arial" w:cs="Arial"/>
          <w:color w:val="000000"/>
          <w:lang w:val="pt-BR"/>
        </w:rPr>
        <w:t xml:space="preserve"> medida que os sujeitos </w:t>
      </w:r>
      <w:r w:rsidRPr="00504C19">
        <w:rPr>
          <w:rFonts w:ascii="Arial" w:hAnsi="Arial" w:cs="Arial"/>
          <w:color w:val="000000"/>
          <w:lang w:val="pt-BR"/>
        </w:rPr>
        <w:t>são</w:t>
      </w:r>
      <w:r w:rsidR="00876F92" w:rsidRPr="00504C19">
        <w:rPr>
          <w:rFonts w:ascii="Arial" w:hAnsi="Arial" w:cs="Arial"/>
          <w:color w:val="000000"/>
          <w:lang w:val="pt-BR"/>
        </w:rPr>
        <w:t xml:space="preserve"> compreendidos em sua singularidade e </w:t>
      </w:r>
      <w:r w:rsidRPr="00504C19">
        <w:rPr>
          <w:rFonts w:ascii="Arial" w:hAnsi="Arial" w:cs="Arial"/>
          <w:color w:val="000000"/>
          <w:lang w:val="pt-BR"/>
        </w:rPr>
        <w:t>em</w:t>
      </w:r>
      <w:r w:rsidR="00876F92" w:rsidRPr="00504C19">
        <w:rPr>
          <w:rFonts w:ascii="Arial" w:hAnsi="Arial" w:cs="Arial"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 xml:space="preserve">suas </w:t>
      </w:r>
      <w:r w:rsidR="00876F92" w:rsidRPr="00504C19">
        <w:rPr>
          <w:rFonts w:ascii="Arial" w:hAnsi="Arial" w:cs="Arial"/>
          <w:color w:val="000000"/>
          <w:lang w:val="pt-BR"/>
        </w:rPr>
        <w:t xml:space="preserve">formas únicas </w:t>
      </w:r>
      <w:r w:rsidRPr="00504C19">
        <w:rPr>
          <w:rFonts w:ascii="Arial" w:hAnsi="Arial" w:cs="Arial"/>
          <w:color w:val="000000"/>
          <w:lang w:val="pt-BR"/>
        </w:rPr>
        <w:t>de engajar e</w:t>
      </w:r>
      <w:r w:rsidR="00876F92" w:rsidRPr="00504C19">
        <w:rPr>
          <w:rFonts w:ascii="Arial" w:hAnsi="Arial" w:cs="Arial"/>
          <w:color w:val="000000"/>
          <w:lang w:val="pt-BR"/>
        </w:rPr>
        <w:t xml:space="preserve"> impacta</w:t>
      </w:r>
      <w:r w:rsidRPr="00504C19">
        <w:rPr>
          <w:rFonts w:ascii="Arial" w:hAnsi="Arial" w:cs="Arial"/>
          <w:color w:val="000000"/>
          <w:lang w:val="pt-BR"/>
        </w:rPr>
        <w:t>r</w:t>
      </w:r>
      <w:r w:rsidR="00876F92" w:rsidRPr="00504C19">
        <w:rPr>
          <w:rFonts w:ascii="Arial" w:hAnsi="Arial" w:cs="Arial"/>
          <w:color w:val="000000"/>
          <w:lang w:val="pt-BR"/>
        </w:rPr>
        <w:t xml:space="preserve"> o mundo.</w:t>
      </w:r>
    </w:p>
    <w:p w14:paraId="4669AC60" w14:textId="2C7EE996" w:rsidR="0C591BAA" w:rsidRPr="00504C19" w:rsidRDefault="0C591BAA" w:rsidP="00DF040B">
      <w:pPr>
        <w:pStyle w:val="Texto"/>
      </w:pPr>
    </w:p>
    <w:p w14:paraId="48D133EA" w14:textId="2C12929C" w:rsidR="00707214" w:rsidRPr="00504C19" w:rsidRDefault="00FC4166" w:rsidP="004C446D">
      <w:pPr>
        <w:pStyle w:val="Heading1"/>
      </w:pPr>
      <w:r w:rsidRPr="00504C19">
        <w:t>5</w:t>
      </w:r>
      <w:r w:rsidR="0060173B" w:rsidRPr="00504C19">
        <w:t xml:space="preserve"> </w:t>
      </w:r>
      <w:r w:rsidR="00707214" w:rsidRPr="00504C19">
        <w:t>CONSIDERAÇÕES FINAIS</w:t>
      </w:r>
    </w:p>
    <w:p w14:paraId="1710C201" w14:textId="77777777" w:rsidR="003B0874" w:rsidRPr="00504C19" w:rsidRDefault="003B0874" w:rsidP="003B0874"/>
    <w:p w14:paraId="15E5D1C1" w14:textId="6CE5A53F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Este estudo analisou como diferentes proclividades de impacto se manifestam no cotidiano escolar e</w:t>
      </w:r>
      <w:r w:rsidR="003323B6" w:rsidRPr="00504C19">
        <w:rPr>
          <w:rFonts w:ascii="Arial" w:hAnsi="Arial" w:cs="Arial"/>
          <w:color w:val="000000"/>
          <w:lang w:val="pt-BR"/>
        </w:rPr>
        <w:t xml:space="preserve"> de que modo</w:t>
      </w:r>
      <w:r w:rsidRPr="00504C19">
        <w:rPr>
          <w:rFonts w:ascii="Arial" w:hAnsi="Arial" w:cs="Arial"/>
          <w:color w:val="000000"/>
          <w:lang w:val="pt-BR"/>
        </w:rPr>
        <w:t xml:space="preserve"> podem subsidiar práticas pedagógicas mais responsivas e inclusivas. O mapeamento revel</w:t>
      </w:r>
      <w:r w:rsidR="007D7C39" w:rsidRPr="00504C19">
        <w:rPr>
          <w:rFonts w:ascii="Arial" w:hAnsi="Arial" w:cs="Arial"/>
          <w:color w:val="000000"/>
          <w:lang w:val="pt-BR"/>
        </w:rPr>
        <w:t>ou</w:t>
      </w:r>
      <w:r w:rsidRPr="00504C19">
        <w:rPr>
          <w:rFonts w:ascii="Arial" w:hAnsi="Arial" w:cs="Arial"/>
          <w:color w:val="000000"/>
          <w:lang w:val="pt-BR"/>
        </w:rPr>
        <w:t xml:space="preserve"> a coexistência de estilos diversos entre estudantes e profissionais, </w:t>
      </w:r>
      <w:r w:rsidR="007D7C39" w:rsidRPr="00504C19">
        <w:rPr>
          <w:rFonts w:ascii="Arial" w:hAnsi="Arial" w:cs="Arial"/>
          <w:color w:val="000000"/>
          <w:lang w:val="pt-BR"/>
        </w:rPr>
        <w:t>sinalizando</w:t>
      </w:r>
      <w:r w:rsidRPr="00504C19">
        <w:rPr>
          <w:rFonts w:ascii="Arial" w:hAnsi="Arial" w:cs="Arial"/>
          <w:color w:val="000000"/>
          <w:lang w:val="pt-BR"/>
        </w:rPr>
        <w:t xml:space="preserve"> oportunidades para alinhar estratégias ao perfil da comunidade escolar.</w:t>
      </w:r>
    </w:p>
    <w:p w14:paraId="2CAC8A45" w14:textId="1E53E5F2" w:rsidR="00876F92" w:rsidRPr="00504C19" w:rsidRDefault="007D7C39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>Ainda que</w:t>
      </w:r>
      <w:r w:rsidR="00876F92" w:rsidRPr="00504C19">
        <w:rPr>
          <w:rFonts w:ascii="Arial" w:hAnsi="Arial" w:cs="Arial"/>
          <w:color w:val="000000"/>
          <w:lang w:val="pt-BR"/>
        </w:rPr>
        <w:t xml:space="preserve"> baseado em análise documental, o estudo evidenci</w:t>
      </w:r>
      <w:r w:rsidRPr="00504C19">
        <w:rPr>
          <w:rFonts w:ascii="Arial" w:hAnsi="Arial" w:cs="Arial"/>
          <w:color w:val="000000"/>
          <w:lang w:val="pt-BR"/>
        </w:rPr>
        <w:t>ou</w:t>
      </w:r>
      <w:r w:rsidR="00876F92" w:rsidRPr="00504C19">
        <w:rPr>
          <w:rFonts w:ascii="Arial" w:hAnsi="Arial" w:cs="Arial"/>
          <w:color w:val="000000"/>
          <w:lang w:val="pt-BR"/>
        </w:rPr>
        <w:t xml:space="preserve"> o potencial do GC Index® e do Young People Index® como ferramentas complementares à escuta institucional. Mais do que classificar indivíduos, esses instrumentos favorecem reflexões sobre o que mobiliza os sujeitos e como suas contribuições são reconhecidas</w:t>
      </w:r>
      <w:r w:rsidRPr="00504C19">
        <w:rPr>
          <w:rFonts w:ascii="Arial" w:hAnsi="Arial" w:cs="Arial"/>
          <w:color w:val="000000"/>
          <w:lang w:val="pt-BR"/>
        </w:rPr>
        <w:t xml:space="preserve"> (</w:t>
      </w:r>
      <w:r w:rsidR="00876F92" w:rsidRPr="00504C19">
        <w:rPr>
          <w:rFonts w:ascii="Arial" w:hAnsi="Arial" w:cs="Arial"/>
          <w:color w:val="000000"/>
          <w:lang w:val="pt-BR"/>
        </w:rPr>
        <w:t>ou não</w:t>
      </w:r>
      <w:r w:rsidRPr="00504C19">
        <w:rPr>
          <w:rFonts w:ascii="Arial" w:hAnsi="Arial" w:cs="Arial"/>
          <w:color w:val="000000"/>
          <w:lang w:val="pt-BR"/>
        </w:rPr>
        <w:t>)</w:t>
      </w:r>
      <w:r w:rsidR="00876F92" w:rsidRPr="00504C19">
        <w:rPr>
          <w:rFonts w:ascii="Arial" w:hAnsi="Arial" w:cs="Arial"/>
          <w:color w:val="000000"/>
          <w:lang w:val="pt-BR"/>
        </w:rPr>
        <w:t xml:space="preserve"> no contexto educacional.</w:t>
      </w:r>
    </w:p>
    <w:p w14:paraId="72413289" w14:textId="1E2E001D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Futuras investigações podem incorporar escutas qualitativas com estudantes e docentes, aprofundando a análise das dinâmicas relacionais à luz das proclividades e observando sua evolução ao longo do tempo. </w:t>
      </w:r>
      <w:r w:rsidR="007D7C39" w:rsidRPr="00504C19">
        <w:rPr>
          <w:rFonts w:ascii="Arial" w:hAnsi="Arial" w:cs="Arial"/>
          <w:color w:val="000000"/>
          <w:lang w:val="pt-BR"/>
        </w:rPr>
        <w:t>Também</w:t>
      </w:r>
      <w:r w:rsidRPr="00504C19">
        <w:rPr>
          <w:rFonts w:ascii="Arial" w:hAnsi="Arial" w:cs="Arial"/>
          <w:color w:val="000000"/>
          <w:lang w:val="pt-BR"/>
        </w:rPr>
        <w:t xml:space="preserve"> </w:t>
      </w:r>
      <w:r w:rsidR="007D7C39" w:rsidRPr="00504C19">
        <w:rPr>
          <w:rFonts w:ascii="Arial" w:hAnsi="Arial" w:cs="Arial"/>
          <w:color w:val="000000"/>
          <w:lang w:val="pt-BR"/>
        </w:rPr>
        <w:t>será</w:t>
      </w:r>
      <w:r w:rsidRPr="00504C19">
        <w:rPr>
          <w:rFonts w:ascii="Arial" w:hAnsi="Arial" w:cs="Arial"/>
          <w:color w:val="000000"/>
          <w:lang w:val="pt-BR"/>
        </w:rPr>
        <w:t xml:space="preserve"> relevante </w:t>
      </w:r>
      <w:r w:rsidR="007D7C39" w:rsidRPr="00504C19">
        <w:rPr>
          <w:rFonts w:ascii="Arial" w:hAnsi="Arial" w:cs="Arial"/>
          <w:color w:val="000000"/>
          <w:lang w:val="pt-BR"/>
        </w:rPr>
        <w:t>investigar</w:t>
      </w:r>
      <w:r w:rsidRPr="00504C19">
        <w:rPr>
          <w:rFonts w:ascii="Arial" w:hAnsi="Arial" w:cs="Arial"/>
          <w:color w:val="000000"/>
          <w:lang w:val="pt-BR"/>
        </w:rPr>
        <w:t xml:space="preserve"> como </w:t>
      </w:r>
      <w:r w:rsidR="007D7C39" w:rsidRPr="00504C19">
        <w:rPr>
          <w:rFonts w:ascii="Arial" w:hAnsi="Arial" w:cs="Arial"/>
          <w:color w:val="000000"/>
          <w:lang w:val="pt-BR"/>
        </w:rPr>
        <w:t xml:space="preserve">determinadas </w:t>
      </w:r>
      <w:r w:rsidRPr="00504C19">
        <w:rPr>
          <w:rFonts w:ascii="Arial" w:hAnsi="Arial" w:cs="Arial"/>
          <w:color w:val="000000"/>
          <w:lang w:val="pt-BR"/>
        </w:rPr>
        <w:t xml:space="preserve">praticas escolares </w:t>
      </w:r>
      <w:r w:rsidR="007D7C39" w:rsidRPr="00504C19">
        <w:rPr>
          <w:rFonts w:ascii="Arial" w:hAnsi="Arial" w:cs="Arial"/>
          <w:color w:val="000000"/>
          <w:lang w:val="pt-BR"/>
        </w:rPr>
        <w:t>favorecem</w:t>
      </w:r>
      <w:r w:rsidRPr="00504C19">
        <w:rPr>
          <w:rFonts w:ascii="Arial" w:hAnsi="Arial" w:cs="Arial"/>
          <w:color w:val="000000"/>
          <w:lang w:val="pt-BR"/>
        </w:rPr>
        <w:t xml:space="preserve"> ou inib</w:t>
      </w:r>
      <w:r w:rsidR="007D7C39" w:rsidRPr="00504C19">
        <w:rPr>
          <w:rFonts w:ascii="Arial" w:hAnsi="Arial" w:cs="Arial"/>
          <w:color w:val="000000"/>
          <w:lang w:val="pt-BR"/>
        </w:rPr>
        <w:t>em</w:t>
      </w:r>
      <w:r w:rsidRPr="00504C19">
        <w:rPr>
          <w:rFonts w:ascii="Arial" w:hAnsi="Arial" w:cs="Arial"/>
          <w:color w:val="000000"/>
          <w:lang w:val="pt-BR"/>
        </w:rPr>
        <w:t xml:space="preserve"> determinados estilos de </w:t>
      </w:r>
      <w:r w:rsidR="007D7C39" w:rsidRPr="00504C19">
        <w:rPr>
          <w:rFonts w:ascii="Arial" w:hAnsi="Arial" w:cs="Arial"/>
          <w:color w:val="000000"/>
          <w:lang w:val="pt-BR"/>
        </w:rPr>
        <w:t xml:space="preserve">engajamento, e consequentemente a convivência escolar. </w:t>
      </w:r>
    </w:p>
    <w:p w14:paraId="4A3C97D2" w14:textId="68903C46" w:rsidR="00876F92" w:rsidRPr="00504C19" w:rsidRDefault="00876F92" w:rsidP="00876F9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Ao </w:t>
      </w:r>
      <w:r w:rsidR="007D7C39" w:rsidRPr="00504C19">
        <w:rPr>
          <w:rFonts w:ascii="Arial" w:hAnsi="Arial" w:cs="Arial"/>
          <w:color w:val="000000"/>
          <w:lang w:val="pt-BR"/>
        </w:rPr>
        <w:t xml:space="preserve">reconhecer e </w:t>
      </w:r>
      <w:r w:rsidRPr="00504C19">
        <w:rPr>
          <w:rFonts w:ascii="Arial" w:hAnsi="Arial" w:cs="Arial"/>
          <w:color w:val="000000"/>
          <w:lang w:val="pt-BR"/>
        </w:rPr>
        <w:t xml:space="preserve">valorizar diferentes formas de </w:t>
      </w:r>
      <w:r w:rsidR="007D7C39" w:rsidRPr="00504C19">
        <w:rPr>
          <w:rFonts w:ascii="Arial" w:hAnsi="Arial" w:cs="Arial"/>
          <w:color w:val="000000"/>
          <w:lang w:val="pt-BR"/>
        </w:rPr>
        <w:t>atuação</w:t>
      </w:r>
      <w:r w:rsidRPr="00504C19">
        <w:rPr>
          <w:rFonts w:ascii="Arial" w:hAnsi="Arial" w:cs="Arial"/>
          <w:color w:val="000000"/>
          <w:lang w:val="pt-BR"/>
        </w:rPr>
        <w:t xml:space="preserve">, a escola </w:t>
      </w:r>
      <w:r w:rsidR="003B0874" w:rsidRPr="00504C19">
        <w:rPr>
          <w:rFonts w:ascii="Arial" w:hAnsi="Arial" w:cs="Arial"/>
          <w:color w:val="000000"/>
          <w:lang w:val="pt-BR"/>
        </w:rPr>
        <w:t>avança</w:t>
      </w:r>
      <w:r w:rsidRPr="00504C19">
        <w:rPr>
          <w:rFonts w:ascii="Arial" w:hAnsi="Arial" w:cs="Arial"/>
          <w:color w:val="000000"/>
          <w:lang w:val="pt-BR"/>
        </w:rPr>
        <w:t xml:space="preserve"> rumo a uma pedagogia mais dialógica, em que a diversidade se transforma em recurso coletivo e cada estudante aprende também sobre si: o que o move, como prefere agir e como pode impactar o mundo ao seu redor.</w:t>
      </w:r>
    </w:p>
    <w:p w14:paraId="2EABA2E7" w14:textId="77777777" w:rsidR="00126DD2" w:rsidRPr="00504C19" w:rsidRDefault="00126DD2" w:rsidP="00DF040B">
      <w:pPr>
        <w:pStyle w:val="Texto"/>
      </w:pPr>
    </w:p>
    <w:p w14:paraId="7F32F155" w14:textId="78EF4FA4" w:rsidR="006306D9" w:rsidRPr="00504C19" w:rsidRDefault="00707214" w:rsidP="003B0874">
      <w:pPr>
        <w:pStyle w:val="TtulosNoNumerados"/>
        <w:jc w:val="center"/>
      </w:pPr>
      <w:r w:rsidRPr="00504C19">
        <w:t>REFERÊNCIAS</w:t>
      </w:r>
    </w:p>
    <w:p w14:paraId="117AEC8D" w14:textId="77777777" w:rsidR="003B0874" w:rsidRPr="00504C19" w:rsidRDefault="003B0874" w:rsidP="003B0874">
      <w:pPr>
        <w:pStyle w:val="TtulosNoNumerados"/>
        <w:jc w:val="center"/>
      </w:pPr>
    </w:p>
    <w:p w14:paraId="1DD8DC0E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pt-BR"/>
        </w:rPr>
      </w:pPr>
      <w:r w:rsidRPr="00504C19">
        <w:rPr>
          <w:rStyle w:val="Strong"/>
          <w:rFonts w:ascii="Arial" w:eastAsiaTheme="majorEastAsia" w:hAnsi="Arial" w:cs="Arial"/>
          <w:color w:val="000000"/>
          <w:lang w:val="pt-BR"/>
        </w:rPr>
        <w:t>ANDRÉ, Marli Eliza Dalmazo Afonso de.</w:t>
      </w:r>
      <w:r w:rsidRPr="00504C19">
        <w:rPr>
          <w:rStyle w:val="apple-converted-space"/>
          <w:rFonts w:ascii="Arial" w:eastAsiaTheme="majorEastAsia" w:hAnsi="Arial" w:cs="Arial"/>
          <w:b/>
          <w:bCs/>
          <w:color w:val="000000"/>
          <w:lang w:val="pt-BR"/>
        </w:rPr>
        <w:t> </w:t>
      </w:r>
      <w:r w:rsidRPr="00504C19">
        <w:rPr>
          <w:rFonts w:ascii="Arial" w:hAnsi="Arial" w:cs="Arial"/>
          <w:color w:val="000000"/>
          <w:lang w:val="pt-BR"/>
        </w:rPr>
        <w:t>Estudo de caso: sua concepção e realização.</w:t>
      </w:r>
      <w:r w:rsidRPr="00504C19">
        <w:rPr>
          <w:rStyle w:val="apple-converted-space"/>
          <w:rFonts w:ascii="Arial" w:eastAsiaTheme="majorEastAsia" w:hAnsi="Arial" w:cs="Arial"/>
          <w:b/>
          <w:bCs/>
          <w:i/>
          <w:iCs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b/>
          <w:bCs/>
          <w:color w:val="000000"/>
          <w:lang w:val="pt-BR"/>
        </w:rPr>
        <w:t>Cadernos de Pesquisa</w:t>
      </w:r>
      <w:r w:rsidRPr="00504C19">
        <w:rPr>
          <w:rFonts w:ascii="Arial" w:hAnsi="Arial" w:cs="Arial"/>
          <w:b/>
          <w:bCs/>
          <w:i/>
          <w:iCs/>
          <w:color w:val="000000"/>
          <w:lang w:val="pt-BR"/>
        </w:rPr>
        <w:t>,</w:t>
      </w:r>
      <w:r w:rsidRPr="00504C19">
        <w:rPr>
          <w:rFonts w:ascii="Arial" w:hAnsi="Arial" w:cs="Arial"/>
          <w:b/>
          <w:bCs/>
          <w:color w:val="000000"/>
          <w:lang w:val="pt-BR"/>
        </w:rPr>
        <w:t xml:space="preserve"> </w:t>
      </w:r>
      <w:r w:rsidRPr="00504C19">
        <w:rPr>
          <w:rFonts w:ascii="Arial" w:hAnsi="Arial" w:cs="Arial"/>
          <w:color w:val="000000"/>
          <w:lang w:val="pt-BR"/>
        </w:rPr>
        <w:t>São Paulo, n. 114, p. 51–54, 2001.</w:t>
      </w:r>
    </w:p>
    <w:p w14:paraId="237EC500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ANTUNES, Celso. </w:t>
      </w:r>
      <w:r w:rsidRPr="00504C19">
        <w:rPr>
          <w:rFonts w:ascii="Arial" w:hAnsi="Arial" w:cs="Arial"/>
          <w:b/>
          <w:bCs/>
          <w:color w:val="000000"/>
          <w:lang w:val="pt-BR"/>
        </w:rPr>
        <w:t>As inteligências múltiplas e seus estímulos</w:t>
      </w:r>
      <w:r w:rsidRPr="00504C19">
        <w:rPr>
          <w:rFonts w:ascii="Arial" w:hAnsi="Arial" w:cs="Arial"/>
          <w:color w:val="000000"/>
          <w:lang w:val="pt-BR"/>
        </w:rPr>
        <w:t>. Campinas, SP: Papirus, 2012.</w:t>
      </w:r>
    </w:p>
    <w:p w14:paraId="51586884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BOURDIEU, Pierre; PASSERON, Jean-Claude. </w:t>
      </w:r>
      <w:r w:rsidRPr="00504C19">
        <w:rPr>
          <w:rFonts w:ascii="Arial" w:hAnsi="Arial" w:cs="Arial"/>
          <w:b/>
          <w:bCs/>
          <w:color w:val="000000"/>
          <w:lang w:val="pt-BR"/>
        </w:rPr>
        <w:t xml:space="preserve">A reprodução: elementos para uma teoria do sistema de ensino. </w:t>
      </w:r>
      <w:r w:rsidRPr="00504C19">
        <w:rPr>
          <w:rFonts w:ascii="Arial" w:hAnsi="Arial" w:cs="Arial"/>
          <w:color w:val="000000"/>
          <w:lang w:val="pt-BR"/>
        </w:rPr>
        <w:t>6. ed. Petrópolis: Vozes, 2014.</w:t>
      </w:r>
    </w:p>
    <w:p w14:paraId="47AE6FC9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lastRenderedPageBreak/>
        <w:t xml:space="preserve">DAMON, William. </w:t>
      </w:r>
      <w:r w:rsidRPr="00504C19">
        <w:rPr>
          <w:rFonts w:ascii="Arial" w:hAnsi="Arial" w:cs="Arial"/>
          <w:b/>
          <w:bCs/>
          <w:color w:val="000000"/>
          <w:lang w:val="pt-BR"/>
        </w:rPr>
        <w:t>The path to purpose: helping our children find their calling in life.</w:t>
      </w:r>
      <w:r w:rsidRPr="00504C19">
        <w:rPr>
          <w:rFonts w:ascii="Arial" w:hAnsi="Arial" w:cs="Arial"/>
          <w:color w:val="000000"/>
          <w:lang w:val="pt-BR"/>
        </w:rPr>
        <w:t xml:space="preserve"> New York: Free Press, 2008.</w:t>
      </w:r>
    </w:p>
    <w:p w14:paraId="0A035813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DAY, Christopher; GU, Qing. </w:t>
      </w:r>
      <w:r w:rsidRPr="00504C19">
        <w:rPr>
          <w:rFonts w:ascii="Arial" w:hAnsi="Arial" w:cs="Arial"/>
          <w:b/>
          <w:bCs/>
          <w:color w:val="000000"/>
          <w:lang w:val="pt-BR"/>
        </w:rPr>
        <w:t>The new lives of teachers</w:t>
      </w:r>
      <w:r w:rsidRPr="00504C19">
        <w:rPr>
          <w:rFonts w:ascii="Arial" w:hAnsi="Arial" w:cs="Arial"/>
          <w:color w:val="000000"/>
          <w:lang w:val="pt-BR"/>
        </w:rPr>
        <w:t>. London: Routledge, 2010.</w:t>
      </w:r>
    </w:p>
    <w:p w14:paraId="3D569384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DUBET, François. </w:t>
      </w:r>
      <w:r w:rsidRPr="00504C19">
        <w:rPr>
          <w:rFonts w:ascii="Arial" w:hAnsi="Arial" w:cs="Arial"/>
          <w:b/>
          <w:bCs/>
          <w:color w:val="000000"/>
          <w:lang w:val="pt-BR"/>
        </w:rPr>
        <w:t>O que é uma escola justa? Cadernos de Pesquisa</w:t>
      </w:r>
      <w:r w:rsidRPr="00504C19">
        <w:rPr>
          <w:rFonts w:ascii="Arial" w:hAnsi="Arial" w:cs="Arial"/>
          <w:color w:val="000000"/>
          <w:lang w:val="pt-BR"/>
        </w:rPr>
        <w:t>, São Paulo, v. 34, n. 123, p. 539–555, set./dez. 2004. Disponível em:</w:t>
      </w:r>
      <w:r w:rsidRPr="00504C19">
        <w:rPr>
          <w:rStyle w:val="apple-converted-space"/>
          <w:rFonts w:ascii="Arial" w:hAnsi="Arial" w:cs="Arial"/>
          <w:color w:val="000000"/>
          <w:lang w:val="pt-BR"/>
        </w:rPr>
        <w:t> </w:t>
      </w:r>
      <w:hyperlink r:id="rId10" w:history="1">
        <w:r w:rsidRPr="00504C19">
          <w:rPr>
            <w:rStyle w:val="Hyperlink"/>
            <w:rFonts w:ascii="Arial" w:hAnsi="Arial" w:cs="Arial"/>
            <w:lang w:val="pt-BR"/>
          </w:rPr>
          <w:t>https://www.scielo.br/j/cp/a/jLBWTVHsRGSNm78HxCWdHRQ</w:t>
        </w:r>
      </w:hyperlink>
      <w:r w:rsidRPr="00504C19">
        <w:rPr>
          <w:rFonts w:ascii="Arial" w:hAnsi="Arial" w:cs="Arial"/>
          <w:color w:val="000000"/>
          <w:lang w:val="pt-BR"/>
        </w:rPr>
        <w:t>. Acesso em: 26 out. 2025.</w:t>
      </w:r>
    </w:p>
    <w:p w14:paraId="3D65F4C9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FREDRICKS, Jennifer A.; BLUMENFELD, Phyllis C.; PARIS, Alison H. School engagement: potential of the concept, state of the evidence. </w:t>
      </w:r>
      <w:r w:rsidRPr="00504C19">
        <w:rPr>
          <w:rFonts w:ascii="Arial" w:hAnsi="Arial" w:cs="Arial"/>
          <w:b/>
          <w:bCs/>
          <w:color w:val="000000"/>
          <w:lang w:val="pt-BR"/>
        </w:rPr>
        <w:t>Review of Educational Research</w:t>
      </w:r>
      <w:r w:rsidRPr="00504C19">
        <w:rPr>
          <w:rFonts w:ascii="Arial" w:hAnsi="Arial" w:cs="Arial"/>
          <w:color w:val="000000"/>
          <w:lang w:val="pt-BR"/>
        </w:rPr>
        <w:t>, v. 74, n. 1, p. 59–109, 2004.</w:t>
      </w:r>
    </w:p>
    <w:p w14:paraId="0B6CA7F4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/>
          <w:lang w:val="pt-BR"/>
        </w:rPr>
      </w:pPr>
      <w:r w:rsidRPr="00504C19">
        <w:rPr>
          <w:rStyle w:val="Strong"/>
          <w:rFonts w:ascii="Arial" w:eastAsiaTheme="majorEastAsia" w:hAnsi="Arial" w:cs="Arial"/>
          <w:color w:val="000000"/>
          <w:lang w:val="pt-BR"/>
        </w:rPr>
        <w:t>JENKINS, Henry.</w:t>
      </w:r>
      <w:r w:rsidRPr="00504C19">
        <w:rPr>
          <w:rStyle w:val="apple-converted-space"/>
          <w:rFonts w:ascii="Arial" w:eastAsiaTheme="majorEastAsia" w:hAnsi="Arial" w:cs="Arial"/>
          <w:b/>
          <w:bCs/>
          <w:color w:val="000000"/>
          <w:lang w:val="pt-BR"/>
        </w:rPr>
        <w:t xml:space="preserve"> </w:t>
      </w:r>
      <w:r w:rsidRPr="00504C19">
        <w:rPr>
          <w:rStyle w:val="Emphasis"/>
          <w:rFonts w:ascii="Arial" w:eastAsiaTheme="majorEastAsia" w:hAnsi="Arial" w:cs="Arial"/>
          <w:b/>
          <w:bCs/>
          <w:color w:val="000000"/>
          <w:lang w:val="pt-BR"/>
        </w:rPr>
        <w:t>Cultura da convergência</w:t>
      </w:r>
      <w:r w:rsidRPr="00504C19">
        <w:rPr>
          <w:rFonts w:ascii="Arial" w:hAnsi="Arial" w:cs="Arial"/>
          <w:b/>
          <w:bCs/>
          <w:color w:val="000000"/>
          <w:lang w:val="pt-BR"/>
        </w:rPr>
        <w:t xml:space="preserve">. </w:t>
      </w:r>
      <w:r w:rsidRPr="00504C19">
        <w:rPr>
          <w:rFonts w:ascii="Arial" w:hAnsi="Arial" w:cs="Arial"/>
          <w:color w:val="000000"/>
          <w:lang w:val="pt-BR"/>
        </w:rPr>
        <w:t>São Paulo: Aleph, 2009.</w:t>
      </w:r>
    </w:p>
    <w:p w14:paraId="6273E274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KENSKI, Vani Moreira. </w:t>
      </w:r>
      <w:r w:rsidRPr="00504C19">
        <w:rPr>
          <w:rFonts w:ascii="Arial" w:hAnsi="Arial" w:cs="Arial"/>
          <w:b/>
          <w:bCs/>
          <w:color w:val="000000"/>
          <w:lang w:val="pt-BR"/>
        </w:rPr>
        <w:t>Educação e tecnologias: o novo ritmo da informação</w:t>
      </w:r>
      <w:r w:rsidRPr="00504C19">
        <w:rPr>
          <w:rFonts w:ascii="Arial" w:hAnsi="Arial" w:cs="Arial"/>
          <w:color w:val="000000"/>
          <w:lang w:val="pt-BR"/>
        </w:rPr>
        <w:t>. 5. ed. Campinas: Papirus, 2007.</w:t>
      </w:r>
    </w:p>
    <w:p w14:paraId="12C3596E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LEMOS, André. </w:t>
      </w:r>
      <w:r w:rsidRPr="00504C19">
        <w:rPr>
          <w:rFonts w:ascii="Arial" w:hAnsi="Arial" w:cs="Arial"/>
          <w:b/>
          <w:bCs/>
          <w:color w:val="000000"/>
          <w:lang w:val="pt-BR"/>
        </w:rPr>
        <w:t>Cibercultura.</w:t>
      </w:r>
      <w:r w:rsidRPr="00504C19">
        <w:rPr>
          <w:rFonts w:ascii="Arial" w:hAnsi="Arial" w:cs="Arial"/>
          <w:color w:val="000000"/>
          <w:lang w:val="pt-BR"/>
        </w:rPr>
        <w:t xml:space="preserve"> São Paulo: Sulina, 2013.</w:t>
      </w:r>
    </w:p>
    <w:p w14:paraId="6B4A89E7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MARTINS, José de Souza. </w:t>
      </w:r>
      <w:r w:rsidRPr="00504C19">
        <w:rPr>
          <w:rFonts w:ascii="Arial" w:hAnsi="Arial" w:cs="Arial"/>
          <w:b/>
          <w:bCs/>
          <w:color w:val="000000"/>
          <w:lang w:val="pt-BR"/>
        </w:rPr>
        <w:t>A sociologia da juventude.</w:t>
      </w:r>
      <w:r w:rsidRPr="00504C19">
        <w:rPr>
          <w:rFonts w:ascii="Arial" w:hAnsi="Arial" w:cs="Arial"/>
          <w:color w:val="000000"/>
          <w:lang w:val="pt-BR"/>
        </w:rPr>
        <w:t xml:space="preserve"> São Paulo: Contexto, 2009.</w:t>
      </w:r>
    </w:p>
    <w:p w14:paraId="259964EC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MERVYN-SMITH, John.; OTT, Nathan. </w:t>
      </w:r>
      <w:r w:rsidRPr="00504C19">
        <w:rPr>
          <w:rFonts w:ascii="Arial" w:hAnsi="Arial" w:cs="Arial"/>
          <w:b/>
          <w:bCs/>
          <w:color w:val="000000"/>
          <w:lang w:val="pt-BR"/>
        </w:rPr>
        <w:t>The psychology and dynamics of human energy: how aligning energy to impact can transform the workplace.</w:t>
      </w:r>
      <w:r w:rsidRPr="00504C19">
        <w:rPr>
          <w:rFonts w:ascii="Arial" w:hAnsi="Arial" w:cs="Arial"/>
          <w:color w:val="000000"/>
          <w:lang w:val="pt-BR"/>
        </w:rPr>
        <w:t xml:space="preserve"> Londres: Choir Press, 2025.</w:t>
      </w:r>
    </w:p>
    <w:p w14:paraId="08C16AE9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MINAYO, Maria Cecília de Souza. </w:t>
      </w:r>
      <w:r w:rsidRPr="00504C19">
        <w:rPr>
          <w:rFonts w:ascii="Arial" w:hAnsi="Arial" w:cs="Arial"/>
          <w:b/>
          <w:bCs/>
          <w:color w:val="000000"/>
          <w:lang w:val="pt-BR"/>
        </w:rPr>
        <w:t>O desafio do conhecimento: pesquisa qualitativa em saúde.</w:t>
      </w:r>
      <w:r w:rsidRPr="00504C19">
        <w:rPr>
          <w:rFonts w:ascii="Arial" w:hAnsi="Arial" w:cs="Arial"/>
          <w:color w:val="000000"/>
          <w:lang w:val="pt-BR"/>
        </w:rPr>
        <w:t xml:space="preserve"> 7. ed. São Paulo: Hucitec, 2001.</w:t>
      </w:r>
    </w:p>
    <w:p w14:paraId="7F2F1075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RYAN, Richard M.; DECI, Edward L. Self-determination theory and the facilitation of intrinsic motivation, social development, and well-being. </w:t>
      </w:r>
      <w:r w:rsidRPr="00504C19">
        <w:rPr>
          <w:rFonts w:ascii="Arial" w:hAnsi="Arial" w:cs="Arial"/>
          <w:b/>
          <w:bCs/>
          <w:color w:val="000000"/>
          <w:lang w:val="pt-BR"/>
        </w:rPr>
        <w:t xml:space="preserve">American Psychologist, </w:t>
      </w:r>
      <w:r w:rsidRPr="00504C19">
        <w:rPr>
          <w:rFonts w:ascii="Arial" w:hAnsi="Arial" w:cs="Arial"/>
          <w:color w:val="000000"/>
          <w:lang w:val="pt-BR"/>
        </w:rPr>
        <w:t>v. 55, n. 1, p. 68–78, 2000.</w:t>
      </w:r>
    </w:p>
    <w:p w14:paraId="4B9751F6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SAVIANI, Dermeval. </w:t>
      </w:r>
      <w:r w:rsidRPr="00504C19">
        <w:rPr>
          <w:rFonts w:ascii="Arial" w:hAnsi="Arial" w:cs="Arial"/>
          <w:b/>
          <w:bCs/>
          <w:color w:val="000000"/>
          <w:lang w:val="pt-BR"/>
        </w:rPr>
        <w:t>Escola e democracia: teorias da educação, curvatura da vara, onze teses sobre educação e política.</w:t>
      </w:r>
      <w:r w:rsidRPr="00504C19">
        <w:rPr>
          <w:rFonts w:ascii="Arial" w:hAnsi="Arial" w:cs="Arial"/>
          <w:color w:val="000000"/>
          <w:lang w:val="pt-BR"/>
        </w:rPr>
        <w:t xml:space="preserve"> 42. ed. Campinas: Autores Associados, 2013.</w:t>
      </w:r>
    </w:p>
    <w:p w14:paraId="07303525" w14:textId="77777777" w:rsidR="00876F92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iCs/>
          <w:color w:val="000000"/>
          <w:lang w:val="pt-BR"/>
        </w:rPr>
      </w:pPr>
      <w:r w:rsidRPr="00504C19">
        <w:rPr>
          <w:rStyle w:val="Strong"/>
          <w:rFonts w:ascii="Arial" w:hAnsi="Arial" w:cs="Arial"/>
          <w:color w:val="000000"/>
          <w:lang w:val="pt-BR"/>
        </w:rPr>
        <w:t>THE GC INDEX.</w:t>
      </w:r>
      <w:r w:rsidRPr="00504C19">
        <w:rPr>
          <w:rStyle w:val="apple-converted-space"/>
          <w:rFonts w:ascii="Arial" w:hAnsi="Arial" w:cs="Arial"/>
          <w:color w:val="000000"/>
          <w:lang w:val="pt-BR"/>
        </w:rPr>
        <w:t xml:space="preserve"> </w:t>
      </w:r>
      <w:r w:rsidRPr="00504C19">
        <w:rPr>
          <w:rStyle w:val="Emphasis"/>
          <w:rFonts w:ascii="Arial" w:hAnsi="Arial" w:cs="Arial"/>
          <w:b/>
          <w:bCs/>
          <w:color w:val="000000"/>
          <w:lang w:val="pt-BR"/>
        </w:rPr>
        <w:t>GC Index® Institutional Reports – School Data Analysis.</w:t>
      </w:r>
      <w:r w:rsidRPr="00504C19">
        <w:rPr>
          <w:rStyle w:val="apple-converted-space"/>
          <w:rFonts w:ascii="Arial" w:hAnsi="Arial" w:cs="Arial"/>
          <w:b/>
          <w:bCs/>
          <w:i/>
          <w:iCs/>
          <w:color w:val="000000"/>
          <w:lang w:val="pt-BR"/>
        </w:rPr>
        <w:t> </w:t>
      </w:r>
      <w:r w:rsidRPr="00504C19">
        <w:rPr>
          <w:rFonts w:ascii="Arial" w:hAnsi="Arial" w:cs="Arial"/>
          <w:color w:val="000000"/>
          <w:lang w:val="pt-BR"/>
        </w:rPr>
        <w:t>London: The GC People Company, 2022. [relatório interno, não publicado].</w:t>
      </w:r>
    </w:p>
    <w:p w14:paraId="400A594F" w14:textId="20B00B74" w:rsidR="001E54C1" w:rsidRPr="00504C19" w:rsidRDefault="00876F92" w:rsidP="00876F92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lang w:val="pt-BR"/>
        </w:rPr>
      </w:pPr>
      <w:r w:rsidRPr="00504C19">
        <w:rPr>
          <w:rFonts w:ascii="Arial" w:hAnsi="Arial" w:cs="Arial"/>
          <w:color w:val="000000"/>
          <w:lang w:val="pt-BR"/>
        </w:rPr>
        <w:t xml:space="preserve">UNESCO. </w:t>
      </w:r>
      <w:r w:rsidRPr="00504C19">
        <w:rPr>
          <w:rFonts w:ascii="Arial" w:hAnsi="Arial" w:cs="Arial"/>
          <w:b/>
          <w:bCs/>
          <w:color w:val="000000"/>
          <w:lang w:val="pt-BR"/>
        </w:rPr>
        <w:t>Relatório de monitoramento global da educação 2016: educação para as pessoas e o planeta – criar futuros sustentáveis para todos.</w:t>
      </w:r>
      <w:r w:rsidRPr="00504C19">
        <w:rPr>
          <w:rFonts w:ascii="Arial" w:hAnsi="Arial" w:cs="Arial"/>
          <w:color w:val="000000"/>
          <w:lang w:val="pt-BR"/>
        </w:rPr>
        <w:t xml:space="preserve"> Paris: UNESCO, 2016. Disponível em:</w:t>
      </w:r>
      <w:r w:rsidRPr="00504C19">
        <w:rPr>
          <w:rStyle w:val="apple-converted-space"/>
          <w:rFonts w:ascii="Arial" w:hAnsi="Arial" w:cs="Arial"/>
          <w:color w:val="000000"/>
          <w:lang w:val="pt-BR"/>
        </w:rPr>
        <w:t> </w:t>
      </w:r>
      <w:hyperlink r:id="rId11" w:history="1">
        <w:r w:rsidRPr="00504C19">
          <w:rPr>
            <w:rStyle w:val="Hyperlink"/>
            <w:rFonts w:ascii="Arial" w:hAnsi="Arial" w:cs="Arial"/>
            <w:lang w:val="pt-BR"/>
          </w:rPr>
          <w:t>https://unesdoc.unesco.org/</w:t>
        </w:r>
        <w:proofErr w:type="spellStart"/>
        <w:r w:rsidRPr="00504C19">
          <w:rPr>
            <w:rStyle w:val="Hyperlink"/>
            <w:rFonts w:ascii="Arial" w:hAnsi="Arial" w:cs="Arial"/>
            <w:lang w:val="pt-BR"/>
          </w:rPr>
          <w:t>ark</w:t>
        </w:r>
        <w:proofErr w:type="spellEnd"/>
        <w:r w:rsidRPr="00504C19">
          <w:rPr>
            <w:rStyle w:val="Hyperlink"/>
            <w:rFonts w:ascii="Arial" w:hAnsi="Arial" w:cs="Arial"/>
            <w:lang w:val="pt-BR"/>
          </w:rPr>
          <w:t>:/48223/pf0000246230</w:t>
        </w:r>
      </w:hyperlink>
      <w:r w:rsidRPr="00504C19">
        <w:rPr>
          <w:rFonts w:ascii="Arial" w:hAnsi="Arial" w:cs="Arial"/>
          <w:color w:val="000000"/>
          <w:lang w:val="pt-BR"/>
        </w:rPr>
        <w:t>. Acesso em: 18 out. 2025.</w:t>
      </w:r>
    </w:p>
    <w:sectPr w:rsidR="001E54C1" w:rsidRPr="00504C19" w:rsidSect="004C446D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BDAAE" w14:textId="77777777" w:rsidR="001A6915" w:rsidRDefault="001A6915" w:rsidP="00026BCD">
      <w:pPr>
        <w:spacing w:line="240" w:lineRule="auto"/>
      </w:pPr>
      <w:r>
        <w:separator/>
      </w:r>
    </w:p>
  </w:endnote>
  <w:endnote w:type="continuationSeparator" w:id="0">
    <w:p w14:paraId="3F6635F4" w14:textId="77777777" w:rsidR="001A6915" w:rsidRDefault="001A6915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98BD" w14:textId="77777777" w:rsidR="001A6915" w:rsidRDefault="001A6915" w:rsidP="00026BCD">
      <w:pPr>
        <w:spacing w:line="240" w:lineRule="auto"/>
      </w:pPr>
      <w:r>
        <w:separator/>
      </w:r>
    </w:p>
  </w:footnote>
  <w:footnote w:type="continuationSeparator" w:id="0">
    <w:p w14:paraId="3CE166AF" w14:textId="77777777" w:rsidR="001A6915" w:rsidRDefault="001A6915" w:rsidP="00026BCD">
      <w:pPr>
        <w:spacing w:line="240" w:lineRule="auto"/>
      </w:pPr>
      <w:r>
        <w:continuationSeparator/>
      </w:r>
    </w:p>
  </w:footnote>
  <w:footnote w:id="1">
    <w:p w14:paraId="71074806" w14:textId="77777777" w:rsidR="00CA32DA" w:rsidRPr="001C16A8" w:rsidRDefault="00CA32DA" w:rsidP="00CA32DA">
      <w:pPr>
        <w:pStyle w:val="TtulosNoNumerados"/>
        <w:adjustRightInd w:val="0"/>
        <w:spacing w:line="240" w:lineRule="auto"/>
        <w:ind w:left="142" w:hanging="142"/>
        <w:rPr>
          <w:b w:val="0"/>
          <w:bCs w:val="0"/>
          <w:sz w:val="20"/>
          <w:szCs w:val="20"/>
        </w:rPr>
      </w:pPr>
      <w:r w:rsidRPr="00250E5E">
        <w:rPr>
          <w:rStyle w:val="FootnoteReference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Pr="0098696E">
        <w:rPr>
          <w:rFonts w:eastAsia="Arial"/>
          <w:b w:val="0"/>
          <w:bCs w:val="0"/>
          <w:sz w:val="20"/>
          <w:szCs w:val="20"/>
        </w:rPr>
        <w:t xml:space="preserve">Mestre em Psicologia Organizacional, Florianópolis, Santa Catarina, Brasil, </w:t>
      </w:r>
      <w:hyperlink r:id="rId1" w:history="1">
        <w:r w:rsidRPr="0098696E">
          <w:rPr>
            <w:rStyle w:val="Hyperlink"/>
            <w:rFonts w:eastAsia="Arial"/>
            <w:b w:val="0"/>
            <w:bCs w:val="0"/>
            <w:sz w:val="20"/>
            <w:szCs w:val="20"/>
          </w:rPr>
          <w:t>ledolenga@gmail.com</w:t>
        </w:r>
      </w:hyperlink>
    </w:p>
  </w:footnote>
  <w:footnote w:id="2">
    <w:p w14:paraId="3F630C6F" w14:textId="77777777" w:rsidR="00CA32DA" w:rsidRPr="0098696E" w:rsidRDefault="00CA32DA" w:rsidP="00CA32DA">
      <w:pPr>
        <w:pStyle w:val="FootnoteText"/>
        <w:adjustRightInd w:val="0"/>
        <w:ind w:left="142" w:hanging="142"/>
      </w:pPr>
      <w:r w:rsidRPr="0098696E">
        <w:rPr>
          <w:rStyle w:val="FootnoteReference"/>
          <w:rFonts w:ascii="Arial" w:hAnsi="Arial" w:cs="Arial"/>
        </w:rPr>
        <w:footnoteRef/>
      </w:r>
      <w:r w:rsidRPr="0098696E">
        <w:rPr>
          <w:rFonts w:ascii="Arial" w:hAnsi="Arial" w:cs="Arial"/>
        </w:rPr>
        <w:t xml:space="preserve"> Doutor em Psicologia, The GC Index</w:t>
      </w:r>
      <w:r w:rsidRPr="00DB7790">
        <w:rPr>
          <w:rFonts w:ascii="Arial" w:hAnsi="Arial" w:cs="Arial"/>
          <w:color w:val="000000"/>
        </w:rPr>
        <w:t>®</w:t>
      </w:r>
      <w:r w:rsidRPr="0098696E">
        <w:rPr>
          <w:rFonts w:ascii="Arial" w:hAnsi="Arial" w:cs="Arial"/>
        </w:rPr>
        <w:t xml:space="preserve">, Londres, Reino Unido, </w:t>
      </w:r>
      <w:hyperlink r:id="rId2" w:history="1">
        <w:r w:rsidRPr="00784CF5">
          <w:rPr>
            <w:rStyle w:val="Hyperlink"/>
            <w:rFonts w:ascii="Arial" w:hAnsi="Arial" w:cs="Arial"/>
          </w:rPr>
          <w:t>dr.gc@t</w:t>
        </w:r>
        <w:r w:rsidRPr="00784CF5">
          <w:rPr>
            <w:rStyle w:val="Hyperlink"/>
            <w:rFonts w:ascii="Arial" w:hAnsi="Arial" w:cs="Arial"/>
          </w:rPr>
          <w:t>h</w:t>
        </w:r>
        <w:r w:rsidRPr="00784CF5">
          <w:rPr>
            <w:rStyle w:val="Hyperlink"/>
            <w:rFonts w:ascii="Arial" w:hAnsi="Arial" w:cs="Arial"/>
          </w:rPr>
          <w:t>egcindex.com</w:t>
        </w:r>
      </w:hyperlink>
      <w:r>
        <w:rPr>
          <w:rFonts w:ascii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5E4" w14:textId="604B6F8E" w:rsidR="008562B7" w:rsidRDefault="001A6915">
    <w:pPr>
      <w:pStyle w:val="Header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C001" w14:textId="675325A4" w:rsidR="34CB68DF" w:rsidRDefault="001A6915" w:rsidP="00E31A9B">
    <w:pPr>
      <w:pStyle w:val="Header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FA9C" w14:textId="4E46BFD7" w:rsidR="008562B7" w:rsidRDefault="001A6915">
    <w:pPr>
      <w:pStyle w:val="Header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3117C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A6915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8034C"/>
    <w:rsid w:val="0029403C"/>
    <w:rsid w:val="00297730"/>
    <w:rsid w:val="002A6224"/>
    <w:rsid w:val="002D4387"/>
    <w:rsid w:val="002E5744"/>
    <w:rsid w:val="0030144E"/>
    <w:rsid w:val="0030158D"/>
    <w:rsid w:val="003063C9"/>
    <w:rsid w:val="003323B6"/>
    <w:rsid w:val="00390C0D"/>
    <w:rsid w:val="00391E0A"/>
    <w:rsid w:val="00391F87"/>
    <w:rsid w:val="003A16B9"/>
    <w:rsid w:val="003A53FB"/>
    <w:rsid w:val="003B0874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04C19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B3EDC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D7C39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76F92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45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2017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32801"/>
    <w:rsid w:val="00C8769A"/>
    <w:rsid w:val="00CA32D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5661D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37A8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B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B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B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6B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6B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FootnoteText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DefaultParagraphFont"/>
    <w:uiPriority w:val="99"/>
    <w:unhideWhenUsed/>
    <w:rsid w:val="00AD53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6F6"/>
  </w:style>
  <w:style w:type="paragraph" w:styleId="Footer">
    <w:name w:val="footer"/>
    <w:basedOn w:val="Normal"/>
    <w:link w:val="Footer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6F6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qFormat/>
    <w:rsid w:val="00CA32DA"/>
    <w:pPr>
      <w:spacing w:before="180" w:after="180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rsid w:val="00CA32DA"/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876F9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876F92"/>
  </w:style>
  <w:style w:type="character" w:styleId="Emphasis">
    <w:name w:val="Emphasis"/>
    <w:basedOn w:val="DefaultParagraphFont"/>
    <w:uiPriority w:val="20"/>
    <w:qFormat/>
    <w:rsid w:val="00876F92"/>
    <w:rPr>
      <w:i/>
      <w:iCs/>
    </w:rPr>
  </w:style>
  <w:style w:type="character" w:styleId="Strong">
    <w:name w:val="Strong"/>
    <w:basedOn w:val="DefaultParagraphFont"/>
    <w:uiPriority w:val="22"/>
    <w:qFormat/>
    <w:rsid w:val="00876F9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D534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esdoc.unesco.org/ark:/48223/pf000024623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cielo.br/j/cp/a/jLBWTVHsRGSNm78HxCWdHR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dr.gc@thegcindex.com" TargetMode="External"/><Relationship Id="rId1" Type="http://schemas.openxmlformats.org/officeDocument/2006/relationships/hyperlink" Target="mailto:ledoleng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2139</Words>
  <Characters>12197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Leticia Dolenga</cp:lastModifiedBy>
  <cp:revision>3</cp:revision>
  <dcterms:created xsi:type="dcterms:W3CDTF">2025-10-30T20:50:00Z</dcterms:created>
  <dcterms:modified xsi:type="dcterms:W3CDTF">2025-10-30T22:17:00Z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