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Cláusula de não concorrência nos contratos empresariais: uma análise sobre o colisão entre o princípio da livre concorrência e a autonomia da vontade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André Aristides Almeida - UFRN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andre.aaristides@gmail.com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Bruno Santos Silva - UFRN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pedrobrunocuite@gmail.com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Heyder José Maia Fernandes de Araújo - UFRN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heydermaia.f@gmail.com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Juliano Barros de Andrade - FCST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julianobarros0507@gmail.com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direito empresarial, conceituado, atualmente, como o complexo de normas que regula a atividade econômica organizada para fins de produção ou circulação de bens ou serviços, nasceu na Idade Média sob forte influência dos usos e costumes mercantis da época. Inicialmente intitulado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jus mercatorum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tal ramo do direito, que foi originalmente criado pela classe mercantil e para a classe mercantil, sofreu inúmeras mutações ao longo da história; preservando, porém, como característica essencial, a liberdade conferida às partes (comerciantes/empresários) em estabelecer seus termos e condições na concretização das relações comerciais. Sendo um campo autônomo do direito, o Direito Empresarial possui princípios e institutos próprios. Um desses princípios é conhecido como princípio da livre concorrência, o qual está expressamente previsto na Constituição Federal, em seu art. 170, IV. A livre concorrência apresenta-se como princípio geral da atividade econômica e que, por isso, deve guiar as relações empresariais e a atuação do poder estatal, principalmente no que se refere ao papel das autoridades competentes para garantir um ambiente econômico saudável.  Outro princípio norteador das relações civis e empresariais é o princípio da autonomia da vontade. Tal princípio preconiza a liberdade das pessoas, sejam elas naturais ou jurídicas, de contratar e, principalmente, a liberdade de definir a maneira como o contrato será realizado, podendo as partes estabelecer termos e cláusulas que sejam, em seus entendimentos, vantajosos a ambos. No que se refere ao tópico das cláusulas contratuais, a cláusula de não concorrência surge como uma das mais importantes para os contratos empresariais, bem como para o ordenamento jurídico brasileiro, o qual positivou a referida cláusula no Código Civil de 2002, em seu art.1.147, que prevê que se não houver autorização expressa, o alienante de estabelecimento comercial não pode fazer concorrência ao adquirente, no lapso de  cinco anos subsequentes à transferência do empreendimento. Assim, nosso ordenamento jurídico impôs a quem vende um estabelecimento empresarial, uma obrigação contratual implícita de não constituir nova empresa para fins de concorrer com o adquirente por um determinado prazo – 5 anos –, a fim de evitar o desvio de clientela em detrimento do empresário-adquirente, salvo disposição expressa em contrário.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Entretanto, é imperioso salientar que as partes devem dispor de ampla liberdade para acordar, no contrato de trespasse, que o prazo seja diferente daquele estabelecido no ordenamento jurídico, ou, até mesmo, que o alienante possa se estabelecer a qualquer momento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Nesse sentido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objetivo do disposto normativo é coibir a concorrência desleal, caracterizada pelo desvio de clientela, pelo que não havendo esse desvio, não haverá qualquer proibição.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Entretanto, da aplicação da aludida cláusula, surge notável conflito entre o princípio da autonomia da vontade, garantidor da liberdade de se pactuar a vedação de que uma das partes do contrato concorra com a outra por determinado período e em certo local geográfico, e o princípio da livre concorrência, que segundo o ordenamento jurídico, permite que o Estado, mediante suas autoridades competentes, possa intervir nas relações contratuais com o fito de evitar possíveis danos ao ambiente concorrencial. Nesse tipo de embate, observa-se forte atuação do Estado no sentido de preservar a livre concorrência em detrimento da autonomia dos empresários, com destaque ao posicionamento do ordenamento jurídico pátrio que entende, que em tais casos, deve prevalecer o princípio da livre concorrência em relação a outros princípios que norteiam as relações empresariais. Ademais, salienta-se a importante atuação do CADE (Conselho Administrativo de Defesa Econômica), o qual, em várias decisões, intervém nos contratos para fins de atenuação dos efeitos negativos que a cláusula de não concorrência pode gerar à plena concorrência. Diante de tal contexto, questiona-se: a intervenção do Estado na mitigação de tal cláusula não configura sensível afronta à liberdade contratual e autonomia da vontade das partes? Nesse viés, levando em conta as regras, princípios e valores que irradiam de nossos diplomas legais, o objetivo do presente trabalho é expor que a intervenção estatal nos contratos empresariais, sem a detida análise do caso concreto, pode ferir a autonomia das partes em estabelecer termos vantajosos a elas, bem como afetar negativamente a própria manifestação do livre-mercado em sua essência, a qual é pautada na liberdade daqueles que integram o mercado.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 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Acerca da abordagem metodológica do presente trabalho, utilizou-se o método hipotético-dedutivo, com procedimentos monográficos, sendo a pesquisa classificada como básica, descritiva, exploratória, documental, bibliográfica e qualitativa.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resultado do presente trabalho, verificou-se que o mundo empresarial é sustentado pelos princípios da livre-concorrência e da liberdade contratual, os quais permitem que o mercado e a economia se desenvolvam de modo eficaz e produtivo. Ademais, constatou-se que a existência das cláusulas de não concorrência pode, de um lado, representar potencial impedimento à concorrência, exigindo a atuação estatal, mas, de outro, revela-se como uma verdadeira expressão da autonomia que as partes possuem em estabelecer suas próprias cláusulas para efetivação do contrato do modo mais vantajoso a todos os envolvidos. Por fim, observou-se que, para um ambiente concorrencial saudável, é imperioso que a liberdade contratual seja preservada, não havendo que se falar em intervenção estatal se não houver fortes indícios de ofensa à livre concorrência.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esperamos que o presente trabalho, mesmo que de maneira breve, tenha demonstrado a importância de um ambiente de mercado livre da intervenção constante do Estado, garantido-se, ao mesmo tempo, a preservação da liberdade contratual e da livre concorrência. Desse modo, compreendemos que o Estado não deve intervir nas cláusulas pactuadas entre empresários, sob o simples argumento de que elas podem afetar a concorrência. Deve-se, portanto, haver detida análise acerca da real possibilidade de prejuízo à livre concorrência, sob pena de sacrificar um princípio tão caro às relações comerciais: o princípio da autonomia da vontade. Assim, é mediante a salvaguarda da autonomia das partes em estabelecer seus termos e cláusulas em contratos empresariais que se garante uma sociedade verdadeiramente livre.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Direito Empresarial. Cláusula de não concorrência. Livre concorrência. Autonomia da vontade.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AGRADECIMENTOS: 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Aos discentes e docentes que compõem o curso de direito da UFRN/CERES e ao orientador, o qual serviu de força propulsora para a produção do presente trabalho.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color w:val="040c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rtl w:val="0"/>
        </w:rPr>
        <w:t xml:space="preserve">BRASIL.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rtl w:val="0"/>
        </w:rPr>
        <w:t xml:space="preserve">Lei nº 10.406, de 10 de janeiro de 2022.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rtl w:val="0"/>
        </w:rPr>
        <w:t xml:space="preserve">Institui o Código Civil.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https://www.planalto.gov.br/ccivil_03/leis/2002/l10406compilada.htm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rtl w:val="0"/>
        </w:rPr>
        <w:t xml:space="preserve">. Acesso em: 11 set. 2023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COELHO, Fábio Ulhoa.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Manual de direito comercial [livro eletrônico]: direito de empresa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3ª ed. São Paulo: Thomson Reuters Brasil, 2022.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CRUZ, André Santa.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Manual de Direito Empresarial - Volume Único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13ª ed. São Paulo: Editora Juspodivm, 2023.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PAZZAGLINI FILHO, Marino; CATANESE, Andrea Di Fuccio.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Direito de empresa no novo código civil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. São Paulo: Atlas,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Times New Roman" w:cs="Times New Roman" w:eastAsia="Times New Roman" w:hAnsi="Times New Roman"/>
          <w:color w:val="040c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PIRES, Rafael Dutra.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Limites da cláusula de não concorrência no âmbito do antitruste.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Trabalho de Conclusão de Curso. INSPER - Instituto de Ensino e Pesquisa. São Paulo. p.49. 2019. Disponível em: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https://repositorio.insper.edu.br/handle/11224/2511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rtl w:val="0"/>
        </w:rPr>
        <w:t xml:space="preserve">Acesso em: 11 set. 2023</w:t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841" w:header="284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/>
      <w:drawing>
        <wp:inline distB="0" distT="0" distL="0" distR="0">
          <wp:extent cx="4571365" cy="504825"/>
          <wp:effectExtent b="0" l="0" r="0" t="0"/>
          <wp:docPr descr="Logotipo, nome da empresa&#10;&#10;Descrição gerada automaticamente" id="4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38963" l="0" r="0" t="34505"/>
                  <a:stretch>
                    <a:fillRect/>
                  </a:stretch>
                </pic:blipFill>
                <pic:spPr>
                  <a:xfrm>
                    <a:off x="0" y="0"/>
                    <a:ext cx="4571365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009515" cy="1294765"/>
          <wp:effectExtent b="0" l="0" r="0" t="0"/>
          <wp:docPr descr="Interface gráfica do usuário, Texto, Aplicativo&#10;&#10;Descrição gerada automaticamente" id="3" name="image2.png"/>
          <a:graphic>
            <a:graphicData uri="http://schemas.openxmlformats.org/drawingml/2006/picture">
              <pic:pic>
                <pic:nvPicPr>
                  <pic:cNvPr descr="Interface gráfica do usuário, Texto, Aplicativo&#10;&#10;Descrição gerada automaticamente" id="0" name="image2.png"/>
                  <pic:cNvPicPr preferRelativeResize="0"/>
                </pic:nvPicPr>
                <pic:blipFill>
                  <a:blip r:embed="rId1"/>
                  <a:srcRect b="21466" l="0" r="0" t="16496"/>
                  <a:stretch>
                    <a:fillRect/>
                  </a:stretch>
                </pic:blipFill>
                <pic:spPr>
                  <a:xfrm>
                    <a:off x="0" y="0"/>
                    <a:ext cx="5009515" cy="1294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52DA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pt-BR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066031"/>
    <w:rPr/>
  </w:style>
  <w:style w:type="character" w:styleId="RodapChar" w:customStyle="1">
    <w:name w:val="Rodapé Char"/>
    <w:basedOn w:val="DefaultParagraphFont"/>
    <w:uiPriority w:val="99"/>
    <w:qFormat w:val="1"/>
    <w:rsid w:val="00066031"/>
    <w:rPr/>
  </w:style>
  <w:style w:type="character" w:styleId="LinkdaInternet">
    <w:name w:val="Hyperlink"/>
    <w:basedOn w:val="DefaultParagraphFont"/>
    <w:uiPriority w:val="99"/>
    <w:unhideWhenUsed w:val="1"/>
    <w:rsid w:val="00FE5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B10DC6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 w:val="1"/>
    <w:qFormat w:val="1"/>
    <w:rsid w:val="00945DE0"/>
    <w:rPr>
      <w:rFonts w:ascii="Calibri" w:cs="Calibri" w:eastAsia="Calibri" w:hAnsi="Calibri"/>
      <w:sz w:val="20"/>
      <w:szCs w:val="20"/>
      <w:lang w:eastAsia="pt-BR"/>
    </w:rPr>
  </w:style>
  <w:style w:type="character" w:styleId="Caracteresdenotaderodap">
    <w:name w:val="Caracteres de nota de rodapé"/>
    <w:basedOn w:val="DefaultParagraphFont"/>
    <w:uiPriority w:val="99"/>
    <w:semiHidden w:val="1"/>
    <w:unhideWhenUsed w:val="1"/>
    <w:qFormat w:val="1"/>
    <w:rsid w:val="00945DE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1"/>
    <w:link w:val="CabealhoChar"/>
    <w:uiPriority w:val="99"/>
    <w:unhideWhenUsed w:val="1"/>
    <w:rsid w:val="0006603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>
      <w:rFonts w:ascii="Calibri" w:cs="" w:eastAsia="Calibri" w:hAnsi="Calibri" w:asciiTheme="minorHAnsi" w:cstheme="minorBidi" w:eastAsiaTheme="minorHAnsi" w:hAnsiTheme="minorHAnsi"/>
      <w:lang w:eastAsia="en-US"/>
    </w:rPr>
  </w:style>
  <w:style w:type="paragraph" w:styleId="Rodap">
    <w:name w:val="Footer"/>
    <w:basedOn w:val="Normal1"/>
    <w:link w:val="RodapChar"/>
    <w:uiPriority w:val="99"/>
    <w:unhideWhenUsed w:val="1"/>
    <w:rsid w:val="00066031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>
      <w:rFonts w:ascii="Calibri" w:cs="" w:eastAsia="Calibri" w:hAnsi="Calibri" w:asciiTheme="minorHAnsi" w:cstheme="minorBidi" w:eastAsiaTheme="minorHAnsi" w:hAnsiTheme="minorHAnsi"/>
      <w:lang w:eastAsia="en-US"/>
    </w:rPr>
  </w:style>
  <w:style w:type="paragraph" w:styleId="Notaderodap">
    <w:name w:val="Footnote Text"/>
    <w:basedOn w:val="Normal1"/>
    <w:link w:val="TextodenotaderodapChar"/>
    <w:uiPriority w:val="99"/>
    <w:semiHidden w:val="1"/>
    <w:unhideWhenUsed w:val="1"/>
    <w:rsid w:val="00945DE0"/>
    <w:pPr>
      <w:spacing w:after="0" w:before="0" w:line="240" w:lineRule="auto"/>
    </w:pPr>
    <w:rPr>
      <w:sz w:val="20"/>
      <w:szCs w:val="20"/>
    </w:rPr>
  </w:style>
  <w:style w:type="paragraph" w:styleId="ListParagraph">
    <w:name w:val="List Paragraph"/>
    <w:basedOn w:val="Normal1"/>
    <w:uiPriority w:val="34"/>
    <w:qFormat w:val="1"/>
    <w:rsid w:val="00945DE0"/>
    <w:pPr>
      <w:spacing w:after="160" w:before="0"/>
      <w:ind w:left="720" w:hanging="0"/>
      <w:contextualSpacing w:val="1"/>
    </w:pPr>
    <w:rPr/>
  </w:style>
  <w:style w:type="paragraph" w:styleId="NormalWeb">
    <w:name w:val="Normal (Web)"/>
    <w:basedOn w:val="Normal1"/>
    <w:uiPriority w:val="99"/>
    <w:semiHidden w:val="1"/>
    <w:unhideWhenUsed w:val="1"/>
    <w:qFormat w:val="1"/>
    <w:rsid w:val="00FA4A9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lanalto.gov.br/ccivil_03/leis/2002/l10406compilada.htm" TargetMode="External"/><Relationship Id="rId8" Type="http://schemas.openxmlformats.org/officeDocument/2006/relationships/hyperlink" Target="https://repositorio.insper.edu.br/handle/11224/2511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MufSK8UvnW6FFztVfTOOTP1fw==">CgMxLjA4AHIhMXpuank1Rld5SVkyV05zdzYwSlRPUjBmQS04VERDcDl6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2022-07-04T12:12:00Z</dcterms:created>
  <dc:creator>Ronny Diogenes</dc:creator>
</cp:coreProperties>
</file>