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F4F5" w14:textId="05997FFD" w:rsidR="00A01A81" w:rsidRDefault="00A01A81" w:rsidP="00A01A8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9E11FE">
        <w:rPr>
          <w:rFonts w:ascii="Arial" w:hAnsi="Arial" w:cs="Arial"/>
          <w:b/>
          <w:bCs/>
          <w:sz w:val="24"/>
          <w:szCs w:val="24"/>
          <w:lang w:val="pt-BR"/>
        </w:rPr>
        <w:t>TERATOMA FETAL VERSUS FETUS IN FETU – RELATO DE CASO CLÍNICO BASEADO EM EVIDÊNCIAS CIENTÍFICAS</w:t>
      </w:r>
    </w:p>
    <w:p w14:paraId="77459C75" w14:textId="77777777" w:rsidR="00A01A81" w:rsidRDefault="00A01A81" w:rsidP="0002113F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267493">
        <w:rPr>
          <w:rFonts w:ascii="Arial" w:hAnsi="Arial" w:cs="Arial"/>
          <w:sz w:val="20"/>
          <w:szCs w:val="20"/>
          <w:lang w:val="pt-BR"/>
        </w:rPr>
        <w:t>Marina Presmich Pontual</w:t>
      </w:r>
    </w:p>
    <w:p w14:paraId="44901948" w14:textId="77777777" w:rsidR="00A01A81" w:rsidRDefault="00A01A81" w:rsidP="0002113F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267493">
        <w:rPr>
          <w:rFonts w:ascii="Arial" w:hAnsi="Arial" w:cs="Arial"/>
          <w:sz w:val="20"/>
          <w:szCs w:val="20"/>
          <w:lang w:val="pt-BR"/>
        </w:rPr>
        <w:t>Fagner do Nascimento Monteiro</w:t>
      </w:r>
    </w:p>
    <w:p w14:paraId="6726C4D5" w14:textId="77777777" w:rsidR="00A01A81" w:rsidRDefault="00A01A81" w:rsidP="0002113F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267493">
        <w:rPr>
          <w:rFonts w:ascii="Arial" w:hAnsi="Arial" w:cs="Arial"/>
          <w:sz w:val="20"/>
          <w:szCs w:val="20"/>
          <w:lang w:val="pt-BR"/>
        </w:rPr>
        <w:t>Thomas Bernardes Lopes</w:t>
      </w:r>
    </w:p>
    <w:p w14:paraId="555A0BE0" w14:textId="77777777" w:rsidR="00A01A81" w:rsidRDefault="00A01A81" w:rsidP="0002113F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proofErr w:type="spellStart"/>
      <w:r w:rsidRPr="00267493">
        <w:rPr>
          <w:rFonts w:ascii="Arial" w:hAnsi="Arial" w:cs="Arial"/>
          <w:sz w:val="20"/>
          <w:szCs w:val="20"/>
          <w:lang w:val="pt-BR"/>
        </w:rPr>
        <w:t>Fabrícia</w:t>
      </w:r>
      <w:proofErr w:type="spellEnd"/>
      <w:r w:rsidRPr="00267493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267493">
        <w:rPr>
          <w:rFonts w:ascii="Arial" w:hAnsi="Arial" w:cs="Arial"/>
          <w:sz w:val="20"/>
          <w:szCs w:val="20"/>
          <w:lang w:val="pt-BR"/>
        </w:rPr>
        <w:t>Ruze</w:t>
      </w:r>
      <w:proofErr w:type="spellEnd"/>
      <w:r w:rsidRPr="00267493">
        <w:rPr>
          <w:rFonts w:ascii="Arial" w:hAnsi="Arial" w:cs="Arial"/>
          <w:sz w:val="20"/>
          <w:szCs w:val="20"/>
          <w:lang w:val="pt-BR"/>
        </w:rPr>
        <w:t xml:space="preserve"> Monteiro Ribeiro</w:t>
      </w:r>
    </w:p>
    <w:p w14:paraId="7A866ACF" w14:textId="77777777" w:rsidR="00A01A81" w:rsidRDefault="00A01A81" w:rsidP="0002113F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267493">
        <w:rPr>
          <w:rFonts w:ascii="Arial" w:hAnsi="Arial" w:cs="Arial"/>
          <w:sz w:val="20"/>
          <w:szCs w:val="20"/>
          <w:lang w:val="pt-BR"/>
        </w:rPr>
        <w:t>Felipe Oliveira de Albuquerque</w:t>
      </w:r>
    </w:p>
    <w:p w14:paraId="6893CE52" w14:textId="73F965A7" w:rsidR="00AC34D2" w:rsidRPr="00D77235" w:rsidRDefault="00A01A81" w:rsidP="0002113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pt-BR"/>
        </w:rPr>
      </w:pPr>
      <w:r w:rsidRPr="00267493">
        <w:rPr>
          <w:rFonts w:ascii="Arial" w:hAnsi="Arial" w:cs="Arial"/>
          <w:sz w:val="20"/>
          <w:szCs w:val="20"/>
          <w:lang w:val="pt-BR"/>
        </w:rPr>
        <w:t>Isabela Karine Rodrigues Agra</w:t>
      </w:r>
    </w:p>
    <w:p w14:paraId="095F0E9D" w14:textId="77777777" w:rsidR="00AC34D2" w:rsidRPr="00D77235" w:rsidRDefault="00AC34D2" w:rsidP="00AC34D2">
      <w:pPr>
        <w:jc w:val="right"/>
        <w:rPr>
          <w:rFonts w:ascii="Arial" w:hAnsi="Arial" w:cs="Arial"/>
          <w:bCs/>
          <w:i/>
          <w:sz w:val="24"/>
          <w:szCs w:val="24"/>
          <w:lang w:val="pt-BR"/>
        </w:rPr>
      </w:pPr>
    </w:p>
    <w:p w14:paraId="50D53AAB" w14:textId="75E0F489" w:rsidR="00AC34D2" w:rsidRPr="0002113F" w:rsidRDefault="00AA112D" w:rsidP="00AA112D">
      <w:pPr>
        <w:rPr>
          <w:rFonts w:ascii="Arial" w:hAnsi="Arial" w:cs="Arial"/>
          <w:sz w:val="24"/>
          <w:szCs w:val="24"/>
          <w:lang w:val="pt-BR"/>
        </w:rPr>
      </w:pPr>
      <w:r w:rsidRPr="00D77235">
        <w:rPr>
          <w:rFonts w:ascii="Arial" w:hAnsi="Arial" w:cs="Arial"/>
          <w:b/>
          <w:bCs/>
          <w:sz w:val="24"/>
          <w:szCs w:val="24"/>
          <w:lang w:val="pt-BR"/>
        </w:rPr>
        <w:t xml:space="preserve">Tipo de Apresentação:  </w:t>
      </w:r>
      <w:r w:rsidR="00AC34D2" w:rsidRPr="00D77235">
        <w:rPr>
          <w:rFonts w:ascii="Arial" w:hAnsi="Arial" w:cs="Arial"/>
          <w:sz w:val="24"/>
          <w:szCs w:val="24"/>
          <w:lang w:val="pt-BR"/>
        </w:rPr>
        <w:t>Pôster</w:t>
      </w:r>
    </w:p>
    <w:p w14:paraId="050C6E8E" w14:textId="77777777" w:rsidR="00A01A81" w:rsidRPr="00766610" w:rsidRDefault="006167DA" w:rsidP="00A01A81">
      <w:p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val="pt-BR" w:eastAsia="pt-BR"/>
        </w:rPr>
      </w:pPr>
      <w:r w:rsidRPr="00A01A81">
        <w:rPr>
          <w:rFonts w:ascii="Arial" w:hAnsi="Arial" w:cs="Arial"/>
          <w:b/>
          <w:bCs/>
        </w:rPr>
        <w:t>Resumo</w:t>
      </w:r>
      <w:r w:rsidRPr="00D77235">
        <w:rPr>
          <w:rFonts w:ascii="Arial" w:hAnsi="Arial" w:cs="Arial"/>
        </w:rPr>
        <w:t xml:space="preserve">: </w:t>
      </w:r>
      <w:r w:rsidR="00A01A81"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Introdução e Objetivos: Teratomas sacrococcígeos são neoplasias embrionárias </w:t>
      </w:r>
      <w:proofErr w:type="spellStart"/>
      <w:r w:rsidR="00A01A81"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>extragonadais</w:t>
      </w:r>
      <w:proofErr w:type="spellEnd"/>
      <w:r w:rsidR="00A01A81"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 derivadas de células pluripotentes da linha primitiva contendo tecido das três camadas germinativas. Já "</w:t>
      </w:r>
      <w:proofErr w:type="spellStart"/>
      <w:r w:rsidR="00A01A81"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>fetus</w:t>
      </w:r>
      <w:proofErr w:type="spellEnd"/>
      <w:r w:rsidR="00A01A81"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 in </w:t>
      </w:r>
      <w:proofErr w:type="spellStart"/>
      <w:r w:rsidR="00A01A81"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>fetu</w:t>
      </w:r>
      <w:proofErr w:type="spellEnd"/>
      <w:r w:rsidR="00A01A81"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>" é uma condição em que um parasita gêmeo malformado reside no corpo hospedeiro. Seu diagnóstico diferencial se dá pela presença de membros e esqueleto axial no "</w:t>
      </w:r>
      <w:proofErr w:type="spellStart"/>
      <w:r w:rsidR="00A01A81"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>fetus</w:t>
      </w:r>
      <w:proofErr w:type="spellEnd"/>
      <w:r w:rsidR="00A01A81"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 in </w:t>
      </w:r>
      <w:proofErr w:type="spellStart"/>
      <w:r w:rsidR="00A01A81"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>fetu</w:t>
      </w:r>
      <w:proofErr w:type="spellEnd"/>
      <w:r w:rsidR="00A01A81"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" vistos grosseiramente pós-parto ou por meio de exames de imagem como ultrassonografia e ressonância magnética. </w:t>
      </w:r>
      <w:r w:rsidR="00A01A81" w:rsidRPr="00766610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A01A81" w:rsidRPr="00766610">
        <w:rPr>
          <w:rFonts w:ascii="Arial" w:hAnsi="Arial" w:cs="Arial"/>
          <w:sz w:val="24"/>
          <w:szCs w:val="24"/>
        </w:rPr>
        <w:t>presente</w:t>
      </w:r>
      <w:proofErr w:type="spellEnd"/>
      <w:r w:rsidR="00A01A81" w:rsidRPr="007666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A81" w:rsidRPr="00766610">
        <w:rPr>
          <w:rFonts w:ascii="Arial" w:hAnsi="Arial" w:cs="Arial"/>
          <w:sz w:val="24"/>
          <w:szCs w:val="24"/>
        </w:rPr>
        <w:t>estudo</w:t>
      </w:r>
      <w:proofErr w:type="spellEnd"/>
      <w:r w:rsidR="00A01A81" w:rsidRPr="007666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A81" w:rsidRPr="00766610">
        <w:rPr>
          <w:rFonts w:ascii="Arial" w:hAnsi="Arial" w:cs="Arial"/>
          <w:sz w:val="24"/>
          <w:szCs w:val="24"/>
        </w:rPr>
        <w:t>tem</w:t>
      </w:r>
      <w:proofErr w:type="spellEnd"/>
      <w:r w:rsidR="00A01A81" w:rsidRPr="007666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A81" w:rsidRPr="00766610">
        <w:rPr>
          <w:rFonts w:ascii="Arial" w:hAnsi="Arial" w:cs="Arial"/>
          <w:sz w:val="24"/>
          <w:szCs w:val="24"/>
        </w:rPr>
        <w:t>por</w:t>
      </w:r>
      <w:proofErr w:type="spellEnd"/>
      <w:r w:rsidR="00A01A81" w:rsidRPr="007666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A81" w:rsidRPr="00766610">
        <w:rPr>
          <w:rFonts w:ascii="Arial" w:hAnsi="Arial" w:cs="Arial"/>
          <w:sz w:val="24"/>
          <w:szCs w:val="24"/>
        </w:rPr>
        <w:t>objetivo</w:t>
      </w:r>
      <w:proofErr w:type="spellEnd"/>
      <w:r w:rsidR="00A01A81" w:rsidRPr="007666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A81" w:rsidRPr="00766610">
        <w:rPr>
          <w:rFonts w:ascii="Arial" w:hAnsi="Arial" w:cs="Arial"/>
          <w:sz w:val="24"/>
          <w:szCs w:val="24"/>
        </w:rPr>
        <w:t>expor</w:t>
      </w:r>
      <w:proofErr w:type="spellEnd"/>
      <w:r w:rsidR="00A01A81" w:rsidRPr="0076661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01A81" w:rsidRPr="00766610">
        <w:rPr>
          <w:rFonts w:ascii="Arial" w:hAnsi="Arial" w:cs="Arial"/>
          <w:sz w:val="24"/>
          <w:szCs w:val="24"/>
        </w:rPr>
        <w:t>através</w:t>
      </w:r>
      <w:proofErr w:type="spellEnd"/>
      <w:r w:rsidR="00A01A81" w:rsidRPr="00766610">
        <w:rPr>
          <w:rFonts w:ascii="Arial" w:hAnsi="Arial" w:cs="Arial"/>
          <w:sz w:val="24"/>
          <w:szCs w:val="24"/>
        </w:rPr>
        <w:t xml:space="preserve"> de um </w:t>
      </w:r>
      <w:proofErr w:type="spellStart"/>
      <w:r w:rsidR="00A01A81" w:rsidRPr="00766610">
        <w:rPr>
          <w:rFonts w:ascii="Arial" w:hAnsi="Arial" w:cs="Arial"/>
          <w:sz w:val="24"/>
          <w:szCs w:val="24"/>
        </w:rPr>
        <w:t>caso</w:t>
      </w:r>
      <w:proofErr w:type="spellEnd"/>
      <w:r w:rsidR="00A01A81" w:rsidRPr="007666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A81" w:rsidRPr="00766610">
        <w:rPr>
          <w:rFonts w:ascii="Arial" w:hAnsi="Arial" w:cs="Arial"/>
          <w:sz w:val="24"/>
          <w:szCs w:val="24"/>
        </w:rPr>
        <w:t>clínico</w:t>
      </w:r>
      <w:proofErr w:type="spellEnd"/>
      <w:r w:rsidR="00A01A81" w:rsidRPr="0076661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01A81" w:rsidRPr="00766610">
        <w:rPr>
          <w:rFonts w:ascii="Arial" w:hAnsi="Arial" w:cs="Arial"/>
          <w:sz w:val="24"/>
          <w:szCs w:val="24"/>
        </w:rPr>
        <w:t>os</w:t>
      </w:r>
      <w:proofErr w:type="spellEnd"/>
      <w:r w:rsidR="00A01A81" w:rsidRPr="007666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A81" w:rsidRPr="00766610">
        <w:rPr>
          <w:rFonts w:ascii="Arial" w:hAnsi="Arial" w:cs="Arial"/>
          <w:sz w:val="24"/>
          <w:szCs w:val="24"/>
        </w:rPr>
        <w:t>diagnósticos</w:t>
      </w:r>
      <w:proofErr w:type="spellEnd"/>
      <w:r w:rsidR="00A01A81" w:rsidRPr="007666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A81" w:rsidRPr="00766610">
        <w:rPr>
          <w:rFonts w:ascii="Arial" w:hAnsi="Arial" w:cs="Arial"/>
          <w:sz w:val="24"/>
          <w:szCs w:val="24"/>
        </w:rPr>
        <w:t>diferenciais</w:t>
      </w:r>
      <w:proofErr w:type="spellEnd"/>
      <w:r w:rsidR="00A01A81" w:rsidRPr="00766610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="00A01A81" w:rsidRPr="00766610">
        <w:rPr>
          <w:rFonts w:ascii="Arial" w:hAnsi="Arial" w:cs="Arial"/>
          <w:sz w:val="24"/>
          <w:szCs w:val="24"/>
        </w:rPr>
        <w:t>raras</w:t>
      </w:r>
      <w:proofErr w:type="spellEnd"/>
      <w:r w:rsidR="00A01A81" w:rsidRPr="007666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A81" w:rsidRPr="00766610">
        <w:rPr>
          <w:rFonts w:ascii="Arial" w:hAnsi="Arial" w:cs="Arial"/>
          <w:sz w:val="24"/>
          <w:szCs w:val="24"/>
        </w:rPr>
        <w:t>malformações</w:t>
      </w:r>
      <w:proofErr w:type="spellEnd"/>
      <w:r w:rsidR="00A01A81" w:rsidRPr="007666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A81" w:rsidRPr="00766610">
        <w:rPr>
          <w:rFonts w:ascii="Arial" w:hAnsi="Arial" w:cs="Arial"/>
          <w:sz w:val="24"/>
          <w:szCs w:val="24"/>
        </w:rPr>
        <w:t>sacrococcígeas</w:t>
      </w:r>
      <w:proofErr w:type="spellEnd"/>
      <w:r w:rsidR="00A01A81" w:rsidRPr="00766610">
        <w:rPr>
          <w:rFonts w:ascii="Arial" w:hAnsi="Arial" w:cs="Arial"/>
          <w:sz w:val="24"/>
          <w:szCs w:val="24"/>
        </w:rPr>
        <w:t xml:space="preserve"> e </w:t>
      </w:r>
      <w:proofErr w:type="gramStart"/>
      <w:r w:rsidR="00A01A81" w:rsidRPr="00766610">
        <w:rPr>
          <w:rFonts w:ascii="Arial" w:hAnsi="Arial" w:cs="Arial"/>
          <w:sz w:val="24"/>
          <w:szCs w:val="24"/>
        </w:rPr>
        <w:t>a</w:t>
      </w:r>
      <w:proofErr w:type="gramEnd"/>
      <w:r w:rsidR="00A01A81" w:rsidRPr="007666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A81" w:rsidRPr="00766610">
        <w:rPr>
          <w:rFonts w:ascii="Arial" w:hAnsi="Arial" w:cs="Arial"/>
          <w:sz w:val="24"/>
          <w:szCs w:val="24"/>
        </w:rPr>
        <w:t>importância</w:t>
      </w:r>
      <w:proofErr w:type="spellEnd"/>
      <w:r w:rsidR="00A01A81" w:rsidRPr="00766610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A01A81" w:rsidRPr="00766610">
        <w:rPr>
          <w:rFonts w:ascii="Arial" w:hAnsi="Arial" w:cs="Arial"/>
          <w:sz w:val="24"/>
          <w:szCs w:val="24"/>
        </w:rPr>
        <w:t>ultrassonografia</w:t>
      </w:r>
      <w:proofErr w:type="spellEnd"/>
      <w:r w:rsidR="00A01A81" w:rsidRPr="00766610">
        <w:rPr>
          <w:rFonts w:ascii="Arial" w:hAnsi="Arial" w:cs="Arial"/>
          <w:sz w:val="24"/>
          <w:szCs w:val="24"/>
        </w:rPr>
        <w:t xml:space="preserve"> para determiner o </w:t>
      </w:r>
      <w:proofErr w:type="spellStart"/>
      <w:r w:rsidR="00A01A81" w:rsidRPr="00766610">
        <w:rPr>
          <w:rFonts w:ascii="Arial" w:hAnsi="Arial" w:cs="Arial"/>
          <w:sz w:val="24"/>
          <w:szCs w:val="24"/>
        </w:rPr>
        <w:t>prognóstico</w:t>
      </w:r>
      <w:proofErr w:type="spellEnd"/>
      <w:r w:rsidR="00A01A81" w:rsidRPr="00766610">
        <w:rPr>
          <w:rFonts w:ascii="Arial" w:hAnsi="Arial" w:cs="Arial"/>
          <w:sz w:val="24"/>
          <w:szCs w:val="24"/>
        </w:rPr>
        <w:t xml:space="preserve"> fetal. </w:t>
      </w:r>
      <w:r w:rsidR="00A01A81"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Descrição do Caso: Paciente, 26 anos, sexo feminino, G4P2A1, sem comorbidades, encaminhada ao pré-natal de alto risco no segundo trimestre de gestação por achado ultrassonográfico evidenciando processo expansivo tumoral pélvico heterogêneo e sólido, sugestivo de teratoma sacrococcígeo. Internada para elucidação diagnóstica. Ao realizar ressonância magnética, apresentou feto único com massa heterogênea em pelve, região sacrococcígea e anorretal com componentes císticos, gordurosos e áreas de aspecto sólido de permeio e projeções alongadas saindo desta massa, que apresentam estrutura interna com sinal semelhante a osso envolto por gordura, além de </w:t>
      </w:r>
      <w:proofErr w:type="spellStart"/>
      <w:r w:rsidR="00A01A81"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>polidramnia</w:t>
      </w:r>
      <w:proofErr w:type="spellEnd"/>
      <w:r w:rsidR="00A01A81"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 evidenciada em ultrassonografia. Desta forma, a paciente permaneceu internada no serviço para controle de vitalidade fetal, com resolução da gestação programada e realizada por via cirúrgica com 37 semanas e 3 dias. Nascido feto vivo, com presença de malformação grosseira pélvica com exteriorização de conteúdo indefinido, mantido sob cuidados intensivos até ressecção cirúrgica da massa com resultado anatomopatológico compatível com “</w:t>
      </w:r>
      <w:proofErr w:type="spellStart"/>
      <w:r w:rsidR="00A01A81"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>fetus</w:t>
      </w:r>
      <w:proofErr w:type="spellEnd"/>
      <w:r w:rsidR="00A01A81"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 in </w:t>
      </w:r>
      <w:proofErr w:type="spellStart"/>
      <w:r w:rsidR="00A01A81"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>fetu</w:t>
      </w:r>
      <w:proofErr w:type="spellEnd"/>
      <w:r w:rsidR="00A01A81"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”. Discussão: É importante acompanhar sinais que atuem diretamente em um prognóstico negativo, e, portanto, que exijam medidas terapêuticas eficientes e emergenciais, resultando, na maioria dos casos, na ressecção do teratoma ou do </w:t>
      </w:r>
      <w:r w:rsidR="00A01A81">
        <w:rPr>
          <w:rFonts w:ascii="Arial" w:eastAsia="Times New Roman" w:hAnsi="Arial" w:cs="Arial"/>
          <w:bCs/>
          <w:sz w:val="24"/>
          <w:szCs w:val="24"/>
          <w:lang w:val="pt-BR" w:eastAsia="pt-BR"/>
        </w:rPr>
        <w:t>“</w:t>
      </w:r>
      <w:proofErr w:type="spellStart"/>
      <w:r w:rsidR="00A01A81"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>fetus</w:t>
      </w:r>
      <w:proofErr w:type="spellEnd"/>
      <w:r w:rsidR="00A01A81"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 in </w:t>
      </w:r>
      <w:proofErr w:type="spellStart"/>
      <w:r w:rsidR="00A01A81"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>fetu</w:t>
      </w:r>
      <w:proofErr w:type="spellEnd"/>
      <w:r w:rsidR="00A01A81">
        <w:rPr>
          <w:rFonts w:ascii="Arial" w:eastAsia="Times New Roman" w:hAnsi="Arial" w:cs="Arial"/>
          <w:bCs/>
          <w:sz w:val="24"/>
          <w:szCs w:val="24"/>
          <w:lang w:val="pt-BR" w:eastAsia="pt-BR"/>
        </w:rPr>
        <w:t>”</w:t>
      </w:r>
      <w:r w:rsidR="00A01A81"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, como também na interrupção prematura da gravidez. Dessa forma, a ultrassonografia morfológica em tempo, surge como uma ferramenta fundamental neste contexto. Com isso, o presente relato de caso atrelado às poucas evidências científicas até então disponíveis, permite esclarecer que o acompanhamento pré-natal adequado, a disponibilidade de exames diagnósticos e seu seguimento clínico associado à abordagem multidisciplinar podem proporcionar desfechos mais favoráveis. </w:t>
      </w:r>
    </w:p>
    <w:p w14:paraId="1F389C86" w14:textId="48F9E6F2" w:rsidR="006167DA" w:rsidRPr="00D77235" w:rsidRDefault="006167DA" w:rsidP="006167DA">
      <w:pPr>
        <w:pStyle w:val="ResumoXVIIIENANCIB"/>
        <w:rPr>
          <w:rFonts w:ascii="Arial" w:hAnsi="Arial" w:cs="Arial"/>
          <w:b w:val="0"/>
          <w:color w:val="000000"/>
        </w:rPr>
      </w:pPr>
    </w:p>
    <w:p w14:paraId="59D97175" w14:textId="77777777" w:rsidR="006167DA" w:rsidRPr="00D77235" w:rsidRDefault="006167DA" w:rsidP="006167DA">
      <w:pPr>
        <w:pStyle w:val="ResumoXVIIIENANCIB"/>
        <w:rPr>
          <w:rFonts w:ascii="Arial" w:hAnsi="Arial" w:cs="Arial"/>
          <w:b w:val="0"/>
        </w:rPr>
      </w:pPr>
    </w:p>
    <w:p w14:paraId="0963C555" w14:textId="77777777" w:rsidR="00A01A81" w:rsidRPr="00766610" w:rsidRDefault="006167DA" w:rsidP="00A01A81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spellStart"/>
      <w:r w:rsidRPr="00A01A81">
        <w:rPr>
          <w:rFonts w:ascii="Arial" w:hAnsi="Arial" w:cs="Arial"/>
          <w:b/>
          <w:bCs/>
        </w:rPr>
        <w:t>Palavras-Chave</w:t>
      </w:r>
      <w:proofErr w:type="spellEnd"/>
      <w:r w:rsidRPr="00D77235">
        <w:rPr>
          <w:rFonts w:ascii="Arial" w:hAnsi="Arial" w:cs="Arial"/>
        </w:rPr>
        <w:t xml:space="preserve">: </w:t>
      </w:r>
      <w:proofErr w:type="spellStart"/>
      <w:r w:rsidR="00A01A81" w:rsidRPr="00766610">
        <w:rPr>
          <w:rFonts w:ascii="Arial" w:hAnsi="Arial" w:cs="Arial"/>
          <w:sz w:val="24"/>
          <w:szCs w:val="24"/>
          <w:lang w:val="pt-BR"/>
        </w:rPr>
        <w:t>Fetus</w:t>
      </w:r>
      <w:proofErr w:type="spellEnd"/>
      <w:r w:rsidR="00A01A81" w:rsidRPr="00766610">
        <w:rPr>
          <w:rFonts w:ascii="Arial" w:hAnsi="Arial" w:cs="Arial"/>
          <w:sz w:val="24"/>
          <w:szCs w:val="24"/>
          <w:lang w:val="pt-BR"/>
        </w:rPr>
        <w:t xml:space="preserve"> in </w:t>
      </w:r>
      <w:proofErr w:type="spellStart"/>
      <w:r w:rsidR="00A01A81" w:rsidRPr="00766610">
        <w:rPr>
          <w:rFonts w:ascii="Arial" w:hAnsi="Arial" w:cs="Arial"/>
          <w:sz w:val="24"/>
          <w:szCs w:val="24"/>
          <w:lang w:val="pt-BR"/>
        </w:rPr>
        <w:t>fetu</w:t>
      </w:r>
      <w:proofErr w:type="spellEnd"/>
      <w:r w:rsidR="00A01A81" w:rsidRPr="00766610">
        <w:rPr>
          <w:rFonts w:ascii="Arial" w:hAnsi="Arial" w:cs="Arial"/>
          <w:sz w:val="24"/>
          <w:szCs w:val="24"/>
          <w:lang w:val="pt-BR"/>
        </w:rPr>
        <w:t>; Teratoma Sacrococcígeo; Gêmeo parasita.</w:t>
      </w:r>
    </w:p>
    <w:p w14:paraId="05E278DD" w14:textId="5395F597" w:rsidR="006167DA" w:rsidRPr="00D77235" w:rsidRDefault="006167DA" w:rsidP="006167DA">
      <w:pPr>
        <w:pStyle w:val="ResumoXVIIIENANCIB"/>
        <w:rPr>
          <w:rFonts w:ascii="Arial" w:hAnsi="Arial" w:cs="Arial"/>
          <w:b w:val="0"/>
        </w:rPr>
      </w:pPr>
    </w:p>
    <w:p w14:paraId="23130B18" w14:textId="77777777" w:rsidR="003579EC" w:rsidRPr="00D77235" w:rsidRDefault="003C4761" w:rsidP="003C4761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  <w:lang w:val="pt-BR"/>
        </w:rPr>
      </w:pPr>
      <w:r w:rsidRPr="00D77235">
        <w:rPr>
          <w:rFonts w:ascii="Arial" w:hAnsi="Arial" w:cs="Arial"/>
          <w:b/>
          <w:bCs/>
          <w:sz w:val="24"/>
          <w:szCs w:val="24"/>
          <w:lang w:val="pt-BR"/>
        </w:rPr>
        <w:t xml:space="preserve">1. </w:t>
      </w:r>
      <w:r w:rsidR="00154F87" w:rsidRPr="00D77235">
        <w:rPr>
          <w:rFonts w:ascii="Arial" w:hAnsi="Arial" w:cs="Arial"/>
          <w:b/>
          <w:bCs/>
          <w:sz w:val="24"/>
          <w:szCs w:val="24"/>
          <w:lang w:val="pt-BR"/>
        </w:rPr>
        <w:t>Introdução</w:t>
      </w:r>
    </w:p>
    <w:p w14:paraId="5E033718" w14:textId="77777777" w:rsidR="00A01A81" w:rsidRDefault="00A01A81" w:rsidP="001C33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Teratomas sacrococcígeos são neoplasias embrionárias </w:t>
      </w:r>
      <w:proofErr w:type="spellStart"/>
      <w:r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>extragonadais</w:t>
      </w:r>
      <w:proofErr w:type="spellEnd"/>
      <w:r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 derivadas de células pluripotentes da linha primitiva contendo tecido das três camadas germinativas. Já "</w:t>
      </w:r>
      <w:proofErr w:type="spellStart"/>
      <w:r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>fetus</w:t>
      </w:r>
      <w:proofErr w:type="spellEnd"/>
      <w:r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 in </w:t>
      </w:r>
      <w:proofErr w:type="spellStart"/>
      <w:r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>fetu</w:t>
      </w:r>
      <w:proofErr w:type="spellEnd"/>
      <w:r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>" é uma condição em que um parasita gêmeo malformado reside no corpo hospedeiro. Seu diagnóstico diferencial se dá pela presença de membros e esqueleto axial no "</w:t>
      </w:r>
      <w:proofErr w:type="spellStart"/>
      <w:r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>fetus</w:t>
      </w:r>
      <w:proofErr w:type="spellEnd"/>
      <w:r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 in </w:t>
      </w:r>
      <w:proofErr w:type="spellStart"/>
      <w:r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>fetu</w:t>
      </w:r>
      <w:proofErr w:type="spellEnd"/>
      <w:r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" vistos grosseiramente pós-parto ou por meio de exames de imagem como ultrassonografia e ressonância magnética. </w:t>
      </w:r>
      <w:r w:rsidRPr="00766610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766610">
        <w:rPr>
          <w:rFonts w:ascii="Arial" w:hAnsi="Arial" w:cs="Arial"/>
          <w:sz w:val="24"/>
          <w:szCs w:val="24"/>
        </w:rPr>
        <w:t>presente</w:t>
      </w:r>
      <w:proofErr w:type="spellEnd"/>
      <w:r w:rsidRPr="00766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6610">
        <w:rPr>
          <w:rFonts w:ascii="Arial" w:hAnsi="Arial" w:cs="Arial"/>
          <w:sz w:val="24"/>
          <w:szCs w:val="24"/>
        </w:rPr>
        <w:t>estudo</w:t>
      </w:r>
      <w:proofErr w:type="spellEnd"/>
      <w:r w:rsidRPr="00766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6610">
        <w:rPr>
          <w:rFonts w:ascii="Arial" w:hAnsi="Arial" w:cs="Arial"/>
          <w:sz w:val="24"/>
          <w:szCs w:val="24"/>
        </w:rPr>
        <w:t>tem</w:t>
      </w:r>
      <w:proofErr w:type="spellEnd"/>
      <w:r w:rsidRPr="00766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6610">
        <w:rPr>
          <w:rFonts w:ascii="Arial" w:hAnsi="Arial" w:cs="Arial"/>
          <w:sz w:val="24"/>
          <w:szCs w:val="24"/>
        </w:rPr>
        <w:t>por</w:t>
      </w:r>
      <w:proofErr w:type="spellEnd"/>
      <w:r w:rsidRPr="00766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6610">
        <w:rPr>
          <w:rFonts w:ascii="Arial" w:hAnsi="Arial" w:cs="Arial"/>
          <w:sz w:val="24"/>
          <w:szCs w:val="24"/>
        </w:rPr>
        <w:t>objetivo</w:t>
      </w:r>
      <w:proofErr w:type="spellEnd"/>
      <w:r w:rsidRPr="00766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6610">
        <w:rPr>
          <w:rFonts w:ascii="Arial" w:hAnsi="Arial" w:cs="Arial"/>
          <w:sz w:val="24"/>
          <w:szCs w:val="24"/>
        </w:rPr>
        <w:t>expor</w:t>
      </w:r>
      <w:proofErr w:type="spellEnd"/>
      <w:r w:rsidRPr="007666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66610">
        <w:rPr>
          <w:rFonts w:ascii="Arial" w:hAnsi="Arial" w:cs="Arial"/>
          <w:sz w:val="24"/>
          <w:szCs w:val="24"/>
        </w:rPr>
        <w:t>através</w:t>
      </w:r>
      <w:proofErr w:type="spellEnd"/>
      <w:r w:rsidRPr="00766610">
        <w:rPr>
          <w:rFonts w:ascii="Arial" w:hAnsi="Arial" w:cs="Arial"/>
          <w:sz w:val="24"/>
          <w:szCs w:val="24"/>
        </w:rPr>
        <w:t xml:space="preserve"> de um </w:t>
      </w:r>
      <w:proofErr w:type="spellStart"/>
      <w:r w:rsidRPr="00766610">
        <w:rPr>
          <w:rFonts w:ascii="Arial" w:hAnsi="Arial" w:cs="Arial"/>
          <w:sz w:val="24"/>
          <w:szCs w:val="24"/>
        </w:rPr>
        <w:t>caso</w:t>
      </w:r>
      <w:proofErr w:type="spellEnd"/>
      <w:r w:rsidRPr="00766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6610">
        <w:rPr>
          <w:rFonts w:ascii="Arial" w:hAnsi="Arial" w:cs="Arial"/>
          <w:sz w:val="24"/>
          <w:szCs w:val="24"/>
        </w:rPr>
        <w:t>clínico</w:t>
      </w:r>
      <w:proofErr w:type="spellEnd"/>
      <w:r w:rsidRPr="007666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66610">
        <w:rPr>
          <w:rFonts w:ascii="Arial" w:hAnsi="Arial" w:cs="Arial"/>
          <w:sz w:val="24"/>
          <w:szCs w:val="24"/>
        </w:rPr>
        <w:t>os</w:t>
      </w:r>
      <w:proofErr w:type="spellEnd"/>
      <w:r w:rsidRPr="00766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6610">
        <w:rPr>
          <w:rFonts w:ascii="Arial" w:hAnsi="Arial" w:cs="Arial"/>
          <w:sz w:val="24"/>
          <w:szCs w:val="24"/>
        </w:rPr>
        <w:t>diagnósticos</w:t>
      </w:r>
      <w:proofErr w:type="spellEnd"/>
      <w:r w:rsidRPr="00766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6610">
        <w:rPr>
          <w:rFonts w:ascii="Arial" w:hAnsi="Arial" w:cs="Arial"/>
          <w:sz w:val="24"/>
          <w:szCs w:val="24"/>
        </w:rPr>
        <w:t>diferenciais</w:t>
      </w:r>
      <w:proofErr w:type="spellEnd"/>
      <w:r w:rsidRPr="00766610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766610">
        <w:rPr>
          <w:rFonts w:ascii="Arial" w:hAnsi="Arial" w:cs="Arial"/>
          <w:sz w:val="24"/>
          <w:szCs w:val="24"/>
        </w:rPr>
        <w:t>raras</w:t>
      </w:r>
      <w:proofErr w:type="spellEnd"/>
      <w:r w:rsidRPr="00766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6610">
        <w:rPr>
          <w:rFonts w:ascii="Arial" w:hAnsi="Arial" w:cs="Arial"/>
          <w:sz w:val="24"/>
          <w:szCs w:val="24"/>
        </w:rPr>
        <w:t>malformações</w:t>
      </w:r>
      <w:proofErr w:type="spellEnd"/>
      <w:r w:rsidRPr="00766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6610">
        <w:rPr>
          <w:rFonts w:ascii="Arial" w:hAnsi="Arial" w:cs="Arial"/>
          <w:sz w:val="24"/>
          <w:szCs w:val="24"/>
        </w:rPr>
        <w:t>sacrococcígeas</w:t>
      </w:r>
      <w:proofErr w:type="spellEnd"/>
      <w:r w:rsidRPr="00766610">
        <w:rPr>
          <w:rFonts w:ascii="Arial" w:hAnsi="Arial" w:cs="Arial"/>
          <w:sz w:val="24"/>
          <w:szCs w:val="24"/>
        </w:rPr>
        <w:t xml:space="preserve"> e </w:t>
      </w:r>
      <w:proofErr w:type="gramStart"/>
      <w:r w:rsidRPr="00766610">
        <w:rPr>
          <w:rFonts w:ascii="Arial" w:hAnsi="Arial" w:cs="Arial"/>
          <w:sz w:val="24"/>
          <w:szCs w:val="24"/>
        </w:rPr>
        <w:t>a</w:t>
      </w:r>
      <w:proofErr w:type="gramEnd"/>
      <w:r w:rsidRPr="00766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6610">
        <w:rPr>
          <w:rFonts w:ascii="Arial" w:hAnsi="Arial" w:cs="Arial"/>
          <w:sz w:val="24"/>
          <w:szCs w:val="24"/>
        </w:rPr>
        <w:t>importância</w:t>
      </w:r>
      <w:proofErr w:type="spellEnd"/>
      <w:r w:rsidRPr="00766610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766610">
        <w:rPr>
          <w:rFonts w:ascii="Arial" w:hAnsi="Arial" w:cs="Arial"/>
          <w:sz w:val="24"/>
          <w:szCs w:val="24"/>
        </w:rPr>
        <w:t>ultrassonografia</w:t>
      </w:r>
      <w:proofErr w:type="spellEnd"/>
      <w:r w:rsidRPr="00766610">
        <w:rPr>
          <w:rFonts w:ascii="Arial" w:hAnsi="Arial" w:cs="Arial"/>
          <w:sz w:val="24"/>
          <w:szCs w:val="24"/>
        </w:rPr>
        <w:t xml:space="preserve"> para determiner o </w:t>
      </w:r>
      <w:proofErr w:type="spellStart"/>
      <w:r w:rsidRPr="00766610">
        <w:rPr>
          <w:rFonts w:ascii="Arial" w:hAnsi="Arial" w:cs="Arial"/>
          <w:sz w:val="24"/>
          <w:szCs w:val="24"/>
        </w:rPr>
        <w:t>prognóstico</w:t>
      </w:r>
      <w:proofErr w:type="spellEnd"/>
      <w:r w:rsidRPr="00766610">
        <w:rPr>
          <w:rFonts w:ascii="Arial" w:hAnsi="Arial" w:cs="Arial"/>
          <w:sz w:val="24"/>
          <w:szCs w:val="24"/>
        </w:rPr>
        <w:t xml:space="preserve"> fetal. </w:t>
      </w:r>
    </w:p>
    <w:p w14:paraId="1E1B3B34" w14:textId="77777777" w:rsidR="00A01A81" w:rsidRDefault="00A01A81" w:rsidP="001C330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ECA5B6" w14:textId="2C8C1400" w:rsidR="00AA112D" w:rsidRPr="00D77235" w:rsidRDefault="00AA112D" w:rsidP="001C3300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D77235">
        <w:rPr>
          <w:rFonts w:ascii="Arial" w:hAnsi="Arial" w:cs="Arial"/>
          <w:b/>
          <w:bCs/>
          <w:sz w:val="24"/>
          <w:szCs w:val="24"/>
          <w:lang w:val="pt-BR"/>
        </w:rPr>
        <w:t xml:space="preserve">2. </w:t>
      </w:r>
      <w:r w:rsidR="00A01A81">
        <w:rPr>
          <w:rFonts w:ascii="Arial" w:hAnsi="Arial" w:cs="Arial"/>
          <w:b/>
          <w:bCs/>
          <w:sz w:val="24"/>
          <w:szCs w:val="24"/>
          <w:lang w:val="pt-BR"/>
        </w:rPr>
        <w:t>Descrição do caso</w:t>
      </w:r>
    </w:p>
    <w:p w14:paraId="40170CA7" w14:textId="77777777" w:rsidR="00A01A81" w:rsidRDefault="00A01A81" w:rsidP="001C3300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pt-BR" w:eastAsia="pt-BR"/>
        </w:rPr>
      </w:pPr>
      <w:r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Paciente, 26 anos, sexo feminino, G4P2A1, sem comorbidades, encaminhada ao pré-natal de alto risco no segundo trimestre de gestação por achado ultrassonográfico evidenciando processo expansivo tumoral pélvico heterogêneo e sólido, sugestivo de teratoma sacrococcígeo. Internada para elucidação diagnóstica. Ao realizar ressonância magnética, apresentou feto único com massa heterogênea em pelve, região sacrococcígea e anorretal com componentes císticos, gordurosos e áreas de aspecto sólido de permeio e projeções alongadas saindo desta massa, que apresentam estrutura interna com sinal semelhante a osso envolto por gordura, além de </w:t>
      </w:r>
      <w:proofErr w:type="spellStart"/>
      <w:r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>polidramnia</w:t>
      </w:r>
      <w:proofErr w:type="spellEnd"/>
      <w:r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 evidenciada em ultrassonografia. Desta forma, a paciente permaneceu internada no serviço para controle de vitalidade fetal, com resolução da gestação programada e realizada por via cirúrgica com 37 semanas e 3 dias. Nascido feto vivo, com presença de malformação grosseira pélvica com exteriorização de conteúdo indefinido, mantido sob cuidados intensivos até ressecção cirúrgica da massa com resultado anatomopatológico compatível com “</w:t>
      </w:r>
      <w:proofErr w:type="spellStart"/>
      <w:r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>fetus</w:t>
      </w:r>
      <w:proofErr w:type="spellEnd"/>
      <w:r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 in </w:t>
      </w:r>
      <w:proofErr w:type="spellStart"/>
      <w:r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>fetu</w:t>
      </w:r>
      <w:proofErr w:type="spellEnd"/>
      <w:r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”. </w:t>
      </w:r>
    </w:p>
    <w:p w14:paraId="605F212C" w14:textId="28406ECA" w:rsidR="00A01A81" w:rsidRDefault="00A01A81" w:rsidP="001C3300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pt-BR" w:eastAsia="pt-BR"/>
        </w:rPr>
      </w:pPr>
    </w:p>
    <w:p w14:paraId="4AE6F0A8" w14:textId="77777777" w:rsidR="00217587" w:rsidRDefault="00217587" w:rsidP="001C3300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pt-BR" w:eastAsia="pt-BR"/>
        </w:rPr>
      </w:pPr>
    </w:p>
    <w:p w14:paraId="4089BB98" w14:textId="7EEE918E" w:rsidR="00A01A81" w:rsidRPr="00A01A81" w:rsidRDefault="00AA112D" w:rsidP="001C330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D77235">
        <w:rPr>
          <w:rFonts w:ascii="Arial" w:hAnsi="Arial" w:cs="Arial"/>
          <w:b/>
          <w:bCs/>
          <w:sz w:val="24"/>
          <w:szCs w:val="24"/>
          <w:lang w:val="pt-BR"/>
        </w:rPr>
        <w:lastRenderedPageBreak/>
        <w:t xml:space="preserve">4. </w:t>
      </w:r>
      <w:r w:rsidR="00A01A81">
        <w:rPr>
          <w:rFonts w:ascii="Arial" w:hAnsi="Arial" w:cs="Arial"/>
          <w:b/>
          <w:bCs/>
          <w:sz w:val="24"/>
          <w:szCs w:val="24"/>
          <w:lang w:val="pt-BR"/>
        </w:rPr>
        <w:t xml:space="preserve">Discussão e Conclusão </w:t>
      </w:r>
    </w:p>
    <w:p w14:paraId="69D49BD5" w14:textId="77777777" w:rsidR="00A01A81" w:rsidRPr="00766610" w:rsidRDefault="00A01A81" w:rsidP="00217587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val="pt-BR" w:eastAsia="pt-BR"/>
        </w:rPr>
      </w:pPr>
      <w:r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É importante acompanhar sinais que atuem diretamente em um prognóstico negativo, e, portanto, que exijam medidas terapêuticas eficientes e emergenciais, resultando, na maioria dos casos, na ressecção do teratoma ou do </w:t>
      </w:r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>“</w:t>
      </w:r>
      <w:proofErr w:type="spellStart"/>
      <w:r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>fetus</w:t>
      </w:r>
      <w:proofErr w:type="spellEnd"/>
      <w:r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 in </w:t>
      </w:r>
      <w:proofErr w:type="spellStart"/>
      <w:r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>fetu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pt-BR" w:eastAsia="pt-BR"/>
        </w:rPr>
        <w:t>”</w:t>
      </w:r>
      <w:r w:rsidRPr="00766610">
        <w:rPr>
          <w:rFonts w:ascii="Arial" w:eastAsia="Times New Roman" w:hAnsi="Arial" w:cs="Arial"/>
          <w:bCs/>
          <w:sz w:val="24"/>
          <w:szCs w:val="24"/>
          <w:lang w:val="pt-BR" w:eastAsia="pt-BR"/>
        </w:rPr>
        <w:t xml:space="preserve">, como também na interrupção prematura da gravidez. Dessa forma, a ultrassonografia morfológica em tempo, surge como uma ferramenta fundamental neste contexto. Com isso, o presente relato de caso atrelado às poucas evidências científicas até então disponíveis, permite esclarecer que o acompanhamento pré-natal adequado, a disponibilidade de exames diagnósticos e seu seguimento clínico associado à abordagem multidisciplinar podem proporcionar desfechos mais favoráveis. </w:t>
      </w:r>
    </w:p>
    <w:p w14:paraId="63BAC7B0" w14:textId="77777777" w:rsidR="00A01A81" w:rsidRDefault="00A01A81" w:rsidP="001C330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68A76EC0" w14:textId="0330019E" w:rsidR="00AA112D" w:rsidRPr="00D77235" w:rsidRDefault="00AA112D" w:rsidP="001C3300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D77235">
        <w:rPr>
          <w:rFonts w:ascii="Arial" w:hAnsi="Arial" w:cs="Arial"/>
          <w:b/>
          <w:bCs/>
          <w:sz w:val="24"/>
          <w:szCs w:val="24"/>
          <w:lang w:val="pt-BR"/>
        </w:rPr>
        <w:t>Referências</w:t>
      </w:r>
    </w:p>
    <w:p w14:paraId="5568E022" w14:textId="2F004275" w:rsidR="00190217" w:rsidRDefault="00190217" w:rsidP="00190217">
      <w:pPr>
        <w:spacing w:line="360" w:lineRule="auto"/>
        <w:jc w:val="both"/>
        <w:rPr>
          <w:color w:val="000000" w:themeColor="text1"/>
        </w:rPr>
      </w:pPr>
      <w:r w:rsidRPr="00BE4F20">
        <w:rPr>
          <w:color w:val="000000" w:themeColor="text1"/>
        </w:rPr>
        <w:t>CAMARGO</w:t>
      </w:r>
      <w:r w:rsidRPr="00BE4F20">
        <w:rPr>
          <w:color w:val="000000" w:themeColor="text1"/>
        </w:rPr>
        <w:t xml:space="preserve">, Luciano </w:t>
      </w:r>
      <w:proofErr w:type="spellStart"/>
      <w:r w:rsidRPr="00BE4F20">
        <w:rPr>
          <w:color w:val="000000" w:themeColor="text1"/>
        </w:rPr>
        <w:t>Guarnica</w:t>
      </w:r>
      <w:proofErr w:type="spellEnd"/>
      <w:r w:rsidRPr="00BE4F20">
        <w:rPr>
          <w:color w:val="000000" w:themeColor="text1"/>
        </w:rPr>
        <w:t xml:space="preserve"> et al. Teratoma </w:t>
      </w:r>
      <w:proofErr w:type="spellStart"/>
      <w:r w:rsidRPr="00BE4F20">
        <w:rPr>
          <w:color w:val="000000" w:themeColor="text1"/>
        </w:rPr>
        <w:t>sacrococcígeo</w:t>
      </w:r>
      <w:proofErr w:type="spellEnd"/>
      <w:r w:rsidRPr="00BE4F20">
        <w:rPr>
          <w:color w:val="000000" w:themeColor="text1"/>
        </w:rPr>
        <w:t xml:space="preserve">: </w:t>
      </w:r>
      <w:proofErr w:type="spellStart"/>
      <w:r w:rsidRPr="00BE4F20">
        <w:rPr>
          <w:color w:val="000000" w:themeColor="text1"/>
        </w:rPr>
        <w:t>análise</w:t>
      </w:r>
      <w:proofErr w:type="spellEnd"/>
      <w:r w:rsidRPr="00BE4F20">
        <w:rPr>
          <w:color w:val="000000" w:themeColor="text1"/>
        </w:rPr>
        <w:t xml:space="preserve"> de 20 </w:t>
      </w:r>
      <w:proofErr w:type="spellStart"/>
      <w:r w:rsidRPr="00BE4F20">
        <w:rPr>
          <w:color w:val="000000" w:themeColor="text1"/>
        </w:rPr>
        <w:t>casos</w:t>
      </w:r>
      <w:proofErr w:type="spellEnd"/>
      <w:r w:rsidRPr="00BE4F2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proofErr w:type="spellStart"/>
      <w:r w:rsidRPr="00BE4F20">
        <w:rPr>
          <w:b/>
          <w:color w:val="000000" w:themeColor="text1"/>
        </w:rPr>
        <w:t>Universidade</w:t>
      </w:r>
      <w:proofErr w:type="spellEnd"/>
      <w:r w:rsidRPr="00BE4F20">
        <w:rPr>
          <w:b/>
          <w:color w:val="000000" w:themeColor="text1"/>
        </w:rPr>
        <w:t xml:space="preserve"> Federal de Santa Catarina, </w:t>
      </w:r>
      <w:proofErr w:type="spellStart"/>
      <w:r w:rsidRPr="00BE4F20">
        <w:rPr>
          <w:b/>
          <w:color w:val="000000" w:themeColor="text1"/>
        </w:rPr>
        <w:t>Florianópolis</w:t>
      </w:r>
      <w:proofErr w:type="spellEnd"/>
      <w:r>
        <w:rPr>
          <w:color w:val="000000" w:themeColor="text1"/>
        </w:rPr>
        <w:t>,</w:t>
      </w:r>
      <w:r w:rsidRPr="00BE4F20">
        <w:rPr>
          <w:color w:val="000000" w:themeColor="text1"/>
        </w:rPr>
        <w:t xml:space="preserve"> 1998.</w:t>
      </w:r>
    </w:p>
    <w:p w14:paraId="38024617" w14:textId="4956A8A3" w:rsidR="00190217" w:rsidRDefault="00190217" w:rsidP="00190217">
      <w:pPr>
        <w:spacing w:line="360" w:lineRule="auto"/>
        <w:jc w:val="both"/>
        <w:rPr>
          <w:color w:val="000000" w:themeColor="text1"/>
        </w:rPr>
      </w:pPr>
      <w:r w:rsidRPr="00CC729B">
        <w:rPr>
          <w:color w:val="000000" w:themeColor="text1"/>
        </w:rPr>
        <w:t>CHIRA</w:t>
      </w:r>
      <w:r w:rsidR="0002113F">
        <w:rPr>
          <w:color w:val="000000" w:themeColor="text1"/>
        </w:rPr>
        <w:t xml:space="preserve">, </w:t>
      </w:r>
      <w:proofErr w:type="spellStart"/>
      <w:r w:rsidRPr="00CC729B">
        <w:rPr>
          <w:color w:val="000000" w:themeColor="text1"/>
        </w:rPr>
        <w:t>Trairongchitmoh</w:t>
      </w:r>
      <w:proofErr w:type="spellEnd"/>
      <w:r w:rsidR="0002113F">
        <w:rPr>
          <w:color w:val="000000" w:themeColor="text1"/>
        </w:rPr>
        <w:t xml:space="preserve">. </w:t>
      </w:r>
      <w:r w:rsidRPr="00CC729B">
        <w:rPr>
          <w:color w:val="000000" w:themeColor="text1"/>
        </w:rPr>
        <w:t>Sacrococcygeal fetus-in-</w:t>
      </w:r>
      <w:proofErr w:type="spellStart"/>
      <w:r w:rsidRPr="00CC729B">
        <w:rPr>
          <w:color w:val="000000" w:themeColor="text1"/>
        </w:rPr>
        <w:t>fetu</w:t>
      </w:r>
      <w:proofErr w:type="spellEnd"/>
      <w:r w:rsidR="0002113F">
        <w:rPr>
          <w:color w:val="000000" w:themeColor="text1"/>
        </w:rPr>
        <w:t xml:space="preserve">. </w:t>
      </w:r>
      <w:r w:rsidRPr="00CC729B">
        <w:rPr>
          <w:b/>
          <w:color w:val="000000" w:themeColor="text1"/>
        </w:rPr>
        <w:t>Journal of Pediatric Surgery Case Reports</w:t>
      </w:r>
      <w:r w:rsidRPr="00CC729B">
        <w:rPr>
          <w:color w:val="000000" w:themeColor="text1"/>
        </w:rPr>
        <w:t>, Volume 59, 2020, ISSN 2213-5766.</w:t>
      </w:r>
    </w:p>
    <w:p w14:paraId="35A09834" w14:textId="0992879A" w:rsidR="00190217" w:rsidRDefault="00190217" w:rsidP="0019021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FAIZI</w:t>
      </w:r>
      <w:r w:rsidRPr="00CC729B">
        <w:rPr>
          <w:color w:val="000000" w:themeColor="text1"/>
        </w:rPr>
        <w:t xml:space="preserve">, Fazel Rahman; </w:t>
      </w:r>
      <w:r w:rsidRPr="00CC729B">
        <w:rPr>
          <w:color w:val="000000" w:themeColor="text1"/>
        </w:rPr>
        <w:t>RASOULY</w:t>
      </w:r>
      <w:r w:rsidRPr="00CC729B">
        <w:rPr>
          <w:color w:val="000000" w:themeColor="text1"/>
        </w:rPr>
        <w:t xml:space="preserve">, Najibullah; </w:t>
      </w:r>
      <w:r w:rsidRPr="00CC729B">
        <w:rPr>
          <w:color w:val="000000" w:themeColor="text1"/>
        </w:rPr>
        <w:t>AIEN</w:t>
      </w:r>
      <w:r w:rsidRPr="00CC729B">
        <w:rPr>
          <w:color w:val="000000" w:themeColor="text1"/>
        </w:rPr>
        <w:t xml:space="preserve">, Mohammed Tahir. Fetus in </w:t>
      </w:r>
      <w:proofErr w:type="spellStart"/>
      <w:r w:rsidRPr="00CC729B">
        <w:rPr>
          <w:color w:val="000000" w:themeColor="text1"/>
        </w:rPr>
        <w:t>fetu</w:t>
      </w:r>
      <w:proofErr w:type="spellEnd"/>
      <w:r w:rsidRPr="00CC729B">
        <w:rPr>
          <w:color w:val="000000" w:themeColor="text1"/>
        </w:rPr>
        <w:t xml:space="preserve"> or </w:t>
      </w:r>
      <w:proofErr w:type="spellStart"/>
      <w:r w:rsidRPr="00CC729B">
        <w:rPr>
          <w:color w:val="000000" w:themeColor="text1"/>
        </w:rPr>
        <w:t>fetiform</w:t>
      </w:r>
      <w:proofErr w:type="spellEnd"/>
      <w:r w:rsidRPr="00CC729B">
        <w:rPr>
          <w:color w:val="000000" w:themeColor="text1"/>
        </w:rPr>
        <w:t xml:space="preserve"> teratoma? Report of two cases. </w:t>
      </w:r>
      <w:r w:rsidRPr="00CC729B">
        <w:rPr>
          <w:b/>
          <w:color w:val="000000" w:themeColor="text1"/>
        </w:rPr>
        <w:t>Journal of Pediatric Surgery Case Reports</w:t>
      </w:r>
      <w:r w:rsidRPr="00CC729B">
        <w:rPr>
          <w:color w:val="000000" w:themeColor="text1"/>
        </w:rPr>
        <w:t>, v. 61, p. 101605, 2020.</w:t>
      </w:r>
    </w:p>
    <w:p w14:paraId="7EB0703E" w14:textId="4B936205" w:rsidR="00190217" w:rsidRDefault="00190217" w:rsidP="00190217">
      <w:pPr>
        <w:spacing w:line="360" w:lineRule="auto"/>
        <w:jc w:val="both"/>
        <w:rPr>
          <w:color w:val="000000" w:themeColor="text1"/>
        </w:rPr>
      </w:pPr>
      <w:r w:rsidRPr="00CC729B">
        <w:rPr>
          <w:color w:val="000000" w:themeColor="text1"/>
        </w:rPr>
        <w:t>MOORE</w:t>
      </w:r>
      <w:r w:rsidRPr="00CC729B">
        <w:rPr>
          <w:color w:val="000000" w:themeColor="text1"/>
        </w:rPr>
        <w:t xml:space="preserve">, Keith l. </w:t>
      </w:r>
      <w:proofErr w:type="spellStart"/>
      <w:r w:rsidRPr="00CC729B">
        <w:rPr>
          <w:color w:val="000000" w:themeColor="text1"/>
        </w:rPr>
        <w:t>Embriologia</w:t>
      </w:r>
      <w:proofErr w:type="spellEnd"/>
      <w:r w:rsidRPr="00CC729B">
        <w:rPr>
          <w:color w:val="000000" w:themeColor="text1"/>
        </w:rPr>
        <w:t xml:space="preserve"> </w:t>
      </w:r>
      <w:proofErr w:type="spellStart"/>
      <w:r w:rsidRPr="00CC729B">
        <w:rPr>
          <w:color w:val="000000" w:themeColor="text1"/>
        </w:rPr>
        <w:t>básica</w:t>
      </w:r>
      <w:proofErr w:type="spellEnd"/>
      <w:r w:rsidRPr="00CC729B">
        <w:rPr>
          <w:color w:val="000000" w:themeColor="text1"/>
        </w:rPr>
        <w:t xml:space="preserve"> / Keith L. Moore, T. V. N. (Vid) Persaud, Mark G. Torchia; [</w:t>
      </w:r>
      <w:proofErr w:type="spellStart"/>
      <w:r w:rsidRPr="00CC729B">
        <w:rPr>
          <w:color w:val="000000" w:themeColor="text1"/>
        </w:rPr>
        <w:t>tradução</w:t>
      </w:r>
      <w:proofErr w:type="spellEnd"/>
      <w:r w:rsidRPr="00CC729B">
        <w:rPr>
          <w:color w:val="000000" w:themeColor="text1"/>
        </w:rPr>
        <w:t xml:space="preserve"> </w:t>
      </w:r>
      <w:proofErr w:type="spellStart"/>
      <w:r w:rsidRPr="00CC729B">
        <w:rPr>
          <w:color w:val="000000" w:themeColor="text1"/>
        </w:rPr>
        <w:t>Danuza</w:t>
      </w:r>
      <w:proofErr w:type="spellEnd"/>
      <w:r w:rsidRPr="00CC729B">
        <w:rPr>
          <w:color w:val="000000" w:themeColor="text1"/>
        </w:rPr>
        <w:t xml:space="preserve"> Pinheiro Bastos, Renata </w:t>
      </w:r>
      <w:proofErr w:type="spellStart"/>
      <w:r w:rsidRPr="00CC729B">
        <w:rPr>
          <w:color w:val="000000" w:themeColor="text1"/>
        </w:rPr>
        <w:t>Scavone</w:t>
      </w:r>
      <w:proofErr w:type="spellEnd"/>
      <w:r w:rsidRPr="00CC729B">
        <w:rPr>
          <w:color w:val="000000" w:themeColor="text1"/>
        </w:rPr>
        <w:t xml:space="preserve"> de Oliveira].   9. ed.   Rio de Janeiro: </w:t>
      </w:r>
      <w:r w:rsidRPr="00CC729B">
        <w:rPr>
          <w:b/>
          <w:color w:val="000000" w:themeColor="text1"/>
        </w:rPr>
        <w:t>Elsevier</w:t>
      </w:r>
      <w:r w:rsidRPr="00CC729B">
        <w:rPr>
          <w:color w:val="000000" w:themeColor="text1"/>
        </w:rPr>
        <w:t xml:space="preserve">, 2016.    </w:t>
      </w:r>
    </w:p>
    <w:p w14:paraId="702439DF" w14:textId="77777777" w:rsidR="00190217" w:rsidRDefault="00190217" w:rsidP="00190217">
      <w:pPr>
        <w:spacing w:line="360" w:lineRule="auto"/>
        <w:jc w:val="both"/>
        <w:rPr>
          <w:color w:val="000000" w:themeColor="text1"/>
        </w:rPr>
      </w:pPr>
    </w:p>
    <w:p w14:paraId="0DC231D8" w14:textId="77777777" w:rsidR="00190217" w:rsidRPr="00CC729B" w:rsidRDefault="00190217" w:rsidP="00190217">
      <w:pPr>
        <w:spacing w:line="360" w:lineRule="auto"/>
        <w:jc w:val="both"/>
        <w:rPr>
          <w:color w:val="000000" w:themeColor="text1"/>
        </w:rPr>
      </w:pPr>
    </w:p>
    <w:p w14:paraId="2DFC85B2" w14:textId="77777777" w:rsidR="00190217" w:rsidRPr="00CC729B" w:rsidRDefault="00190217" w:rsidP="00190217">
      <w:pPr>
        <w:spacing w:line="360" w:lineRule="auto"/>
        <w:jc w:val="both"/>
        <w:rPr>
          <w:color w:val="000000" w:themeColor="text1"/>
        </w:rPr>
      </w:pPr>
    </w:p>
    <w:p w14:paraId="7A50BD4C" w14:textId="407A79D4" w:rsidR="00486AC9" w:rsidRPr="00D77235" w:rsidRDefault="00F539AA" w:rsidP="00190217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sectPr w:rsidR="00486AC9" w:rsidRPr="00D77235" w:rsidSect="00AC34D2">
      <w:headerReference w:type="default" r:id="rId7"/>
      <w:pgSz w:w="12240" w:h="15840"/>
      <w:pgMar w:top="853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7542" w14:textId="77777777" w:rsidR="00F539AA" w:rsidRDefault="00F539AA" w:rsidP="00AA112D">
      <w:pPr>
        <w:spacing w:after="0" w:line="240" w:lineRule="auto"/>
      </w:pPr>
      <w:r>
        <w:separator/>
      </w:r>
    </w:p>
  </w:endnote>
  <w:endnote w:type="continuationSeparator" w:id="0">
    <w:p w14:paraId="1F6A620B" w14:textId="77777777" w:rsidR="00F539AA" w:rsidRDefault="00F539AA" w:rsidP="00AA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A8CD" w14:textId="77777777" w:rsidR="00F539AA" w:rsidRDefault="00F539AA" w:rsidP="00AA112D">
      <w:pPr>
        <w:spacing w:after="0" w:line="240" w:lineRule="auto"/>
      </w:pPr>
      <w:r>
        <w:separator/>
      </w:r>
    </w:p>
  </w:footnote>
  <w:footnote w:type="continuationSeparator" w:id="0">
    <w:p w14:paraId="7006649D" w14:textId="77777777" w:rsidR="00F539AA" w:rsidRDefault="00F539AA" w:rsidP="00AA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1B1E" w14:textId="77777777" w:rsidR="00AA112D" w:rsidRDefault="00AA112D" w:rsidP="00207561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E148B"/>
    <w:multiLevelType w:val="hybridMultilevel"/>
    <w:tmpl w:val="8A5EDB72"/>
    <w:lvl w:ilvl="0" w:tplc="0F429FB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0883696"/>
    <w:multiLevelType w:val="hybridMultilevel"/>
    <w:tmpl w:val="1BF869D8"/>
    <w:lvl w:ilvl="0" w:tplc="B36E0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25F72"/>
    <w:multiLevelType w:val="hybridMultilevel"/>
    <w:tmpl w:val="E83E4B9A"/>
    <w:lvl w:ilvl="0" w:tplc="DEBA3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3204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B2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D24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FCBE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78C9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34E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E11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BA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2D"/>
    <w:rsid w:val="000174E2"/>
    <w:rsid w:val="0002113F"/>
    <w:rsid w:val="000C1234"/>
    <w:rsid w:val="00154F87"/>
    <w:rsid w:val="00190217"/>
    <w:rsid w:val="001C3300"/>
    <w:rsid w:val="00207561"/>
    <w:rsid w:val="00217587"/>
    <w:rsid w:val="00277727"/>
    <w:rsid w:val="00283674"/>
    <w:rsid w:val="003472D9"/>
    <w:rsid w:val="003579EC"/>
    <w:rsid w:val="003C4761"/>
    <w:rsid w:val="00415F95"/>
    <w:rsid w:val="00497528"/>
    <w:rsid w:val="005045B8"/>
    <w:rsid w:val="0057739C"/>
    <w:rsid w:val="00577A3D"/>
    <w:rsid w:val="005A7B90"/>
    <w:rsid w:val="00604832"/>
    <w:rsid w:val="006167DA"/>
    <w:rsid w:val="007D428A"/>
    <w:rsid w:val="009615F6"/>
    <w:rsid w:val="00A01A81"/>
    <w:rsid w:val="00AA112D"/>
    <w:rsid w:val="00AC34D2"/>
    <w:rsid w:val="00C669D7"/>
    <w:rsid w:val="00D77235"/>
    <w:rsid w:val="00E8099A"/>
    <w:rsid w:val="00F5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545B"/>
  <w15:chartTrackingRefBased/>
  <w15:docId w15:val="{6F410F30-395B-4EEF-9037-3C5DB8D8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A112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A1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112D"/>
  </w:style>
  <w:style w:type="paragraph" w:styleId="Rodap">
    <w:name w:val="footer"/>
    <w:basedOn w:val="Normal"/>
    <w:link w:val="RodapChar"/>
    <w:uiPriority w:val="99"/>
    <w:unhideWhenUsed/>
    <w:rsid w:val="00AA1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112D"/>
  </w:style>
  <w:style w:type="paragraph" w:styleId="PargrafodaLista">
    <w:name w:val="List Paragraph"/>
    <w:basedOn w:val="Normal"/>
    <w:uiPriority w:val="34"/>
    <w:qFormat/>
    <w:rsid w:val="003C4761"/>
    <w:pPr>
      <w:ind w:left="720"/>
      <w:contextualSpacing/>
    </w:pPr>
  </w:style>
  <w:style w:type="paragraph" w:customStyle="1" w:styleId="ResumoXVIIIENANCIB">
    <w:name w:val="Resumo_XVIII_ENANCIB"/>
    <w:basedOn w:val="Recuodecorpodetexto"/>
    <w:qFormat/>
    <w:rsid w:val="006167DA"/>
    <w:pPr>
      <w:spacing w:after="0" w:line="240" w:lineRule="auto"/>
      <w:ind w:left="0"/>
      <w:jc w:val="both"/>
    </w:pPr>
    <w:rPr>
      <w:rFonts w:eastAsia="Times New Roman" w:cstheme="minorHAnsi"/>
      <w:b/>
      <w:bCs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67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424">
          <w:marLeft w:val="547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Rosaline Mota</dc:creator>
  <cp:keywords/>
  <dc:description/>
  <cp:lastModifiedBy>Marina Presmich</cp:lastModifiedBy>
  <cp:revision>2</cp:revision>
  <dcterms:created xsi:type="dcterms:W3CDTF">2022-04-01T01:17:00Z</dcterms:created>
  <dcterms:modified xsi:type="dcterms:W3CDTF">2022-04-01T01:17:00Z</dcterms:modified>
</cp:coreProperties>
</file>