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B54347" w14:textId="77777777" w:rsidR="009B4014" w:rsidRDefault="00E64BAF">
      <w:r>
        <w:rPr>
          <w:noProof/>
          <w:lang w:eastAsia="pt-BR"/>
        </w:rPr>
        <w:drawing>
          <wp:inline distT="0" distB="0" distL="0" distR="0" wp14:anchorId="13BE54E7" wp14:editId="07CBDA1E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2C86C" w14:textId="3935275D" w:rsidR="00342DF4" w:rsidRDefault="006B5F4C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5F4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GAMIFICAÇÃO NA APRENDIZAGEM: POTENCIALIDADES PARA INCLUSÃO DE ESTUDANTES COM TEA, ENGAJAMENTO E QUALIDADE DE VIDA ESCOLAR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14:paraId="672F919A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6F1ADE5" w14:textId="77777777" w:rsidR="00342DF4" w:rsidRDefault="00B44C1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Pedro Lucas Valeriano Rocha</w:t>
      </w:r>
    </w:p>
    <w:p w14:paraId="20A8E1B7" w14:textId="6C46E977" w:rsidR="00342DF4" w:rsidRDefault="006E0CC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</w:t>
      </w:r>
      <w:r w:rsidR="00145373">
        <w:rPr>
          <w:rFonts w:ascii="Times New Roman" w:eastAsia="Times New Roman" w:hAnsi="Times New Roman" w:cs="Times New Roman"/>
          <w:sz w:val="24"/>
          <w:szCs w:val="24"/>
          <w:lang w:eastAsia="pt-BR"/>
        </w:rPr>
        <w:t>nimontes</w:t>
      </w:r>
      <w:proofErr w:type="spellEnd"/>
    </w:p>
    <w:p w14:paraId="09E7F3D0" w14:textId="77777777" w:rsidR="00342DF4" w:rsidRDefault="00B44C1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pedrolucasvalerianorocha@gmail.com</w:t>
      </w:r>
    </w:p>
    <w:p w14:paraId="61AEB4AC" w14:textId="77777777" w:rsidR="00145373" w:rsidRDefault="00145373" w:rsidP="001453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6576FD" w14:textId="2B5B1E86" w:rsidR="00145373" w:rsidRDefault="00145373" w:rsidP="001453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Júnea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Tatiane Damasceno Oliveira</w:t>
      </w:r>
    </w:p>
    <w:p w14:paraId="7392BBD2" w14:textId="77777777" w:rsidR="00145373" w:rsidRDefault="00145373" w:rsidP="001453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F01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Universidade Estadual de Montes Claros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Unimontes</w:t>
      </w:r>
      <w:proofErr w:type="spellEnd"/>
    </w:p>
    <w:p w14:paraId="5F3C677D" w14:textId="77777777" w:rsidR="00145373" w:rsidRDefault="00145373" w:rsidP="001453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junea.oliveira@unimontes.br</w:t>
      </w:r>
    </w:p>
    <w:p w14:paraId="22812D3C" w14:textId="77777777" w:rsidR="00342DF4" w:rsidRDefault="00342DF4" w:rsidP="00AC29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3501F08" w14:textId="77777777" w:rsidR="00145373" w:rsidRDefault="00145373" w:rsidP="001453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453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Eixo 1 – Educação Inclusiva, Acessibilidade e Tecnologias </w:t>
      </w:r>
      <w:proofErr w:type="spellStart"/>
      <w:proofErr w:type="gramStart"/>
      <w:r w:rsidRPr="001453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Assistivas</w:t>
      </w:r>
      <w:proofErr w:type="spellEnd"/>
      <w:proofErr w:type="gramEnd"/>
    </w:p>
    <w:p w14:paraId="5FB01671" w14:textId="77777777" w:rsidR="00145373" w:rsidRDefault="00145373" w:rsidP="001453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42E823B" w14:textId="00B2DEE6" w:rsidR="00342DF4" w:rsidRDefault="00342DF4" w:rsidP="001453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B44C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5F4DC1" w:rsidRPr="005F4D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Gamificação</w:t>
      </w:r>
      <w:proofErr w:type="spellEnd"/>
      <w:r w:rsidR="005F4DC1" w:rsidRPr="005F4DC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TEA, Inclusão, Engajamento, Metodologias Ativas</w:t>
      </w:r>
      <w:r w:rsidR="0014537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7746DD42" w14:textId="77777777" w:rsidR="00342DF4" w:rsidRDefault="00342DF4" w:rsidP="00145373">
      <w:pPr>
        <w:spacing w:after="0" w:line="240" w:lineRule="auto"/>
      </w:pPr>
    </w:p>
    <w:p w14:paraId="1649B201" w14:textId="77777777" w:rsidR="00145373" w:rsidRP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453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Introdução</w:t>
      </w:r>
    </w:p>
    <w:p w14:paraId="243E7B4D" w14:textId="77777777" w:rsidR="00145373" w:rsidRP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E84EECC" w14:textId="25DA30E0" w:rsidR="006B5F4C" w:rsidRPr="006B5F4C" w:rsidRDefault="006B5F4C" w:rsidP="006B5F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Nas últimas décadas, a educação tem experimentado transformações significativas, impulsionadas pelas tecnologias digitais e pelas demandas sociais por uma formação mais integral, inclusiva e humanizada. Nesse cenário, torna-se essencial a busca por estratégias pedagógicas que não apenas promovam o desenvolvimento cognitivo, mas também favoreçam a acessibilidade, o bem-estar e a qualidade de vida dos estudantes, incluindo aqueles com Transtorno do Espectro Autista (TEA). As escolas contemporâneas enfrentam desafios complexos, como desmotivação, dispersão e falta </w:t>
      </w:r>
      <w:bookmarkStart w:id="0" w:name="_GoBack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engajamento, especialmente em contextos nos quais há diversidade de ritmos, estilos </w:t>
      </w:r>
      <w:bookmarkEnd w:id="0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e condições de aprendizagem, evidenciando a necessidade de metodologias inovadoras que tornem o processo educativo mais significativo, equitativo e acolhedor.</w:t>
      </w:r>
    </w:p>
    <w:p w14:paraId="000C0D3D" w14:textId="7BC787D5" w:rsidR="00145373" w:rsidRDefault="006B5F4C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surge como uma estratégia relevante para atender a essas demandas, ao aplicar elementos próprios dos jogos como desafios, recompensas, níveis de progressão e interação em contextos educativos. Diferentemente do simples uso de jogos digitais, essa abordagem busca mobilizar a motivação intrínseca e extrínseca dos estudantes, promovendo participação ativa, colaboração e senso de pertencimento no ambiente escolar. Ao integrar prazer e aprendizagem, a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transforma a sala de aula em um espaço mais dinâmico, inclusivo e acolhedor, no qual o erro é compreendido como parte do processo e os desafios são percebidos como oportunidades de crescimento. Assim, a inovação pedagógica não se limita à introdução de recursos tecnológicos, mas envolve a construção de práticas acessíveis que promovam interações significativas e contribuam para o desenvolvimento integral de todos os sujeitos, incluindo aqueles com TEA.</w:t>
      </w:r>
    </w:p>
    <w:p w14:paraId="5A743D6D" w14:textId="77777777" w:rsidR="006B5F4C" w:rsidRDefault="006B5F4C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6E1A92" w14:textId="77777777" w:rsidR="00145373" w:rsidRP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453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Fundamentos Teóricos</w:t>
      </w:r>
    </w:p>
    <w:p w14:paraId="57FE3049" w14:textId="77777777" w:rsidR="00145373" w:rsidRP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DB7C0DF" w14:textId="1E2F41C7" w:rsidR="006B5F4C" w:rsidRPr="006B5F4C" w:rsidRDefault="006B5F4C" w:rsidP="006B5F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estudo da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aprendizagem é relevante por demonstrar de que forma essa abordagem pode aumentar o engajamento discente e, ao mesmo tempo, promover qualidade de vida escolar, considerando as demandas da inclusão e da acessibilidade, especialmente de estudantes com TEA. Entendida como a utilização de elementos de jogos em contextos não lúdicos, a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consolida-se como uma prática inovadora capaz de estimular motivação, engajamento e bem-estar.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Kapp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(2012) destaca que a aplicação desses elementos possibilita experiências educativas mais participativas e envolventes, incentivando os estudantes a se engajarem ativamente na construção do conhecimento.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McGonigal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(2011) reforça que os jogos fortalecem competências cognitivas, sociais e emocionais, contribuindo significativamente para a melhoria da qualidade de vida e para a promoção de experiências de aprendizagem prazerosas, colaborativas e inclusivas.</w:t>
      </w:r>
    </w:p>
    <w:p w14:paraId="3453F0D0" w14:textId="22AE2FB3" w:rsidR="006B5F4C" w:rsidRPr="006B5F4C" w:rsidRDefault="006B5F4C" w:rsidP="006B5F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Deterding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(2011) acrescenta que o sucesso da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depende do equilíbrio entre desafios e recompensas, de modo a estimular autonomia, reconhecimento e senso de pertencimento.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Yu-kai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Chou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(2014), com seu modelo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Octalysis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descreve motivações humanas fundamentais como conquista, desenvolvimento pessoal e engajamento social que podem ser ativadas por meio da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resultando em experiências escolares mais positivas e significativas. No contexto brasileiro, Meira (2019) ressalta que, quando planejada de forma adequada, a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atua como catalisadora da inovação pedagógica, estimulando ludicidade e criatividade. Santos (2015) </w:t>
      </w:r>
      <w:proofErr w:type="gram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complementa</w:t>
      </w:r>
      <w:proofErr w:type="gram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, observando que metodologias ativas apoiadas em tecnologias digitais e elementos de jogos fortalecem vínculos entre alunos, professores e conhecimento, ampliando as condições de acessibilidade e tornando a aprendizagem mais interativa, inclusiva e colaborativa.</w:t>
      </w:r>
    </w:p>
    <w:p w14:paraId="0B4555D0" w14:textId="6034FCEF" w:rsidR="00145373" w:rsidRDefault="006B5F4C" w:rsidP="006B5F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Camatta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(2025) evidencia que a </w:t>
      </w:r>
      <w:proofErr w:type="spellStart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6B5F4C">
        <w:rPr>
          <w:rFonts w:ascii="Times New Roman" w:eastAsia="Times New Roman" w:hAnsi="Times New Roman" w:cs="Times New Roman"/>
          <w:sz w:val="24"/>
          <w:szCs w:val="24"/>
          <w:lang w:eastAsia="pt-BR"/>
        </w:rPr>
        <w:t>, quando aplicada no atendimento a estudantes com TEA, permite a adaptação de desafios e recompensas conforme as necessidades individuais, facilitando a compreensão de regras, a interação social e o engajamento acadêmico. Essa abordagem contribui para a promoção de experiências escolares mais estruturadas e acolhedoras, estimulando autonomia, comunicação e participação ativa de estudantes que frequentemente enfrentam barreiras na aprendizagem tradicional.</w:t>
      </w:r>
    </w:p>
    <w:p w14:paraId="6D154988" w14:textId="77777777" w:rsid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B9CF405" w14:textId="77777777" w:rsidR="00145373" w:rsidRP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453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Metodologia</w:t>
      </w:r>
    </w:p>
    <w:p w14:paraId="5F4A3DE1" w14:textId="77777777" w:rsidR="00145373" w:rsidRP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96BF84A" w14:textId="74570420" w:rsidR="00145373" w:rsidRDefault="002F081A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pesquisa apresenta caráter qualitativo, exploratório e descritivo, fundamentando-se em revisão bibliográfica de produções acadêmicas nacionais e internacionais sobre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aprendizagem, com foco em engajamento discente, inclusão, acessibilidade e qualidade de vida escolar, incluindo especificamente estudantes com TEA. Foram consultadas obras de referência e artigos publicados em periódicos científicos disponíveis em bases de dados como Google Scholar,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Scielo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Periódicos CAPES, priorizando estudos publicados nos últimos quinze anos. A análise envolveu leitura crítica, fichamento e interpretação das obras, buscando compreender abordagens teóricas, estratégias metodológicas e resultados obtidos, além de experiências relatadas em práticas pedagógicas, com vistas a indicar caminhos para futuras aplicações em sala de aula e contribuições à inovação educacional.</w:t>
      </w:r>
    </w:p>
    <w:p w14:paraId="03C13269" w14:textId="77777777" w:rsid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17A9198" w14:textId="77777777" w:rsidR="00145373" w:rsidRP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453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Análise de Dados</w:t>
      </w:r>
    </w:p>
    <w:p w14:paraId="66305ED7" w14:textId="77777777" w:rsidR="00145373" w:rsidRP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364CC5B" w14:textId="59DCCDE6" w:rsidR="002F081A" w:rsidRPr="002F081A" w:rsidRDefault="002F081A" w:rsidP="002F0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 revisão da literatura evidencia que a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transforma significativamente a experiência escolar. Estudos indicam que elementos de jogos, como metas, recompensas e </w:t>
      </w:r>
      <w:proofErr w:type="gram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feedback</w:t>
      </w:r>
      <w:proofErr w:type="gram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imediato, promovem maior engajamento e participação dos estudantes, favorecendo uma aprendizagem ativa, motivadora e acessível. Além disso, os jogos estimulam prazer, interação social e bem-estar, aspectos essenciais para a qualidade de vida no ambiente escolar. Autores como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Deterding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(2011) e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Chou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(2014) enfatizam que a eficácia da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depende do equilíbrio entre desafios e recompensas, promovendo autonomia e senso de pertencimento, impactando positivamente a autoestima e a satisfação com o processo educativo.</w:t>
      </w:r>
    </w:p>
    <w:p w14:paraId="0DC9EEBE" w14:textId="06D3DE2E" w:rsidR="00145373" w:rsidRDefault="002F081A" w:rsidP="002F0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Pesquisas realizadas no Brasil destacam que, quando incorporada como metodologia ativa, a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potencializa ludicidade, criatividade e fortalece vínculos entre alunos e professores, além de possibilitar estratégias adaptadas a diferentes públicos, incluindo estudantes com TEA, garantindo maior acessibilidade e inclusão no processo de ensino-aprendizagem. Os dados sugerem que a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contribui não apenas para o desempenho acadêmico, mas também para dimensões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socioemocionais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como cooperação, resiliência e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autorregulação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. Ao tornar a sala de aula mais interativa e dinâmica, reduz níveis de ansiedade, estimula curiosidade e aumenta o envolvimento com os conteúdos, favorecendo o desenvolvimento integral dos estudantes.</w:t>
      </w:r>
    </w:p>
    <w:p w14:paraId="2E7DCE2D" w14:textId="77777777" w:rsid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0CF984B" w14:textId="77777777" w:rsidR="00145373" w:rsidRP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453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Conclusões</w:t>
      </w:r>
    </w:p>
    <w:p w14:paraId="47125873" w14:textId="77777777" w:rsidR="00145373" w:rsidRP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AEA9DA0" w14:textId="68D7CEDA" w:rsidR="002F081A" w:rsidRPr="002F081A" w:rsidRDefault="002F081A" w:rsidP="002F0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Conclui-se que a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aprendizagem constitui uma estratégia pedagógica inovadora, capaz de ampliar o engajamento discente, promover acessibilidade e fortalecer a qualidade de vida escolar, incluindo estudantes com TEA. Ao integrar elementos de jogos às práticas educativas, transforma a sala de aula em um ambiente dinâmico, colaborativo e prazeroso, no qual os estudantes assumem papel ativo na construção do conhecimento. Além de favorecer o desempenho acadêmico, essa abordagem fortalece dimensões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socioemocionais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, como motivação, cooperação e senso de pertencimento, promovendo experiências de aprendizagem mais significativas e reduzindo tensões.</w:t>
      </w:r>
    </w:p>
    <w:p w14:paraId="69326C10" w14:textId="3A27612E" w:rsidR="00145373" w:rsidRDefault="002F081A" w:rsidP="002F08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contexto contemporâneo, marcado pela exigência de inovação e pela necessidade de inclusão, a </w:t>
      </w:r>
      <w:proofErr w:type="spellStart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>gamificação</w:t>
      </w:r>
      <w:proofErr w:type="spellEnd"/>
      <w:r w:rsidRPr="002F08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articula tecnologia, ludicidade e metodologias ativas, contribuindo para uma formação integral e para a construção de uma cultura escolar mais humanizada, equitativa e acessível, adequada às necessidades de todos os estudantes, incluindo aqueles com TEA.</w:t>
      </w:r>
    </w:p>
    <w:p w14:paraId="4FF6E6F1" w14:textId="77777777" w:rsid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288D608" w14:textId="048206A3" w:rsidR="00AC2924" w:rsidRDefault="00AC2924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4C48DF8C" w14:textId="77777777" w:rsidR="00145373" w:rsidRDefault="00145373" w:rsidP="001453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D682FBF" w14:textId="6C669922" w:rsidR="006B5F4C" w:rsidRDefault="006B5F4C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5F4C">
        <w:rPr>
          <w:rFonts w:ascii="Times New Roman" w:hAnsi="Times New Roman" w:cs="Times New Roman"/>
          <w:sz w:val="24"/>
          <w:szCs w:val="24"/>
        </w:rPr>
        <w:t xml:space="preserve">CAMATTA, Maria de Lourdes Aparecida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Novich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. </w:t>
      </w:r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gamificação</w:t>
      </w:r>
      <w:proofErr w:type="spellEnd"/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 como ferramenta no atendimento aos estudantes no transtorno do espectro autista (TEA)</w:t>
      </w:r>
      <w:r w:rsidRPr="006B5F4C">
        <w:rPr>
          <w:rFonts w:ascii="Times New Roman" w:hAnsi="Times New Roman" w:cs="Times New Roman"/>
          <w:sz w:val="24"/>
          <w:szCs w:val="24"/>
        </w:rPr>
        <w:t>. Revista Ibero-Americana de Humanidades, Ciências e Educação, [S. l.], p. 09–97, 2025.</w:t>
      </w:r>
    </w:p>
    <w:p w14:paraId="52D8E789" w14:textId="77777777" w:rsidR="006B5F4C" w:rsidRDefault="006B5F4C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87CB1F" w14:textId="60FC8721" w:rsidR="00AC2924" w:rsidRDefault="00AC2924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5F4C">
        <w:rPr>
          <w:rFonts w:ascii="Times New Roman" w:hAnsi="Times New Roman" w:cs="Times New Roman"/>
          <w:sz w:val="24"/>
          <w:szCs w:val="24"/>
        </w:rPr>
        <w:t xml:space="preserve">CHOU,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Yu-kai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Actionable</w:t>
      </w:r>
      <w:proofErr w:type="spellEnd"/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Gamification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Beyond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Points,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Badges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Leaderboards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Octalysis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Media, 2014.</w:t>
      </w:r>
    </w:p>
    <w:p w14:paraId="395C559D" w14:textId="77777777" w:rsidR="006B5F4C" w:rsidRPr="006B5F4C" w:rsidRDefault="006B5F4C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83269" w14:textId="77777777" w:rsidR="00AC2924" w:rsidRPr="006B5F4C" w:rsidRDefault="00AC2924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5F4C">
        <w:rPr>
          <w:rFonts w:ascii="Times New Roman" w:hAnsi="Times New Roman" w:cs="Times New Roman"/>
          <w:sz w:val="24"/>
          <w:szCs w:val="24"/>
        </w:rPr>
        <w:t xml:space="preserve">DETERDING, Sebastian </w:t>
      </w:r>
      <w:proofErr w:type="gramStart"/>
      <w:r w:rsidRPr="006B5F4C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6B5F4C">
        <w:rPr>
          <w:rFonts w:ascii="Times New Roman" w:hAnsi="Times New Roman" w:cs="Times New Roman"/>
          <w:sz w:val="24"/>
          <w:szCs w:val="24"/>
        </w:rPr>
        <w:t xml:space="preserve"> al.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 game design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elements</w:t>
      </w:r>
      <w:proofErr w:type="spellEnd"/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gamefulness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defining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gamification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Proceedings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15th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5F4C">
        <w:rPr>
          <w:rFonts w:ascii="Times New Roman" w:hAnsi="Times New Roman" w:cs="Times New Roman"/>
          <w:sz w:val="24"/>
          <w:szCs w:val="24"/>
        </w:rPr>
        <w:t>MindTrek</w:t>
      </w:r>
      <w:proofErr w:type="spellEnd"/>
      <w:proofErr w:type="gram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Envisioning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Future Media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Environments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. ACM, 2011. </w:t>
      </w:r>
      <w:proofErr w:type="gramStart"/>
      <w:r w:rsidRPr="006B5F4C">
        <w:rPr>
          <w:rFonts w:ascii="Times New Roman" w:hAnsi="Times New Roman" w:cs="Times New Roman"/>
          <w:sz w:val="24"/>
          <w:szCs w:val="24"/>
        </w:rPr>
        <w:t>p.</w:t>
      </w:r>
      <w:proofErr w:type="gramEnd"/>
      <w:r w:rsidRPr="006B5F4C">
        <w:rPr>
          <w:rFonts w:ascii="Times New Roman" w:hAnsi="Times New Roman" w:cs="Times New Roman"/>
          <w:sz w:val="24"/>
          <w:szCs w:val="24"/>
        </w:rPr>
        <w:t xml:space="preserve"> 9–15.</w:t>
      </w:r>
    </w:p>
    <w:p w14:paraId="3E879EA2" w14:textId="77777777" w:rsidR="006B5F4C" w:rsidRPr="006B5F4C" w:rsidRDefault="006B5F4C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2D14A" w14:textId="77777777" w:rsidR="00AC2924" w:rsidRPr="006B5F4C" w:rsidRDefault="00AC2924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5F4C">
        <w:rPr>
          <w:rFonts w:ascii="Times New Roman" w:hAnsi="Times New Roman" w:cs="Times New Roman"/>
          <w:sz w:val="24"/>
          <w:szCs w:val="24"/>
        </w:rPr>
        <w:lastRenderedPageBreak/>
        <w:t xml:space="preserve">KAPP, Karl M. </w:t>
      </w:r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Gamification</w:t>
      </w:r>
      <w:proofErr w:type="spellEnd"/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 Learning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Instruction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>: Game-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for Training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>. San Francisco: Pfeiffer, 2012.</w:t>
      </w:r>
    </w:p>
    <w:p w14:paraId="12FB37B1" w14:textId="77777777" w:rsidR="006B5F4C" w:rsidRPr="006B5F4C" w:rsidRDefault="006B5F4C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23FA7E" w14:textId="77777777" w:rsidR="00AC2924" w:rsidRPr="006B5F4C" w:rsidRDefault="00AC2924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5F4C">
        <w:rPr>
          <w:rFonts w:ascii="Times New Roman" w:hAnsi="Times New Roman" w:cs="Times New Roman"/>
          <w:sz w:val="24"/>
          <w:szCs w:val="24"/>
        </w:rPr>
        <w:t xml:space="preserve">MCGONIGAL, Jane. </w:t>
      </w:r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Reality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is</w:t>
      </w:r>
      <w:proofErr w:type="spellEnd"/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Broken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Games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Us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World. New York: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Penguin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Press, 2011.</w:t>
      </w:r>
    </w:p>
    <w:p w14:paraId="36CA1926" w14:textId="77777777" w:rsidR="006B5F4C" w:rsidRPr="006B5F4C" w:rsidRDefault="006B5F4C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4DA24A" w14:textId="77777777" w:rsidR="00AC2924" w:rsidRPr="006B5F4C" w:rsidRDefault="00AC2924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5F4C">
        <w:rPr>
          <w:rFonts w:ascii="Times New Roman" w:hAnsi="Times New Roman" w:cs="Times New Roman"/>
          <w:sz w:val="24"/>
          <w:szCs w:val="24"/>
        </w:rPr>
        <w:t xml:space="preserve">MEIRA, Luciano. </w:t>
      </w:r>
      <w:r w:rsidRPr="006B5F4C">
        <w:rPr>
          <w:rFonts w:ascii="Times New Roman" w:hAnsi="Times New Roman" w:cs="Times New Roman"/>
          <w:b/>
          <w:bCs/>
          <w:sz w:val="24"/>
          <w:szCs w:val="24"/>
        </w:rPr>
        <w:t>Educação e ludicidade</w:t>
      </w:r>
      <w:r w:rsidRPr="006B5F4C">
        <w:rPr>
          <w:rFonts w:ascii="Times New Roman" w:hAnsi="Times New Roman" w:cs="Times New Roman"/>
          <w:sz w:val="24"/>
          <w:szCs w:val="24"/>
        </w:rPr>
        <w:t>: jogos digitais e inovação pedagógica. Revista Brasileira de Aprendizagem Aberta e a Distância, v. 18, n. 1, 2019.</w:t>
      </w:r>
    </w:p>
    <w:p w14:paraId="123C24E4" w14:textId="77777777" w:rsidR="006B5F4C" w:rsidRPr="006B5F4C" w:rsidRDefault="006B5F4C" w:rsidP="006B5F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7398EB" w14:textId="1E354791" w:rsidR="00342DF4" w:rsidRDefault="00AC2924" w:rsidP="006B5F4C">
      <w:r w:rsidRPr="006B5F4C">
        <w:rPr>
          <w:rFonts w:ascii="Times New Roman" w:hAnsi="Times New Roman" w:cs="Times New Roman"/>
          <w:sz w:val="24"/>
          <w:szCs w:val="24"/>
        </w:rPr>
        <w:t xml:space="preserve">SANTOS,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Edméa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 xml:space="preserve"> Oliveira. </w:t>
      </w:r>
      <w:r w:rsidRPr="006B5F4C">
        <w:rPr>
          <w:rFonts w:ascii="Times New Roman" w:hAnsi="Times New Roman" w:cs="Times New Roman"/>
          <w:b/>
          <w:bCs/>
          <w:sz w:val="24"/>
          <w:szCs w:val="24"/>
        </w:rPr>
        <w:t xml:space="preserve">Educação online para além da </w:t>
      </w:r>
      <w:proofErr w:type="spellStart"/>
      <w:proofErr w:type="gramStart"/>
      <w:r w:rsidRPr="006B5F4C">
        <w:rPr>
          <w:rFonts w:ascii="Times New Roman" w:hAnsi="Times New Roman" w:cs="Times New Roman"/>
          <w:b/>
          <w:bCs/>
          <w:sz w:val="24"/>
          <w:szCs w:val="24"/>
        </w:rPr>
        <w:t>EaD</w:t>
      </w:r>
      <w:proofErr w:type="spellEnd"/>
      <w:proofErr w:type="gramEnd"/>
      <w:r w:rsidRPr="006B5F4C">
        <w:rPr>
          <w:rFonts w:ascii="Times New Roman" w:hAnsi="Times New Roman" w:cs="Times New Roman"/>
          <w:sz w:val="24"/>
          <w:szCs w:val="24"/>
        </w:rPr>
        <w:t xml:space="preserve">: um fenômeno da </w:t>
      </w:r>
      <w:proofErr w:type="spellStart"/>
      <w:r w:rsidRPr="006B5F4C">
        <w:rPr>
          <w:rFonts w:ascii="Times New Roman" w:hAnsi="Times New Roman" w:cs="Times New Roman"/>
          <w:sz w:val="24"/>
          <w:szCs w:val="24"/>
        </w:rPr>
        <w:t>cibercultura</w:t>
      </w:r>
      <w:proofErr w:type="spellEnd"/>
      <w:r w:rsidRPr="006B5F4C">
        <w:rPr>
          <w:rFonts w:ascii="Times New Roman" w:hAnsi="Times New Roman" w:cs="Times New Roman"/>
          <w:sz w:val="24"/>
          <w:szCs w:val="24"/>
        </w:rPr>
        <w:t>. Revista da FAEEBA – Educação e Contemporaneidade, Salvador, v. 24, n. 44, p. 15–26, jan./jun. 2015.</w:t>
      </w:r>
    </w:p>
    <w:sectPr w:rsidR="00342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0368CA"/>
    <w:rsid w:val="00145373"/>
    <w:rsid w:val="002F081A"/>
    <w:rsid w:val="00342DF4"/>
    <w:rsid w:val="00365934"/>
    <w:rsid w:val="003B3E13"/>
    <w:rsid w:val="005F4DC1"/>
    <w:rsid w:val="00660186"/>
    <w:rsid w:val="006B5F4C"/>
    <w:rsid w:val="006E0CC7"/>
    <w:rsid w:val="00773D54"/>
    <w:rsid w:val="00793486"/>
    <w:rsid w:val="00892197"/>
    <w:rsid w:val="00941F25"/>
    <w:rsid w:val="009B4014"/>
    <w:rsid w:val="009F4230"/>
    <w:rsid w:val="00AC2924"/>
    <w:rsid w:val="00B44C1D"/>
    <w:rsid w:val="00DC79A8"/>
    <w:rsid w:val="00E64BAF"/>
    <w:rsid w:val="00ED4D3A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9B9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4C1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3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C292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4C1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3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C29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630F2-7387-4C33-8F52-1B58070CC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1442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pc20</cp:lastModifiedBy>
  <cp:revision>2</cp:revision>
  <dcterms:created xsi:type="dcterms:W3CDTF">2025-09-29T13:35:00Z</dcterms:created>
  <dcterms:modified xsi:type="dcterms:W3CDTF">2025-09-29T13:35:00Z</dcterms:modified>
</cp:coreProperties>
</file>