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C769" w14:textId="77777777" w:rsidR="00007754" w:rsidRDefault="00007754">
      <w:pPr>
        <w:rPr>
          <w:rFonts w:ascii="Arial" w:eastAsia="Arial" w:hAnsi="Arial" w:cs="Arial"/>
          <w:b/>
        </w:rPr>
      </w:pPr>
    </w:p>
    <w:p w14:paraId="4499F3DE" w14:textId="77777777" w:rsidR="00007754" w:rsidRDefault="00000000">
      <w:pPr>
        <w:spacing w:line="257" w:lineRule="auto"/>
        <w:jc w:val="both"/>
        <w:rPr>
          <w:rFonts w:ascii="Times New Roman" w:eastAsia="Times New Roman" w:hAnsi="Times New Roman" w:cs="Times New Roman"/>
          <w:b/>
        </w:rPr>
      </w:pPr>
      <w:r>
        <w:rPr>
          <w:rFonts w:ascii="Times New Roman" w:eastAsia="Times New Roman" w:hAnsi="Times New Roman" w:cs="Times New Roman"/>
          <w:b/>
        </w:rPr>
        <w:t xml:space="preserve">A DEFESA DA EDUCAÇÃO PÚBLICA FRENTE AOS MOVIMENTOS PRIVATISTAS NA EDUCAÇÃO BRASILEIRA </w:t>
      </w:r>
    </w:p>
    <w:p w14:paraId="1FB417F7" w14:textId="77777777" w:rsidR="00007754" w:rsidRDefault="00007754">
      <w:pPr>
        <w:spacing w:after="0" w:line="240" w:lineRule="auto"/>
        <w:jc w:val="right"/>
        <w:rPr>
          <w:rFonts w:ascii="Arial" w:eastAsia="Arial" w:hAnsi="Arial" w:cs="Arial"/>
        </w:rPr>
      </w:pPr>
    </w:p>
    <w:p w14:paraId="5B081786" w14:textId="77777777" w:rsidR="00007754" w:rsidRDefault="00000000">
      <w:pPr>
        <w:spacing w:line="257"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607B63BE" w14:textId="77777777" w:rsidR="00007754" w:rsidRDefault="00000000">
      <w:pPr>
        <w:spacing w:line="257" w:lineRule="auto"/>
        <w:jc w:val="both"/>
      </w:pPr>
      <w:r>
        <w:rPr>
          <w:rFonts w:ascii="Times New Roman" w:eastAsia="Times New Roman" w:hAnsi="Times New Roman" w:cs="Times New Roman"/>
        </w:rPr>
        <w:t xml:space="preserve">Nas últimas décadas, a educação vem sendo afetada por políticas neoliberais e neoconservadoras, que são parte de um contexto mais amplo. A crise do capital e suas estratégias de ressignificação, renovam e intensificam tendências que ferem a essência democrática da educação brasileira em diversos âmbitos. </w:t>
      </w:r>
    </w:p>
    <w:p w14:paraId="78AE57B9" w14:textId="77777777" w:rsidR="00007754" w:rsidRDefault="00000000">
      <w:pPr>
        <w:spacing w:line="257" w:lineRule="auto"/>
        <w:jc w:val="both"/>
      </w:pPr>
      <w:r>
        <w:rPr>
          <w:rFonts w:ascii="Times New Roman" w:eastAsia="Times New Roman" w:hAnsi="Times New Roman" w:cs="Times New Roman"/>
        </w:rPr>
        <w:t>Os interesses do capital são comuns aos interesses dos grupos detentores dos privilégios na sociedade brasileira. Estes grupos são compostos por setores diversos e estão intrinsecamente articulados às mídias empresariais, que por sua vez desempenham um papel crucial na manutenção e ampliação das desigualdades, influenciando as massas trabalhadoras.   Responsáveis pela manutenção e ampliação cada vez mais acelerada das desigualdades econômicas e sociais, essa elite domina fortemente os recursos financeiros, ocupando importantes espaços de poder.</w:t>
      </w:r>
    </w:p>
    <w:p w14:paraId="53683D08" w14:textId="68BA4F93" w:rsidR="00007754" w:rsidRDefault="00000000">
      <w:pPr>
        <w:spacing w:line="257" w:lineRule="auto"/>
        <w:jc w:val="both"/>
      </w:pPr>
      <w:r>
        <w:rPr>
          <w:rFonts w:ascii="Times New Roman" w:eastAsia="Times New Roman" w:hAnsi="Times New Roman" w:cs="Times New Roman"/>
        </w:rPr>
        <w:t xml:space="preserve"> Neste contexto, a privação de direitos, a precarização, a mercantilização do ensino e a imposição de valores conservadores, são exemplos de ataques à democratização da educação pública e a sua qualidade. A seguir contextualizaremos o cenário educacional a fim analisar os efeitos destes ataques e refletir sobre os movimentos de resistência que se articulam em defesa da educação pública.</w:t>
      </w:r>
    </w:p>
    <w:p w14:paraId="60FA3A3D" w14:textId="77777777" w:rsidR="00007754" w:rsidRDefault="00000000">
      <w:pPr>
        <w:spacing w:line="257" w:lineRule="auto"/>
        <w:jc w:val="both"/>
      </w:pPr>
      <w:r>
        <w:rPr>
          <w:rFonts w:ascii="Times New Roman" w:eastAsia="Times New Roman" w:hAnsi="Times New Roman" w:cs="Times New Roman"/>
          <w:b/>
        </w:rPr>
        <w:t>Impactos na Educação Brasileira</w:t>
      </w:r>
    </w:p>
    <w:p w14:paraId="7A992A4C" w14:textId="6A520D36" w:rsidR="00007754" w:rsidRDefault="00000000">
      <w:pPr>
        <w:spacing w:line="257" w:lineRule="auto"/>
        <w:jc w:val="both"/>
        <w:rPr>
          <w:rFonts w:ascii="Times New Roman" w:eastAsia="Times New Roman" w:hAnsi="Times New Roman" w:cs="Times New Roman"/>
        </w:rPr>
      </w:pPr>
      <w:r>
        <w:rPr>
          <w:rFonts w:ascii="Times New Roman" w:eastAsia="Times New Roman" w:hAnsi="Times New Roman" w:cs="Times New Roman"/>
        </w:rPr>
        <w:t>A lógica da produtividade é inerente ao capital, assim como a estrita relação entre eficiência, competência e mérito. A educação brasileira, sofre as influências de uma sociedade cujo sistema está organizado para atender aos objetivos do capital, portanto a sua lógica. Neste sentido, o Neotecnicismo,</w:t>
      </w:r>
      <w:r w:rsidR="00F61B88">
        <w:rPr>
          <w:rFonts w:ascii="Times New Roman" w:eastAsia="Times New Roman" w:hAnsi="Times New Roman" w:cs="Times New Roman"/>
        </w:rPr>
        <w:t xml:space="preserve"> </w:t>
      </w:r>
      <w:r>
        <w:rPr>
          <w:rFonts w:ascii="Times New Roman" w:eastAsia="Times New Roman" w:hAnsi="Times New Roman" w:cs="Times New Roman"/>
        </w:rPr>
        <w:t xml:space="preserve">baseada em três pilares principais: a responsabilização, a meritocracia e a privatização. Esses fundamentos são reinterpretados e adaptados para justificar políticas educacionais que, sob o pretexto de modernização e eficiência, acabam por ignorar as complexidades das desigualdades estruturais da sociedade. </w:t>
      </w:r>
    </w:p>
    <w:p w14:paraId="60F89447" w14:textId="69A1EE0D" w:rsidR="00007754" w:rsidRDefault="00000000">
      <w:pPr>
        <w:spacing w:line="257" w:lineRule="auto"/>
        <w:jc w:val="both"/>
        <w:rPr>
          <w:highlight w:val="yellow"/>
          <w:u w:val="single"/>
        </w:rPr>
      </w:pPr>
      <w:r>
        <w:rPr>
          <w:rFonts w:ascii="Times New Roman" w:eastAsia="Times New Roman" w:hAnsi="Times New Roman" w:cs="Times New Roman"/>
        </w:rPr>
        <w:t>O Tecnicismo é um conceito desenvolvido por Saviani (2007), que respondia à necessidade da sociedade, então liberal, de se adequar ao mercado formando trabalhadores a partir de suas habilidades e competências. O tecnicismo se estabeleceu nas escolas brasileiras através da pedagogia das competências.</w:t>
      </w:r>
      <w:r>
        <w:rPr>
          <w:rFonts w:ascii="Times New Roman" w:eastAsia="Times New Roman" w:hAnsi="Times New Roman" w:cs="Times New Roman"/>
          <w:highlight w:val="yellow"/>
          <w:u w:val="single"/>
        </w:rPr>
        <w:t xml:space="preserve"> </w:t>
      </w:r>
    </w:p>
    <w:p w14:paraId="3B5D4C92" w14:textId="77777777" w:rsidR="00007754" w:rsidRDefault="00000000">
      <w:pPr>
        <w:spacing w:line="257" w:lineRule="auto"/>
        <w:jc w:val="both"/>
      </w:pPr>
      <w:r>
        <w:rPr>
          <w:rFonts w:ascii="Times New Roman" w:eastAsia="Times New Roman" w:hAnsi="Times New Roman" w:cs="Times New Roman"/>
        </w:rPr>
        <w:t xml:space="preserve">Na nova fase do capital, em sua versão </w:t>
      </w:r>
      <w:proofErr w:type="spellStart"/>
      <w:r>
        <w:rPr>
          <w:rFonts w:ascii="Times New Roman" w:eastAsia="Times New Roman" w:hAnsi="Times New Roman" w:cs="Times New Roman"/>
        </w:rPr>
        <w:t>ultraneoliberal</w:t>
      </w:r>
      <w:proofErr w:type="spellEnd"/>
      <w:r>
        <w:rPr>
          <w:rFonts w:ascii="Times New Roman" w:eastAsia="Times New Roman" w:hAnsi="Times New Roman" w:cs="Times New Roman"/>
        </w:rPr>
        <w:t xml:space="preserve"> recupera-se a lógica das competências na educação brasileira, desta vez, traduzida em neotecnicismo, ao qual se agregam as mídias e o crescente (desenfreado) ensino virtual. A Base Nacional Comum Curricular (BNCC), publicada em 2017, é um bom exemplo de política imposta com o objetivo de atender aos interesses do mercado. Baseada na pedagogia das competências, </w:t>
      </w:r>
      <w:r>
        <w:rPr>
          <w:rFonts w:ascii="Times New Roman" w:eastAsia="Times New Roman" w:hAnsi="Times New Roman" w:cs="Times New Roman"/>
        </w:rPr>
        <w:lastRenderedPageBreak/>
        <w:t>de caráter minimalista e colaborando para o empobrecimento da formação dos estudantes brasileiros, a BNCC cria condições para garantir recursos públicos para os interesses privados, quando abre precedentes para a comercialização de pacotes educativos, cursos de formação e materiais didáticos, por exemplo.</w:t>
      </w:r>
    </w:p>
    <w:p w14:paraId="5188131B" w14:textId="77777777" w:rsidR="00007754" w:rsidRDefault="00000000">
      <w:pPr>
        <w:spacing w:line="257" w:lineRule="auto"/>
        <w:jc w:val="both"/>
      </w:pPr>
      <w:r w:rsidRPr="002026F0">
        <w:rPr>
          <w:rFonts w:ascii="Times New Roman" w:eastAsia="Times New Roman" w:hAnsi="Times New Roman" w:cs="Times New Roman"/>
        </w:rPr>
        <w:t xml:space="preserve">Nessa perspectiva, </w:t>
      </w:r>
      <w:r>
        <w:rPr>
          <w:rFonts w:ascii="Times New Roman" w:eastAsia="Times New Roman" w:hAnsi="Times New Roman" w:cs="Times New Roman"/>
        </w:rPr>
        <w:t>verifica-se que a escola da sociedade capitalista tem como força motriz a meritocracia, que constitui a base da política liberal e é apresentada como um mecanismo de promoção da igualdade de oportunidades. No entanto, essa perspectiva desconsidera fatores essenciais, como as condições desiguais de partida de muitos estudantes. Enquanto se foca exclusivamente no mérito pessoal como critério para alcançar um bom desempenho, negligencia-se o papel das desigualdades sociais na produção de resultados discrepantes. Assim, cria-se uma narrativa que desloca a atenção das verdadeiras causas das disparidades, como a pobreza, o acesso limitado a recursos e a qualidade desigual da educação básica.</w:t>
      </w:r>
    </w:p>
    <w:p w14:paraId="6C51D15E" w14:textId="13A2EF04" w:rsidR="00007754" w:rsidRDefault="00000000">
      <w:pPr>
        <w:spacing w:line="257" w:lineRule="auto"/>
        <w:jc w:val="both"/>
      </w:pPr>
      <w:r>
        <w:rPr>
          <w:rFonts w:ascii="Times New Roman" w:eastAsia="Times New Roman" w:hAnsi="Times New Roman" w:cs="Times New Roman"/>
        </w:rPr>
        <w:t>Nota-se que a responsabilização e a meritocracia, combinadas, criam terreno fértil para a privatização da educação, como analisa Freitas (2012). O autor argumenta que há um discurso oportunista que desonera o Estado de sua responsabilidade em garantir uma educação pública de qualidade. Esse discurso se apoia na falsa equivalência de que, se os ricos podem escolher as escolas em que matriculam seus filhos, os pobres deveriam ter o mesmo direito. No entanto, essa retórica, longe de promover equidade, serve para justificar a transferência de recursos públicos para instituições privadas (distribuição de vouchers), desviando investimentos que deveriam fortalecer a rede pública de ensino.</w:t>
      </w:r>
      <w:r w:rsidR="00A356DC">
        <w:rPr>
          <w:rFonts w:ascii="Times New Roman" w:eastAsia="Times New Roman" w:hAnsi="Times New Roman" w:cs="Times New Roman"/>
        </w:rPr>
        <w:t xml:space="preserve"> Encontramos em p</w:t>
      </w:r>
      <w:r w:rsidR="00A356DC">
        <w:rPr>
          <w:rFonts w:ascii="Times New Roman" w:eastAsia="Times New Roman" w:hAnsi="Times New Roman" w:cs="Times New Roman"/>
        </w:rPr>
        <w:t>rogramas como o PROUNI (Programa Universidade para Todos), instituído pela Lei 11.096/05, e o PRONATEC (Programa Nacional de Acesso ao Ensino Técnico e Emprego), criado pela Lei 12.513/11,</w:t>
      </w:r>
      <w:r w:rsidR="00A356DC">
        <w:rPr>
          <w:rFonts w:ascii="Times New Roman" w:eastAsia="Times New Roman" w:hAnsi="Times New Roman" w:cs="Times New Roman"/>
        </w:rPr>
        <w:t xml:space="preserve"> exemplos</w:t>
      </w:r>
      <w:r w:rsidR="00A356DC">
        <w:rPr>
          <w:rFonts w:ascii="Times New Roman" w:eastAsia="Times New Roman" w:hAnsi="Times New Roman" w:cs="Times New Roman"/>
        </w:rPr>
        <w:t xml:space="preserve"> característic</w:t>
      </w:r>
      <w:r w:rsidR="00A356DC">
        <w:rPr>
          <w:rFonts w:ascii="Times New Roman" w:eastAsia="Times New Roman" w:hAnsi="Times New Roman" w:cs="Times New Roman"/>
        </w:rPr>
        <w:t>os</w:t>
      </w:r>
      <w:r w:rsidR="00A356DC">
        <w:rPr>
          <w:rFonts w:ascii="Times New Roman" w:eastAsia="Times New Roman" w:hAnsi="Times New Roman" w:cs="Times New Roman"/>
        </w:rPr>
        <w:t xml:space="preserve"> </w:t>
      </w:r>
      <w:r w:rsidR="00A356DC">
        <w:rPr>
          <w:rFonts w:ascii="Times New Roman" w:eastAsia="Times New Roman" w:hAnsi="Times New Roman" w:cs="Times New Roman"/>
        </w:rPr>
        <w:t>de</w:t>
      </w:r>
      <w:r w:rsidR="00A356DC">
        <w:rPr>
          <w:rFonts w:ascii="Times New Roman" w:eastAsia="Times New Roman" w:hAnsi="Times New Roman" w:cs="Times New Roman"/>
        </w:rPr>
        <w:t xml:space="preserve"> transferência de recursos públicos para o setor privado.</w:t>
      </w:r>
    </w:p>
    <w:p w14:paraId="5752D865" w14:textId="392AC7F8" w:rsidR="00007754" w:rsidRDefault="00000000">
      <w:pPr>
        <w:spacing w:line="257" w:lineRule="auto"/>
        <w:jc w:val="both"/>
      </w:pPr>
      <w:r>
        <w:rPr>
          <w:rFonts w:ascii="Times New Roman" w:eastAsia="Times New Roman" w:hAnsi="Times New Roman" w:cs="Times New Roman"/>
        </w:rPr>
        <w:t>Além disso, as políticas educacionais promovidas pelos reformadores empresariais estão longe de ser embasadas em evidências empíricas. De acordo com Freitas (2012), essas reformas acarretam consequências danosas e, muitas vezes, irreparáveis para a educação. Entre os prejuízos, destaca-se o estreitamento curricular, que transmite a ideia de que ensinar apenas o básico é suficiente. Essa limitação, por sua vez, afeta diretamente a formação integral dos estudantes. A opção por um currículo mínimo prejudica diretamente os estudantes das escolas públicas, que ficam à mercê dos recursos que lhe são destinados, e que não raramente são insuficientes para garantir a cobertura do que é básico ao seu funcionamento, como condições de infraestrutura adequada e valorização dos profissionais da educação, dentre outras.</w:t>
      </w:r>
    </w:p>
    <w:p w14:paraId="2044877D" w14:textId="408EB5F4" w:rsidR="00007754" w:rsidRDefault="00000000">
      <w:pPr>
        <w:spacing w:line="257" w:lineRule="auto"/>
        <w:jc w:val="both"/>
      </w:pPr>
      <w:r>
        <w:rPr>
          <w:rFonts w:ascii="Times New Roman" w:eastAsia="Times New Roman" w:hAnsi="Times New Roman" w:cs="Times New Roman"/>
        </w:rPr>
        <w:t xml:space="preserve">Ademais, a pressão por resultados em testes de desempenho cria um ambiente de desgaste tanto para professores quanto para alunos, gerando um estresse que compromete a qualidade do processo educativo. </w:t>
      </w:r>
      <w:r w:rsidR="00446800">
        <w:rPr>
          <w:rFonts w:ascii="Times New Roman" w:eastAsia="Times New Roman" w:hAnsi="Times New Roman" w:cs="Times New Roman"/>
        </w:rPr>
        <w:t xml:space="preserve">Uma </w:t>
      </w:r>
      <w:r>
        <w:rPr>
          <w:rFonts w:ascii="Times New Roman" w:eastAsia="Times New Roman" w:hAnsi="Times New Roman" w:cs="Times New Roman"/>
        </w:rPr>
        <w:t xml:space="preserve">política </w:t>
      </w:r>
      <w:r w:rsidR="00446800">
        <w:rPr>
          <w:rFonts w:ascii="Times New Roman" w:eastAsia="Times New Roman" w:hAnsi="Times New Roman" w:cs="Times New Roman"/>
        </w:rPr>
        <w:t xml:space="preserve">que </w:t>
      </w:r>
      <w:r>
        <w:rPr>
          <w:rFonts w:ascii="Times New Roman" w:eastAsia="Times New Roman" w:hAnsi="Times New Roman" w:cs="Times New Roman"/>
        </w:rPr>
        <w:t>promove a segregação tanto no território quanto dentro das próprias escolas.</w:t>
      </w:r>
      <w:r w:rsidR="00446800">
        <w:rPr>
          <w:rFonts w:ascii="Times New Roman" w:eastAsia="Times New Roman" w:hAnsi="Times New Roman" w:cs="Times New Roman"/>
        </w:rPr>
        <w:t xml:space="preserve"> Quando as</w:t>
      </w:r>
      <w:r>
        <w:rPr>
          <w:rFonts w:ascii="Times New Roman" w:eastAsia="Times New Roman" w:hAnsi="Times New Roman" w:cs="Times New Roman"/>
        </w:rPr>
        <w:t xml:space="preserve"> </w:t>
      </w:r>
      <w:r w:rsidR="00446800">
        <w:rPr>
          <w:rFonts w:ascii="Times New Roman" w:eastAsia="Times New Roman" w:hAnsi="Times New Roman" w:cs="Times New Roman"/>
        </w:rPr>
        <w:t>i</w:t>
      </w:r>
      <w:r>
        <w:rPr>
          <w:rFonts w:ascii="Times New Roman" w:eastAsia="Times New Roman" w:hAnsi="Times New Roman" w:cs="Times New Roman"/>
        </w:rPr>
        <w:t xml:space="preserve">nstituições passam a selecionar alunos de perfis específicos ou a dividir estudantes em turmas distintas para melhorar o desempenho nos rankings, </w:t>
      </w:r>
      <w:r w:rsidR="00446800">
        <w:rPr>
          <w:rFonts w:ascii="Times New Roman" w:eastAsia="Times New Roman" w:hAnsi="Times New Roman" w:cs="Times New Roman"/>
        </w:rPr>
        <w:t>acabam por aprofundar</w:t>
      </w:r>
      <w:r>
        <w:rPr>
          <w:rFonts w:ascii="Times New Roman" w:eastAsia="Times New Roman" w:hAnsi="Times New Roman" w:cs="Times New Roman"/>
        </w:rPr>
        <w:t xml:space="preserve"> ainda mais as desigualdades.</w:t>
      </w:r>
    </w:p>
    <w:p w14:paraId="000E965D" w14:textId="77777777" w:rsidR="00007754" w:rsidRDefault="00000000">
      <w:pPr>
        <w:spacing w:line="257" w:lineRule="auto"/>
        <w:jc w:val="both"/>
      </w:pPr>
      <w:r>
        <w:rPr>
          <w:rFonts w:ascii="Times New Roman" w:eastAsia="Times New Roman" w:hAnsi="Times New Roman" w:cs="Times New Roman"/>
        </w:rPr>
        <w:lastRenderedPageBreak/>
        <w:t xml:space="preserve">Outro impacto significativo é a precarização do trabalho docente. A adoção de sistemas apostilados reduz a autonomia do professor e limita sua qualificação, enquanto os processos individualizados de avaliação minam sua moral e valorização profissional. Por fim, a concessão da administração de escolas públicas à iniciativa privada não só enfraquece o sistema público de ensino, como também compromete seu papel central como promotor de igualdade social. Como alertado por Freitas (2012), cada um desses impactos merece discussão aprofundada, pois juntos compõem uma política que perpetua as desigualdades educacionais no Brasil. </w:t>
      </w:r>
    </w:p>
    <w:p w14:paraId="4AAB19FE" w14:textId="0B42502E" w:rsidR="00007754" w:rsidRDefault="00000000">
      <w:pPr>
        <w:spacing w:line="257" w:lineRule="auto"/>
        <w:jc w:val="both"/>
      </w:pPr>
      <w:r>
        <w:rPr>
          <w:rFonts w:ascii="Times New Roman" w:eastAsia="Times New Roman" w:hAnsi="Times New Roman" w:cs="Times New Roman"/>
        </w:rPr>
        <w:t>Se por um lado, a educação brasileira sofre as pressões do capital, sem conseguir resistir aos interesses do mercado, que lhe atravessam das mais variadas formas; a mesma educação enfrenta ainda os ataques provenientes do neoconservadorismo. Que em decorrência da escala</w:t>
      </w:r>
      <w:r w:rsidR="002026F0" w:rsidRPr="002026F0">
        <w:rPr>
          <w:rFonts w:ascii="Times New Roman" w:eastAsia="Times New Roman" w:hAnsi="Times New Roman" w:cs="Times New Roman"/>
        </w:rPr>
        <w:t>da</w:t>
      </w:r>
      <w:r>
        <w:rPr>
          <w:rFonts w:ascii="Times New Roman" w:eastAsia="Times New Roman" w:hAnsi="Times New Roman" w:cs="Times New Roman"/>
        </w:rPr>
        <w:t xml:space="preserve"> da extrema-direita no país, fragiliza o magistério e os fazeres docentes com discursos de ódio, nas casas legislativas, com pautas como a do “Escola sem partido”, por exemplo. </w:t>
      </w:r>
    </w:p>
    <w:p w14:paraId="250F0FB9" w14:textId="021BCA33" w:rsidR="00007754" w:rsidRDefault="00446800">
      <w:pPr>
        <w:spacing w:line="257" w:lineRule="auto"/>
        <w:jc w:val="both"/>
      </w:pPr>
      <w:r>
        <w:rPr>
          <w:rFonts w:ascii="Times New Roman" w:eastAsia="Times New Roman" w:hAnsi="Times New Roman" w:cs="Times New Roman"/>
        </w:rPr>
        <w:t>E</w:t>
      </w:r>
      <w:r w:rsidR="00000000">
        <w:rPr>
          <w:rFonts w:ascii="Times New Roman" w:eastAsia="Times New Roman" w:hAnsi="Times New Roman" w:cs="Times New Roman"/>
        </w:rPr>
        <w:t xml:space="preserve">mbora tenhamos avançado com a derrota da extrema-direita nas urnas em 2022, a luta pela democracia exige vigilância constante. A polarização e a concessão de recursos públicos para custear agendas antidemocráticas geram ainda prejuízos que merecem atenção dos intelectuais do campo progressista. </w:t>
      </w:r>
      <w:r>
        <w:rPr>
          <w:rFonts w:ascii="Times New Roman" w:eastAsia="Times New Roman" w:hAnsi="Times New Roman" w:cs="Times New Roman"/>
        </w:rPr>
        <w:t>Haja vista os p</w:t>
      </w:r>
      <w:r w:rsidR="00000000">
        <w:rPr>
          <w:rFonts w:ascii="Times New Roman" w:eastAsia="Times New Roman" w:hAnsi="Times New Roman" w:cs="Times New Roman"/>
        </w:rPr>
        <w:t>acotes didáticos que pregam ideias preconceituosas</w:t>
      </w:r>
      <w:r w:rsidR="006B6D45">
        <w:rPr>
          <w:rFonts w:ascii="Times New Roman" w:eastAsia="Times New Roman" w:hAnsi="Times New Roman" w:cs="Times New Roman"/>
        </w:rPr>
        <w:t>, ferindo</w:t>
      </w:r>
      <w:r w:rsidR="00000000">
        <w:rPr>
          <w:rFonts w:ascii="Times New Roman" w:eastAsia="Times New Roman" w:hAnsi="Times New Roman" w:cs="Times New Roman"/>
        </w:rPr>
        <w:t xml:space="preserve"> o respeito à diversidade e à obrigatoriedade da laicidade postos como princípios da cidadania brasileira</w:t>
      </w:r>
      <w:r w:rsidR="006B6D45">
        <w:rPr>
          <w:rFonts w:ascii="Times New Roman" w:eastAsia="Times New Roman" w:hAnsi="Times New Roman" w:cs="Times New Roman"/>
        </w:rPr>
        <w:t>,</w:t>
      </w:r>
      <w:r w:rsidR="00000000">
        <w:rPr>
          <w:rFonts w:ascii="Times New Roman" w:eastAsia="Times New Roman" w:hAnsi="Times New Roman" w:cs="Times New Roman"/>
        </w:rPr>
        <w:t xml:space="preserve"> </w:t>
      </w:r>
      <w:r w:rsidR="006B6D45">
        <w:rPr>
          <w:rFonts w:ascii="Times New Roman" w:eastAsia="Times New Roman" w:hAnsi="Times New Roman" w:cs="Times New Roman"/>
        </w:rPr>
        <w:t>que</w:t>
      </w:r>
      <w:r w:rsidR="00000000">
        <w:rPr>
          <w:rFonts w:ascii="Times New Roman" w:eastAsia="Times New Roman" w:hAnsi="Times New Roman" w:cs="Times New Roman"/>
        </w:rPr>
        <w:t xml:space="preserve"> vêm sendo aplicados indiscriminadamente em escolas públicas e particulares.</w:t>
      </w:r>
    </w:p>
    <w:p w14:paraId="4DDAFEB4" w14:textId="15625902" w:rsidR="00007754" w:rsidRDefault="00000000">
      <w:pPr>
        <w:spacing w:line="257" w:lineRule="auto"/>
        <w:jc w:val="both"/>
      </w:pPr>
      <w:r>
        <w:rPr>
          <w:rFonts w:ascii="Times New Roman" w:eastAsia="Times New Roman" w:hAnsi="Times New Roman" w:cs="Times New Roman"/>
        </w:rPr>
        <w:t xml:space="preserve">Freitas (2012) nos alerta quanto aos riscos da privatização da educação e </w:t>
      </w:r>
      <w:proofErr w:type="spellStart"/>
      <w:r>
        <w:rPr>
          <w:rFonts w:ascii="Times New Roman" w:eastAsia="Times New Roman" w:hAnsi="Times New Roman" w:cs="Times New Roman"/>
        </w:rPr>
        <w:t>Frigotto</w:t>
      </w:r>
      <w:proofErr w:type="spellEnd"/>
      <w:r>
        <w:rPr>
          <w:rFonts w:ascii="Times New Roman" w:eastAsia="Times New Roman" w:hAnsi="Times New Roman" w:cs="Times New Roman"/>
        </w:rPr>
        <w:t xml:space="preserve"> (2017) quanto aos prejuízos à nossa democracia com o avanço das pautas conservadoras na agenda educacional brasileira. É urgente que impeçamos o financiamento de ideias que fragilizam a democracia brasileira, combatendo a liberação de recursos públicos para a iniciativa privada, sob a premissa de que os recursos públicos devem atender à educação pública. Neste sentido, é imprescindível fortalecer as agendas democráticas, mantendo-nos vigilantes e combativos, pois que sem o devido enfrentamento, menos ainda asseguraremos </w:t>
      </w:r>
      <w:r w:rsidR="006B6D45">
        <w:rPr>
          <w:rFonts w:ascii="Times New Roman" w:eastAsia="Times New Roman" w:hAnsi="Times New Roman" w:cs="Times New Roman"/>
        </w:rPr>
        <w:t>aos</w:t>
      </w:r>
      <w:r>
        <w:rPr>
          <w:rFonts w:ascii="Times New Roman" w:eastAsia="Times New Roman" w:hAnsi="Times New Roman" w:cs="Times New Roman"/>
        </w:rPr>
        <w:t xml:space="preserve"> estudantes deste país o direito a uma educação de qualidade socialmente referenciada.  </w:t>
      </w:r>
    </w:p>
    <w:p w14:paraId="65272185" w14:textId="77777777" w:rsidR="00311012" w:rsidRDefault="00311012">
      <w:pPr>
        <w:spacing w:line="257" w:lineRule="auto"/>
        <w:jc w:val="both"/>
        <w:rPr>
          <w:rFonts w:ascii="Times New Roman" w:eastAsia="Times New Roman" w:hAnsi="Times New Roman" w:cs="Times New Roman"/>
          <w:b/>
        </w:rPr>
      </w:pPr>
    </w:p>
    <w:p w14:paraId="32429F03" w14:textId="684CCB7B" w:rsidR="00007754" w:rsidRDefault="00000000">
      <w:pPr>
        <w:spacing w:line="257" w:lineRule="auto"/>
        <w:jc w:val="both"/>
      </w:pPr>
      <w:r>
        <w:rPr>
          <w:rFonts w:ascii="Times New Roman" w:eastAsia="Times New Roman" w:hAnsi="Times New Roman" w:cs="Times New Roman"/>
          <w:b/>
        </w:rPr>
        <w:t xml:space="preserve"> Considerações Finais</w:t>
      </w:r>
    </w:p>
    <w:p w14:paraId="40DB05F7" w14:textId="78FD57BF" w:rsidR="00007754" w:rsidRDefault="00000000">
      <w:pPr>
        <w:spacing w:line="257" w:lineRule="auto"/>
        <w:jc w:val="both"/>
      </w:pPr>
      <w:r>
        <w:rPr>
          <w:rFonts w:ascii="Times New Roman" w:eastAsia="Times New Roman" w:hAnsi="Times New Roman" w:cs="Times New Roman"/>
        </w:rPr>
        <w:t xml:space="preserve">A educação pública brasileira vem enfrentando significativos desafios, impostos por políticas neoconservadoras que avançam e se consolidam na medida que o ultraliberalismo estabelece medidas cada vez mais agressivas. Tratando-se de um campo marcado por intensas disputas, pontua-se no presente trabalho a importância da resistência aos retrocessos de forma articulada a fim de que se detenha a ampliação de ideologias conservadoras que disseminam a discriminação, seguindo na contramão das tão </w:t>
      </w:r>
      <w:proofErr w:type="gramStart"/>
      <w:r>
        <w:rPr>
          <w:rFonts w:ascii="Times New Roman" w:eastAsia="Times New Roman" w:hAnsi="Times New Roman" w:cs="Times New Roman"/>
        </w:rPr>
        <w:t>almejadas equidade</w:t>
      </w:r>
      <w:proofErr w:type="gramEnd"/>
      <w:r>
        <w:rPr>
          <w:rFonts w:ascii="Times New Roman" w:eastAsia="Times New Roman" w:hAnsi="Times New Roman" w:cs="Times New Roman"/>
        </w:rPr>
        <w:t xml:space="preserve"> social e igualdade de direitos e oportunidades.</w:t>
      </w:r>
    </w:p>
    <w:p w14:paraId="2D80A056" w14:textId="6C08E879" w:rsidR="00007754" w:rsidRDefault="00000000">
      <w:pPr>
        <w:spacing w:line="257" w:lineRule="auto"/>
        <w:jc w:val="both"/>
      </w:pPr>
      <w:r>
        <w:rPr>
          <w:rFonts w:ascii="Times New Roman" w:eastAsia="Times New Roman" w:hAnsi="Times New Roman" w:cs="Times New Roman"/>
        </w:rPr>
        <w:lastRenderedPageBreak/>
        <w:t>Em suma</w:t>
      </w:r>
      <w:r w:rsidR="00BD3470">
        <w:rPr>
          <w:rFonts w:ascii="Times New Roman" w:eastAsia="Times New Roman" w:hAnsi="Times New Roman" w:cs="Times New Roman"/>
        </w:rPr>
        <w:t xml:space="preserve">, </w:t>
      </w:r>
      <w:r>
        <w:rPr>
          <w:rFonts w:ascii="Times New Roman" w:eastAsia="Times New Roman" w:hAnsi="Times New Roman" w:cs="Times New Roman"/>
        </w:rPr>
        <w:t>é fundamental agrega</w:t>
      </w:r>
      <w:r w:rsidR="006B6D45">
        <w:rPr>
          <w:rFonts w:ascii="Times New Roman" w:eastAsia="Times New Roman" w:hAnsi="Times New Roman" w:cs="Times New Roman"/>
        </w:rPr>
        <w:t>r</w:t>
      </w:r>
      <w:r>
        <w:rPr>
          <w:rFonts w:ascii="Times New Roman" w:eastAsia="Times New Roman" w:hAnsi="Times New Roman" w:cs="Times New Roman"/>
        </w:rPr>
        <w:t xml:space="preserve"> </w:t>
      </w:r>
      <w:r w:rsidR="006B6D45">
        <w:rPr>
          <w:rFonts w:ascii="Times New Roman" w:eastAsia="Times New Roman" w:hAnsi="Times New Roman" w:cs="Times New Roman"/>
        </w:rPr>
        <w:t>à</w:t>
      </w:r>
      <w:r>
        <w:rPr>
          <w:rFonts w:ascii="Times New Roman" w:eastAsia="Times New Roman" w:hAnsi="Times New Roman" w:cs="Times New Roman"/>
        </w:rPr>
        <w:t xml:space="preserve"> atuação dos intelectuais e atores políticos do campo progressista, os demais setores da sociedade a fim de</w:t>
      </w:r>
      <w:r w:rsidR="00E6702E">
        <w:rPr>
          <w:rFonts w:ascii="Times New Roman" w:eastAsia="Times New Roman" w:hAnsi="Times New Roman" w:cs="Times New Roman"/>
        </w:rPr>
        <w:t xml:space="preserve"> garantir o amplo debate e</w:t>
      </w:r>
      <w:r>
        <w:rPr>
          <w:rFonts w:ascii="Times New Roman" w:eastAsia="Times New Roman" w:hAnsi="Times New Roman" w:cs="Times New Roman"/>
        </w:rPr>
        <w:t xml:space="preserve"> fortalecer os movimentos de resistência em defesa </w:t>
      </w:r>
      <w:r w:rsidR="002026F0">
        <w:rPr>
          <w:rFonts w:ascii="Times New Roman" w:eastAsia="Times New Roman" w:hAnsi="Times New Roman" w:cs="Times New Roman"/>
        </w:rPr>
        <w:t>de</w:t>
      </w:r>
      <w:r>
        <w:rPr>
          <w:rFonts w:ascii="Times New Roman" w:eastAsia="Times New Roman" w:hAnsi="Times New Roman" w:cs="Times New Roman"/>
        </w:rPr>
        <w:t xml:space="preserve"> uma educação de qualidade socialmente referenciada</w:t>
      </w:r>
      <w:r w:rsidR="006B6D45">
        <w:rPr>
          <w:rFonts w:ascii="Times New Roman" w:eastAsia="Times New Roman" w:hAnsi="Times New Roman" w:cs="Times New Roman"/>
        </w:rPr>
        <w:t>,</w:t>
      </w:r>
      <w:r>
        <w:rPr>
          <w:rFonts w:ascii="Times New Roman" w:eastAsia="Times New Roman" w:hAnsi="Times New Roman" w:cs="Times New Roman"/>
        </w:rPr>
        <w:t xml:space="preserve"> comprometida com a formação integral dos cidadãos</w:t>
      </w:r>
      <w:r w:rsidR="00E6702E">
        <w:rPr>
          <w:rFonts w:ascii="Times New Roman" w:eastAsia="Times New Roman" w:hAnsi="Times New Roman" w:cs="Times New Roman"/>
        </w:rPr>
        <w:t>.</w:t>
      </w:r>
    </w:p>
    <w:p w14:paraId="2F6368FE" w14:textId="77777777" w:rsidR="002026F0" w:rsidRDefault="002026F0" w:rsidP="002026F0">
      <w:pPr>
        <w:jc w:val="both"/>
        <w:rPr>
          <w:rFonts w:ascii="Times New Roman" w:hAnsi="Times New Roman" w:cs="Times New Roman"/>
          <w:b/>
          <w:bCs/>
        </w:rPr>
      </w:pPr>
      <w:r w:rsidRPr="00FB3E9E">
        <w:rPr>
          <w:rFonts w:ascii="Times New Roman" w:hAnsi="Times New Roman" w:cs="Times New Roman"/>
          <w:b/>
          <w:bCs/>
        </w:rPr>
        <w:t>Referências</w:t>
      </w:r>
    </w:p>
    <w:p w14:paraId="1FECAFEA" w14:textId="3CE7178A" w:rsidR="00B46872" w:rsidRPr="00B46872" w:rsidRDefault="00B46872" w:rsidP="002026F0">
      <w:pPr>
        <w:jc w:val="both"/>
        <w:rPr>
          <w:rFonts w:ascii="Times New Roman" w:hAnsi="Times New Roman" w:cs="Times New Roman"/>
        </w:rPr>
      </w:pPr>
      <w:r w:rsidRPr="00B46872">
        <w:rPr>
          <w:rFonts w:ascii="Times New Roman" w:hAnsi="Times New Roman" w:cs="Times New Roman"/>
        </w:rPr>
        <w:t xml:space="preserve">BRASIL. Ministério da Educação. </w:t>
      </w:r>
      <w:r w:rsidRPr="00B46872">
        <w:rPr>
          <w:rFonts w:ascii="Times New Roman" w:hAnsi="Times New Roman" w:cs="Times New Roman"/>
          <w:b/>
          <w:bCs/>
        </w:rPr>
        <w:t>Base Nacional Comum Curricular</w:t>
      </w:r>
      <w:r w:rsidRPr="00B46872">
        <w:rPr>
          <w:rFonts w:ascii="Times New Roman" w:hAnsi="Times New Roman" w:cs="Times New Roman"/>
        </w:rPr>
        <w:t>. Brasília, 2018.</w:t>
      </w:r>
    </w:p>
    <w:p w14:paraId="74C0C570" w14:textId="77777777" w:rsidR="002026F0" w:rsidRPr="00FB3E9E" w:rsidRDefault="002026F0" w:rsidP="002026F0">
      <w:pPr>
        <w:pStyle w:val="Normal1"/>
        <w:spacing w:after="120"/>
      </w:pPr>
      <w:r w:rsidRPr="00FB3E9E">
        <w:t xml:space="preserve">FREITAS, Luiz Carlos de. </w:t>
      </w:r>
      <w:r w:rsidRPr="00B46872">
        <w:rPr>
          <w:b/>
          <w:bCs/>
          <w:i/>
          <w:iCs/>
        </w:rPr>
        <w:t>Qual agenda para qual democracia? O papel da escola e seus profissionais</w:t>
      </w:r>
      <w:r w:rsidRPr="00FB3E9E">
        <w:t>. Formação em Movimento, v.5, esp., n.10, p.15-36, 2023. Disponível em: https://periodicos.ufrrj.br/index.php/formov/issue/view/115</w:t>
      </w:r>
      <w:hyperlink r:id="rId6" w:history="1"/>
      <w:r w:rsidRPr="00FB3E9E">
        <w:t xml:space="preserve"> </w:t>
      </w:r>
      <w:r w:rsidRPr="00FB3E9E">
        <w:rPr>
          <w:rStyle w:val="Hyperlink"/>
          <w:rFonts w:eastAsiaTheme="majorEastAsia"/>
        </w:rPr>
        <w:t xml:space="preserve">  </w:t>
      </w:r>
      <w:r w:rsidRPr="00FB3E9E">
        <w:t xml:space="preserve">Acesso em: 20/12/2024. </w:t>
      </w:r>
    </w:p>
    <w:p w14:paraId="22634762" w14:textId="02B3DDCE" w:rsidR="002026F0" w:rsidRPr="00FB3E9E" w:rsidRDefault="00B46872" w:rsidP="002026F0">
      <w:pPr>
        <w:pStyle w:val="Normal1"/>
        <w:spacing w:after="120"/>
      </w:pPr>
      <w:r w:rsidRPr="00FB3E9E">
        <w:t xml:space="preserve">FREITAS, Luiz Carlos de. </w:t>
      </w:r>
      <w:r w:rsidR="002026F0" w:rsidRPr="00B46872">
        <w:rPr>
          <w:b/>
          <w:bCs/>
          <w:i/>
          <w:iCs/>
        </w:rPr>
        <w:t>Os reformadores empresariais da educação: da desmoralização do magistério à destruição do sistema público de educação</w:t>
      </w:r>
      <w:r w:rsidR="002026F0" w:rsidRPr="00B46872">
        <w:rPr>
          <w:b/>
          <w:bCs/>
        </w:rPr>
        <w:t>.</w:t>
      </w:r>
      <w:r w:rsidR="002026F0" w:rsidRPr="00FB3E9E">
        <w:t xml:space="preserve"> Educ. Soc., Campinas, v. 33, n. 119, p. 379-404, abr.- jun. 2012.</w:t>
      </w:r>
    </w:p>
    <w:p w14:paraId="55B65171" w14:textId="77777777" w:rsidR="002026F0" w:rsidRDefault="002026F0" w:rsidP="002026F0">
      <w:pPr>
        <w:pStyle w:val="Normal1"/>
        <w:spacing w:after="120"/>
      </w:pPr>
      <w:r w:rsidRPr="00FB3E9E">
        <w:t xml:space="preserve">FRIGOTTO, Gaudêncio. </w:t>
      </w:r>
      <w:r w:rsidRPr="00B46872">
        <w:rPr>
          <w:b/>
          <w:bCs/>
          <w:i/>
          <w:iCs/>
        </w:rPr>
        <w:t>A gênese das teses do Escola sem Partido: esfinge e ovo da serpente que ameaçam a sociedade e a educação</w:t>
      </w:r>
      <w:r w:rsidRPr="00FB3E9E">
        <w:t xml:space="preserve"> in: ESCOLA “SEM” PARTIDO Esfinge que ameaça a educação e a sociedade brasileira, FRIGOTTO, G. (Org.), Rio de Janeiro, UERJ, LPP, 2017.</w:t>
      </w:r>
    </w:p>
    <w:p w14:paraId="38A2BAF9" w14:textId="77777777" w:rsidR="002026F0" w:rsidRPr="00FB3E9E" w:rsidRDefault="002026F0" w:rsidP="002026F0">
      <w:pPr>
        <w:pStyle w:val="Normal1"/>
        <w:spacing w:after="120"/>
      </w:pPr>
      <w:r w:rsidRPr="00FB3E9E">
        <w:t xml:space="preserve">LINO, Lucilia. </w:t>
      </w:r>
      <w:proofErr w:type="spellStart"/>
      <w:r w:rsidRPr="00FB3E9E">
        <w:t>Najjar</w:t>
      </w:r>
      <w:proofErr w:type="spellEnd"/>
      <w:r w:rsidRPr="00FB3E9E">
        <w:t xml:space="preserve">, Jorge. (Org). </w:t>
      </w:r>
      <w:r w:rsidRPr="00B46872">
        <w:rPr>
          <w:b/>
          <w:bCs/>
        </w:rPr>
        <w:t>Planos de Educação</w:t>
      </w:r>
      <w:r w:rsidRPr="00B46872">
        <w:rPr>
          <w:b/>
          <w:bCs/>
          <w:i/>
          <w:iCs/>
        </w:rPr>
        <w:t>, Democracia e Formação: Desafios em tempos de crise</w:t>
      </w:r>
      <w:r w:rsidRPr="00B46872">
        <w:rPr>
          <w:b/>
          <w:bCs/>
        </w:rPr>
        <w:t>.</w:t>
      </w:r>
      <w:r w:rsidRPr="00FB3E9E">
        <w:t xml:space="preserve"> 1 ed. Curitiba: </w:t>
      </w:r>
      <w:proofErr w:type="spellStart"/>
      <w:r w:rsidRPr="00FB3E9E">
        <w:t>Appris</w:t>
      </w:r>
      <w:proofErr w:type="spellEnd"/>
      <w:r w:rsidRPr="00FB3E9E">
        <w:t>, 2019</w:t>
      </w:r>
    </w:p>
    <w:p w14:paraId="62FEA95C" w14:textId="77777777" w:rsidR="002026F0" w:rsidRPr="00FB3E9E" w:rsidRDefault="002026F0" w:rsidP="002026F0">
      <w:pPr>
        <w:jc w:val="both"/>
        <w:rPr>
          <w:rFonts w:ascii="Times New Roman" w:hAnsi="Times New Roman" w:cs="Times New Roman"/>
        </w:rPr>
      </w:pPr>
      <w:r w:rsidRPr="00FB3E9E">
        <w:rPr>
          <w:rFonts w:ascii="Times New Roman" w:hAnsi="Times New Roman" w:cs="Times New Roman"/>
        </w:rPr>
        <w:t xml:space="preserve">SAVIANI, Demerval. </w:t>
      </w:r>
      <w:r w:rsidRPr="00B46872">
        <w:rPr>
          <w:rFonts w:ascii="Times New Roman" w:hAnsi="Times New Roman" w:cs="Times New Roman"/>
          <w:b/>
          <w:bCs/>
          <w:i/>
          <w:iCs/>
        </w:rPr>
        <w:t>Escola e democracia: teorias da educação, curvatura da vara, onze teses sobre educação política</w:t>
      </w:r>
      <w:r w:rsidRPr="00B46872">
        <w:rPr>
          <w:rFonts w:ascii="Times New Roman" w:hAnsi="Times New Roman" w:cs="Times New Roman"/>
          <w:b/>
          <w:bCs/>
        </w:rPr>
        <w:t>.</w:t>
      </w:r>
      <w:r w:rsidRPr="00FB3E9E">
        <w:rPr>
          <w:rFonts w:ascii="Times New Roman" w:hAnsi="Times New Roman" w:cs="Times New Roman"/>
        </w:rPr>
        <w:t xml:space="preserve"> 39ª ed. Campinas: SP: Autores Associados, 2007.</w:t>
      </w:r>
    </w:p>
    <w:p w14:paraId="69161087" w14:textId="77777777" w:rsidR="00007754" w:rsidRDefault="00007754">
      <w:pPr>
        <w:spacing w:after="0"/>
      </w:pPr>
    </w:p>
    <w:sectPr w:rsidR="000077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0E80" w14:textId="77777777" w:rsidR="001A2EC0" w:rsidRDefault="001A2EC0">
      <w:pPr>
        <w:spacing w:after="0" w:line="240" w:lineRule="auto"/>
      </w:pPr>
      <w:r>
        <w:separator/>
      </w:r>
    </w:p>
  </w:endnote>
  <w:endnote w:type="continuationSeparator" w:id="0">
    <w:p w14:paraId="2623CA97" w14:textId="77777777" w:rsidR="001A2EC0" w:rsidRDefault="001A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041F" w14:textId="77777777" w:rsidR="00007754" w:rsidRDefault="0000775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6E23" w14:textId="77777777" w:rsidR="00007754" w:rsidRDefault="00000000">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7D12ABC7" wp14:editId="5054DCD0">
          <wp:extent cx="7736637" cy="382179"/>
          <wp:effectExtent l="0" t="0" r="0" b="0"/>
          <wp:docPr id="2" name="image2.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125E" w14:textId="77777777" w:rsidR="00007754" w:rsidRDefault="0000775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4132" w14:textId="77777777" w:rsidR="001A2EC0" w:rsidRDefault="001A2EC0">
      <w:pPr>
        <w:spacing w:after="0" w:line="240" w:lineRule="auto"/>
      </w:pPr>
      <w:r>
        <w:separator/>
      </w:r>
    </w:p>
  </w:footnote>
  <w:footnote w:type="continuationSeparator" w:id="0">
    <w:p w14:paraId="542BA1F5" w14:textId="77777777" w:rsidR="001A2EC0" w:rsidRDefault="001A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3DF" w14:textId="77777777" w:rsidR="00007754" w:rsidRDefault="0000775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7FD7" w14:textId="77777777" w:rsidR="00007754"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455C9EC5" wp14:editId="0D43CCC0">
          <wp:simplePos x="0" y="0"/>
          <wp:positionH relativeFrom="column">
            <wp:posOffset>3809917</wp:posOffset>
          </wp:positionH>
          <wp:positionV relativeFrom="paragraph">
            <wp:posOffset>-322990</wp:posOffset>
          </wp:positionV>
          <wp:extent cx="2571357" cy="121934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71" t="16783" r="8356"/>
                  <a:stretch>
                    <a:fillRect/>
                  </a:stretch>
                </pic:blipFill>
                <pic:spPr>
                  <a:xfrm>
                    <a:off x="0" y="0"/>
                    <a:ext cx="2571357" cy="1219343"/>
                  </a:xfrm>
                  <a:prstGeom prst="rect">
                    <a:avLst/>
                  </a:prstGeom>
                  <a:ln/>
                </pic:spPr>
              </pic:pic>
            </a:graphicData>
          </a:graphic>
        </wp:anchor>
      </w:drawing>
    </w:r>
  </w:p>
  <w:p w14:paraId="327534DF" w14:textId="77777777" w:rsidR="00007754"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557A19B7" w14:textId="77777777" w:rsidR="00007754"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8656" w14:textId="77777777" w:rsidR="00007754" w:rsidRDefault="0000775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54"/>
    <w:rsid w:val="00007754"/>
    <w:rsid w:val="001A2EC0"/>
    <w:rsid w:val="002026F0"/>
    <w:rsid w:val="00311012"/>
    <w:rsid w:val="00446800"/>
    <w:rsid w:val="006B6D45"/>
    <w:rsid w:val="007D1001"/>
    <w:rsid w:val="009E5FAF"/>
    <w:rsid w:val="00A356DC"/>
    <w:rsid w:val="00B46872"/>
    <w:rsid w:val="00BD3470"/>
    <w:rsid w:val="00E6702E"/>
    <w:rsid w:val="00F1581B"/>
    <w:rsid w:val="00F61B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A2A2"/>
  <w15:docId w15:val="{6BD8EFB1-6616-4048-B4F1-4EE355A8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character" w:styleId="Hyperlink">
    <w:name w:val="Hyperlink"/>
    <w:basedOn w:val="Fontepargpadro"/>
    <w:uiPriority w:val="99"/>
    <w:unhideWhenUsed/>
    <w:rsid w:val="002026F0"/>
    <w:rPr>
      <w:color w:val="0000FF" w:themeColor="hyperlink"/>
      <w:u w:val="single"/>
    </w:rPr>
  </w:style>
  <w:style w:type="paragraph" w:customStyle="1" w:styleId="Normal1">
    <w:name w:val="Normal1"/>
    <w:rsid w:val="002026F0"/>
    <w:pPr>
      <w:spacing w:after="0" w:line="240" w:lineRule="auto"/>
      <w:jc w:val="both"/>
    </w:pPr>
    <w:rPr>
      <w:rFonts w:ascii="Times New Roman" w:eastAsia="Times New Roman" w:hAnsi="Times New Roman" w:cs="Times New Roman"/>
    </w:rPr>
  </w:style>
  <w:style w:type="character" w:styleId="MenoPendente">
    <w:name w:val="Unresolved Mention"/>
    <w:basedOn w:val="Fontepargpadro"/>
    <w:uiPriority w:val="99"/>
    <w:semiHidden/>
    <w:unhideWhenUsed/>
    <w:rsid w:val="00F1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29685">
      <w:bodyDiv w:val="1"/>
      <w:marLeft w:val="0"/>
      <w:marRight w:val="0"/>
      <w:marTop w:val="0"/>
      <w:marBottom w:val="0"/>
      <w:divBdr>
        <w:top w:val="none" w:sz="0" w:space="0" w:color="auto"/>
        <w:left w:val="none" w:sz="0" w:space="0" w:color="auto"/>
        <w:bottom w:val="none" w:sz="0" w:space="0" w:color="auto"/>
        <w:right w:val="none" w:sz="0" w:space="0" w:color="auto"/>
      </w:divBdr>
    </w:div>
    <w:div w:id="694305766">
      <w:bodyDiv w:val="1"/>
      <w:marLeft w:val="0"/>
      <w:marRight w:val="0"/>
      <w:marTop w:val="0"/>
      <w:marBottom w:val="0"/>
      <w:divBdr>
        <w:top w:val="none" w:sz="0" w:space="0" w:color="auto"/>
        <w:left w:val="none" w:sz="0" w:space="0" w:color="auto"/>
        <w:bottom w:val="none" w:sz="0" w:space="0" w:color="auto"/>
        <w:right w:val="none" w:sz="0" w:space="0" w:color="auto"/>
      </w:divBdr>
    </w:div>
    <w:div w:id="785003953">
      <w:bodyDiv w:val="1"/>
      <w:marLeft w:val="0"/>
      <w:marRight w:val="0"/>
      <w:marTop w:val="0"/>
      <w:marBottom w:val="0"/>
      <w:divBdr>
        <w:top w:val="none" w:sz="0" w:space="0" w:color="auto"/>
        <w:left w:val="none" w:sz="0" w:space="0" w:color="auto"/>
        <w:bottom w:val="none" w:sz="0" w:space="0" w:color="auto"/>
        <w:right w:val="none" w:sz="0" w:space="0" w:color="auto"/>
      </w:divBdr>
    </w:div>
    <w:div w:id="1970823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iodicos.ufrrj.br/index.php/formov/article/view/67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1637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Izabel Marçal</cp:lastModifiedBy>
  <cp:revision>3</cp:revision>
  <dcterms:created xsi:type="dcterms:W3CDTF">2025-04-11T00:59:00Z</dcterms:created>
  <dcterms:modified xsi:type="dcterms:W3CDTF">2025-04-11T01:08:00Z</dcterms:modified>
</cp:coreProperties>
</file>