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IMPACTOS DO ESTADO NUTRICIONAL EM PACIENTES EM DECORRÊNCIA DE DOENÇAS TRANSMITIDAS POR ALIMENTOS: Revisão Bibliográfica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Fabrícia Lopes da Mota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Graduanda do curso de Nutrição. Faculdade UNINTA de Itapipoca.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 – Ceará. fabricialopes124@gmail.com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 Flávia de Sousa Moura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Graduanda do curso de Nutrição. Faculdade UNINTA de Itapipoca.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 - Ceará. manaflavia48@gmail.com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Heloi kennedy Farias Matias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Graduando do curso de Nutrição. Faculdade UNINTA de Itapipoca.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 – Ceará. kennedymatias123@gmail.com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Lisa Marie da Silva Braga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Preceptora de Estágio do Curso de Bacharelado em Nutrição. Faculdade UNINTA de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Itapipoca. Itapipoca – Ceará. lisabraganutri@gmail.com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Douglas Rodrigo Cursino dos Santos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 do Curso de Bacharelado em Nutrição. Faculdade UNINTA de Itapipoca.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 – Ceará. palestracursino@gmail.com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alimentação e nutrição estabelece preceitos básicos para proteção e promoção da saúde, desta forma a alimentação aprimora a qualidade de vida do indivíduo. O desenvolvimento de enfermidades por origem alimentar, ocorre quando o alimento sofre algum tipo de contaminação no processo de elaboração. Segundo a Organização Mundial da Saúde (OMS) as doenças transmitidas por alimentos, são aquelas que são contaminadas por agentes biologicos, quimicos e fisicos, que podem originar surtos semelhantes em duas ou mais pessoas, além disso episódios como náuseas, vômitos e diarreias, são capazes de complicar o quadro clínico de indivíduos com o estado nutricional já comprometido.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Esclarecer, com base na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literatura, a importância da produção de alimentos seguros para a boa recuperação do estado clínico de indivíduos internados em ambiente hospitalar.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Trata-se de uma pesquisa de revisão bibliográfica, de abordagem qualitativa e descritiva, que utilizou os artigos científicos escritos na língua português, das bases de dados BVS, PubMED, SciELO e LILACS, publicados entre 2016 e 2021 com os seguintes descritores: “contaminação por alimentos”, “intoxicação alimentar” e “ambiente hospitalar”. Os critérios de exclusão foram os artigos que não contemplaram a temática e objetivo deste estudo.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presença de microrganismo patogênicos em alimentos e água, são responsáveis por causar risco a saúde do paciente pela produção de toxinas, Esse tipo de contaminação pode ocorrer por diversos fatores, principalmente por práticas higiênico-sanitárias inadequadas, seguido de contaminação cruzada e temperaturas de armazenamento incorretas.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Doenças transmitidas por alimentos, são responsáveis por agravar e retardar a melhoria do quadro clínico de pacientes, onde os alimentos possuem um papel fundamental para recuperação do estado nutricional, por isso é de suma importância ações voltadas à boas práticas de manipulação dos alimentos, produção de alimentos seguros e efetiva atuação dos sistemas de vigilância, conscientização, prevenção e controle deste tipo de enfermidade que oferece sérios riscos e prejuízos à saúde pública.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contaminação por alimentos; intoxicação alimentar e ambiente hospitalar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MELO, Eveny Silva et 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Doenças transmitidas por alimentos e principais agentes bacterianos envolvidos em surtos no Brasil: revisão.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v.12, n.10, a191, p.1-9, Out., 2018. Disponível em: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https://doi.org/10.31533/pubvet.v12n10a191.1-9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 Acesso em: 17 de março de 2022.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SIRTOLI, Daniela Bezerra; CAMARELLA, Larissa.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papel da vigilância sanitária na prevenção das doenças transmitidas por alimentos (DTA)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v. 12 n. 10 (2018). Disponível em: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https://www.revistasuninter.com/revistasaude/index.php/saudeDesenvolvimento/article/view/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878. Acesso em: 18 de março de 2022.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F.W. Bordini , M.D. Rosolen , T.G. Blumberg , A.P. Almeida , L.O. Marques , S. Pieniz.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microbiológica de esponjas de limpeza utilizadas em uma unidade de alimentação e nutrição hospitalar.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Disponível: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http://www.schenautomacao.com.br/ssa/envio/files/171_arqnovo.pdf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19 em março de 2022.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12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chenautomacao.com.br/ssa/envio/files/171_arqnovo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1533/pubvet.v12n10a191.1-9" TargetMode="External"/><Relationship Id="rId8" Type="http://schemas.openxmlformats.org/officeDocument/2006/relationships/hyperlink" Target="https://www.revistasuninter.com/revistasaude/index.php/saudeDesenvolvimento/article/view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6UKUKcUyP90KKSrdnkYHiK9M6g==">AMUW2mVK8lDksMoNcxY43s1F9eegap78BXBJFWacKVyfduZ52utyOc3R5SVZFL0A3rlCURmR/BTMx8GhY9BCSVDrKurq8G4ZZGlpbyDDPtO91w5e7DBJT+k=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</cp:coreProperties>
</file>