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DAB96D9">
      <w:r>
        <w:rPr>
          <w:lang w:eastAsia="pt-BR"/>
        </w:rPr>
        <w:drawing>
          <wp:inline distT="0" distB="0" distL="0" distR="0">
            <wp:extent cx="5400040" cy="1350010"/>
            <wp:effectExtent l="0" t="0" r="0" b="254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m 1"/>
                    <pic:cNvPicPr>
                      <a:picLocks noChangeAspect="1"/>
                    </pic:cNvPicPr>
                  </pic:nvPicPr>
                  <pic:blipFill>
                    <a:blip r:embed="rId6" cstate="print">
                      <a:extLst>
                        <a:ext uri="{28A0092B-C50C-407E-A947-70E740481C1C}">
                          <a14:useLocalDpi xmlns:a14="http://schemas.microsoft.com/office/drawing/2010/main" val="0"/>
                        </a:ext>
                      </a:extLst>
                    </a:blip>
                    <a:stretch>
                      <a:fillRect/>
                    </a:stretch>
                  </pic:blipFill>
                  <pic:spPr>
                    <a:xfrm>
                      <a:off x="0" y="0"/>
                      <a:ext cx="5400040" cy="1350010"/>
                    </a:xfrm>
                    <a:prstGeom prst="rect">
                      <a:avLst/>
                    </a:prstGeom>
                  </pic:spPr>
                </pic:pic>
              </a:graphicData>
            </a:graphic>
          </wp:inline>
        </w:drawing>
      </w:r>
    </w:p>
    <w:p w14:paraId="7E95CFFB">
      <w:pPr>
        <w:spacing w:after="0" w:line="240" w:lineRule="auto"/>
        <w:ind w:right="220" w:rightChars="100"/>
        <w:jc w:val="center"/>
        <w:rPr>
          <w:rFonts w:ascii="Times New Roman" w:hAnsi="Times New Roman" w:eastAsia="Times New Roman" w:cs="Times New Roman"/>
          <w:bCs/>
          <w:sz w:val="24"/>
          <w:szCs w:val="24"/>
          <w:lang w:eastAsia="pt-BR"/>
        </w:rPr>
      </w:pPr>
      <w:r>
        <w:rPr>
          <w:rFonts w:ascii="Times New Roman" w:hAnsi="Times New Roman" w:eastAsia="Times New Roman" w:cs="Times New Roman"/>
          <w:b/>
          <w:bCs/>
          <w:sz w:val="24"/>
          <w:szCs w:val="24"/>
          <w:lang w:eastAsia="pt-BR"/>
        </w:rPr>
        <w:t>A</w:t>
      </w:r>
      <w:r>
        <w:rPr>
          <w:rFonts w:ascii="Times New Roman" w:hAnsi="Times New Roman" w:eastAsia="Times New Roman" w:cs="Times New Roman"/>
          <w:b/>
          <w:bCs/>
          <w:sz w:val="24"/>
          <w:szCs w:val="24"/>
          <w:lang w:val="en-US" w:eastAsia="pt-BR"/>
        </w:rPr>
        <w:t xml:space="preserve"> IMPORTÂNCIA DA FORMAÇÃO DOCENTE PARA A INCLUSÃO NO ENSINO MÉDIO </w:t>
      </w:r>
    </w:p>
    <w:p w14:paraId="5458C79E">
      <w:pPr>
        <w:keepNext w:val="0"/>
        <w:keepLines w:val="0"/>
        <w:pageBreakBefore w:val="0"/>
        <w:widowControl/>
        <w:kinsoku/>
        <w:wordWrap/>
        <w:overflowPunct/>
        <w:topLinePunct w:val="0"/>
        <w:autoSpaceDE/>
        <w:autoSpaceDN/>
        <w:bidi w:val="0"/>
        <w:adjustRightInd/>
        <w:snapToGrid/>
        <w:spacing w:after="0" w:line="240" w:lineRule="auto"/>
        <w:ind w:right="220" w:rightChars="100"/>
        <w:jc w:val="right"/>
        <w:textAlignment w:val="auto"/>
        <w:rPr>
          <w:rFonts w:ascii="Times New Roman" w:hAnsi="Times New Roman" w:eastAsia="Times New Roman" w:cs="Times New Roman"/>
          <w:bCs/>
          <w:sz w:val="24"/>
          <w:szCs w:val="24"/>
          <w:lang w:eastAsia="pt-BR"/>
        </w:rPr>
      </w:pPr>
      <w:r>
        <w:rPr>
          <w:rFonts w:ascii="Times New Roman" w:hAnsi="Times New Roman" w:eastAsia="Times New Roman" w:cs="Times New Roman"/>
          <w:bCs/>
          <w:sz w:val="24"/>
          <w:szCs w:val="24"/>
          <w:lang w:val="en-US" w:eastAsia="pt-BR"/>
        </w:rPr>
        <w:t>Cirlei de Souza Moreira Dias</w:t>
      </w:r>
    </w:p>
    <w:p w14:paraId="6CEEE6EA">
      <w:pPr>
        <w:keepNext w:val="0"/>
        <w:keepLines w:val="0"/>
        <w:pageBreakBefore w:val="0"/>
        <w:widowControl/>
        <w:kinsoku/>
        <w:wordWrap/>
        <w:overflowPunct/>
        <w:topLinePunct w:val="0"/>
        <w:autoSpaceDE/>
        <w:autoSpaceDN/>
        <w:bidi w:val="0"/>
        <w:adjustRightInd/>
        <w:snapToGrid/>
        <w:spacing w:after="0" w:line="240" w:lineRule="auto"/>
        <w:ind w:right="220" w:rightChars="100"/>
        <w:jc w:val="right"/>
        <w:textAlignment w:val="auto"/>
        <w:rPr>
          <w:rFonts w:ascii="Times New Roman" w:hAnsi="Times New Roman" w:eastAsia="Times New Roman" w:cs="Times New Roman"/>
          <w:sz w:val="24"/>
          <w:szCs w:val="24"/>
          <w:lang w:eastAsia="pt-BR"/>
        </w:rPr>
      </w:pPr>
      <w:r>
        <w:rPr>
          <w:rFonts w:ascii="Times New Roman" w:hAnsi="Times New Roman" w:eastAsia="Times New Roman" w:cs="Times New Roman"/>
          <w:sz w:val="24"/>
          <w:szCs w:val="24"/>
          <w:lang w:val="en-US" w:eastAsia="pt-BR"/>
        </w:rPr>
        <w:t>UNIARP</w:t>
      </w:r>
    </w:p>
    <w:p w14:paraId="241D9C24">
      <w:pPr>
        <w:keepNext w:val="0"/>
        <w:keepLines w:val="0"/>
        <w:pageBreakBefore w:val="0"/>
        <w:widowControl/>
        <w:kinsoku/>
        <w:wordWrap/>
        <w:overflowPunct/>
        <w:topLinePunct w:val="0"/>
        <w:autoSpaceDE/>
        <w:autoSpaceDN/>
        <w:bidi w:val="0"/>
        <w:adjustRightInd/>
        <w:snapToGrid/>
        <w:spacing w:after="0" w:line="240" w:lineRule="auto"/>
        <w:ind w:right="220" w:rightChars="100"/>
        <w:jc w:val="right"/>
        <w:textAlignment w:val="auto"/>
        <w:rPr>
          <w:rFonts w:ascii="Times New Roman" w:hAnsi="Times New Roman" w:eastAsia="Times New Roman" w:cs="Times New Roman"/>
          <w:sz w:val="24"/>
          <w:szCs w:val="24"/>
          <w:lang w:val="en-US" w:eastAsia="pt-BR"/>
        </w:rPr>
      </w:pPr>
      <w:r>
        <w:fldChar w:fldCharType="begin"/>
      </w:r>
      <w:r>
        <w:instrText xml:space="preserve"> HYPERLINK "mailto:cirlei@uniarp.edu.br" </w:instrText>
      </w:r>
      <w:r>
        <w:fldChar w:fldCharType="separate"/>
      </w:r>
      <w:r>
        <w:rPr>
          <w:rStyle w:val="5"/>
          <w:rFonts w:ascii="Times New Roman" w:hAnsi="Times New Roman" w:eastAsia="Times New Roman" w:cs="Times New Roman"/>
          <w:sz w:val="24"/>
          <w:szCs w:val="24"/>
          <w:lang w:val="en-US" w:eastAsia="pt-BR"/>
        </w:rPr>
        <w:t>cirlei@uniarp.edu.br</w:t>
      </w:r>
      <w:r>
        <w:rPr>
          <w:rStyle w:val="5"/>
          <w:rFonts w:ascii="Times New Roman" w:hAnsi="Times New Roman" w:eastAsia="Times New Roman" w:cs="Times New Roman"/>
          <w:sz w:val="24"/>
          <w:szCs w:val="24"/>
          <w:lang w:val="en-US" w:eastAsia="pt-BR"/>
        </w:rPr>
        <w:fldChar w:fldCharType="end"/>
      </w:r>
      <w:r>
        <w:rPr>
          <w:rFonts w:ascii="Times New Roman" w:hAnsi="Times New Roman" w:eastAsia="Times New Roman" w:cs="Times New Roman"/>
          <w:sz w:val="24"/>
          <w:szCs w:val="24"/>
          <w:lang w:val="en-US" w:eastAsia="pt-BR"/>
        </w:rPr>
        <w:t xml:space="preserve"> </w:t>
      </w:r>
    </w:p>
    <w:p w14:paraId="1EFBD1BE">
      <w:pPr>
        <w:keepNext w:val="0"/>
        <w:keepLines w:val="0"/>
        <w:pageBreakBefore w:val="0"/>
        <w:widowControl/>
        <w:kinsoku/>
        <w:wordWrap/>
        <w:overflowPunct/>
        <w:topLinePunct w:val="0"/>
        <w:autoSpaceDE/>
        <w:autoSpaceDN/>
        <w:bidi w:val="0"/>
        <w:adjustRightInd/>
        <w:snapToGrid/>
        <w:spacing w:after="0" w:line="240" w:lineRule="auto"/>
        <w:ind w:right="220" w:rightChars="100"/>
        <w:jc w:val="right"/>
        <w:textAlignment w:val="auto"/>
        <w:rPr>
          <w:rFonts w:ascii="Times New Roman" w:hAnsi="Times New Roman" w:eastAsia="Times New Roman" w:cs="Times New Roman"/>
          <w:bCs/>
          <w:sz w:val="24"/>
          <w:szCs w:val="24"/>
          <w:lang w:eastAsia="pt-BR"/>
        </w:rPr>
      </w:pPr>
      <w:r>
        <w:rPr>
          <w:rFonts w:ascii="Times New Roman" w:hAnsi="Times New Roman" w:eastAsia="Times New Roman" w:cs="Times New Roman"/>
          <w:bCs/>
          <w:sz w:val="24"/>
          <w:szCs w:val="24"/>
          <w:lang w:val="en-US" w:eastAsia="pt-BR"/>
        </w:rPr>
        <w:t>Shirlei de Souza Corrêa</w:t>
      </w:r>
    </w:p>
    <w:p w14:paraId="3DAA367F">
      <w:pPr>
        <w:keepNext w:val="0"/>
        <w:keepLines w:val="0"/>
        <w:pageBreakBefore w:val="0"/>
        <w:widowControl/>
        <w:kinsoku/>
        <w:wordWrap/>
        <w:overflowPunct/>
        <w:topLinePunct w:val="0"/>
        <w:autoSpaceDE/>
        <w:autoSpaceDN/>
        <w:bidi w:val="0"/>
        <w:adjustRightInd/>
        <w:snapToGrid/>
        <w:spacing w:after="0" w:line="240" w:lineRule="auto"/>
        <w:ind w:right="220" w:rightChars="100"/>
        <w:jc w:val="right"/>
        <w:textAlignment w:val="auto"/>
        <w:rPr>
          <w:rFonts w:ascii="Times New Roman" w:hAnsi="Times New Roman" w:eastAsia="Times New Roman" w:cs="Times New Roman"/>
          <w:sz w:val="24"/>
          <w:szCs w:val="24"/>
          <w:lang w:eastAsia="pt-BR"/>
        </w:rPr>
      </w:pPr>
      <w:r>
        <w:rPr>
          <w:rFonts w:ascii="Times New Roman" w:hAnsi="Times New Roman" w:eastAsia="Times New Roman" w:cs="Times New Roman"/>
          <w:sz w:val="24"/>
          <w:szCs w:val="24"/>
          <w:lang w:eastAsia="pt-BR"/>
        </w:rPr>
        <w:t>UNIARP</w:t>
      </w:r>
    </w:p>
    <w:p w14:paraId="45F9831F">
      <w:pPr>
        <w:keepNext w:val="0"/>
        <w:keepLines w:val="0"/>
        <w:pageBreakBefore w:val="0"/>
        <w:widowControl/>
        <w:kinsoku/>
        <w:wordWrap/>
        <w:overflowPunct/>
        <w:topLinePunct w:val="0"/>
        <w:autoSpaceDE/>
        <w:autoSpaceDN/>
        <w:bidi w:val="0"/>
        <w:adjustRightInd/>
        <w:snapToGrid/>
        <w:spacing w:after="0" w:line="240" w:lineRule="auto"/>
        <w:ind w:right="220" w:rightChars="100"/>
        <w:jc w:val="right"/>
        <w:textAlignment w:val="auto"/>
        <w:rPr>
          <w:rFonts w:ascii="Times New Roman" w:hAnsi="Times New Roman" w:eastAsia="Times New Roman" w:cs="Times New Roman"/>
          <w:sz w:val="24"/>
          <w:szCs w:val="24"/>
          <w:lang w:eastAsia="pt-BR"/>
        </w:rPr>
      </w:pPr>
      <w:r>
        <w:fldChar w:fldCharType="begin"/>
      </w:r>
      <w:r>
        <w:instrText xml:space="preserve"> HYPERLINK "mailto:Shirlei.souza@uniarp.edu.br" </w:instrText>
      </w:r>
      <w:r>
        <w:fldChar w:fldCharType="separate"/>
      </w:r>
      <w:r>
        <w:rPr>
          <w:rStyle w:val="5"/>
          <w:rFonts w:ascii="Times New Roman" w:hAnsi="Times New Roman" w:eastAsia="Times New Roman" w:cs="Times New Roman"/>
          <w:sz w:val="24"/>
          <w:szCs w:val="24"/>
          <w:lang w:eastAsia="pt-BR"/>
        </w:rPr>
        <w:t>Shirlei.souza@uniarp.edu.br</w:t>
      </w:r>
      <w:r>
        <w:rPr>
          <w:rStyle w:val="5"/>
          <w:rFonts w:ascii="Times New Roman" w:hAnsi="Times New Roman" w:eastAsia="Times New Roman" w:cs="Times New Roman"/>
          <w:sz w:val="24"/>
          <w:szCs w:val="24"/>
          <w:lang w:eastAsia="pt-BR"/>
        </w:rPr>
        <w:fldChar w:fldCharType="end"/>
      </w:r>
    </w:p>
    <w:p w14:paraId="35C26CAD">
      <w:pPr>
        <w:spacing w:after="0" w:line="240" w:lineRule="auto"/>
        <w:ind w:right="220" w:rightChars="100"/>
        <w:jc w:val="right"/>
        <w:rPr>
          <w:rFonts w:ascii="Times New Roman" w:hAnsi="Times New Roman" w:eastAsia="Times New Roman" w:cs="Times New Roman"/>
          <w:sz w:val="24"/>
          <w:szCs w:val="24"/>
          <w:lang w:eastAsia="pt-BR"/>
        </w:rPr>
      </w:pPr>
    </w:p>
    <w:p w14:paraId="2626B573">
      <w:pPr>
        <w:wordWrap w:val="0"/>
        <w:spacing w:after="0" w:line="240" w:lineRule="auto"/>
        <w:ind w:right="220" w:rightChars="100"/>
        <w:jc w:val="right"/>
        <w:rPr>
          <w:rFonts w:ascii="Times New Roman" w:hAnsi="Times New Roman" w:cs="Times New Roman"/>
          <w:sz w:val="24"/>
          <w:szCs w:val="24"/>
          <w:lang w:eastAsia="pt-BR"/>
        </w:rPr>
      </w:pPr>
      <w:r>
        <w:rPr>
          <w:rFonts w:ascii="Times New Roman" w:hAnsi="Times New Roman" w:eastAsia="Times New Roman" w:cs="Times New Roman"/>
          <w:b/>
          <w:sz w:val="24"/>
          <w:szCs w:val="24"/>
          <w:lang w:eastAsia="pt-BR"/>
        </w:rPr>
        <w:t xml:space="preserve">Palavras-chave: </w:t>
      </w:r>
      <w:r>
        <w:rPr>
          <w:rFonts w:ascii="Times New Roman" w:hAnsi="Times New Roman" w:eastAsia="Times New Roman" w:cs="Times New Roman"/>
          <w:b/>
          <w:sz w:val="24"/>
          <w:szCs w:val="24"/>
          <w:lang w:val="en-US" w:eastAsia="pt-BR"/>
        </w:rPr>
        <w:t>Inclusão escolar; Ensino Médio; Formação docente; AEE.</w:t>
      </w:r>
    </w:p>
    <w:p w14:paraId="360BC143">
      <w:pPr>
        <w:keepNext w:val="0"/>
        <w:keepLines w:val="0"/>
        <w:pageBreakBefore w:val="0"/>
        <w:widowControl/>
        <w:kinsoku/>
        <w:wordWrap/>
        <w:overflowPunct/>
        <w:topLinePunct w:val="0"/>
        <w:autoSpaceDE/>
        <w:autoSpaceDN/>
        <w:bidi w:val="0"/>
        <w:adjustRightInd/>
        <w:snapToGrid/>
        <w:spacing w:before="120" w:after="120" w:line="240" w:lineRule="auto"/>
        <w:ind w:right="220" w:rightChars="100"/>
        <w:jc w:val="both"/>
        <w:textAlignment w:val="auto"/>
        <w:rPr>
          <w:rFonts w:ascii="Times New Roman" w:hAnsi="Times New Roman" w:eastAsia="Times New Roman" w:cs="Times New Roman"/>
          <w:b/>
          <w:sz w:val="24"/>
          <w:szCs w:val="24"/>
          <w:lang w:eastAsia="pt-BR"/>
        </w:rPr>
      </w:pPr>
      <w:r>
        <w:rPr>
          <w:rFonts w:ascii="Times New Roman" w:hAnsi="Times New Roman" w:eastAsia="Times New Roman" w:cs="Times New Roman"/>
          <w:b/>
          <w:sz w:val="24"/>
          <w:szCs w:val="24"/>
          <w:lang w:eastAsia="pt-BR"/>
        </w:rPr>
        <w:t>Introdução</w:t>
      </w:r>
    </w:p>
    <w:p w14:paraId="7C0201ED">
      <w:pPr>
        <w:keepNext w:val="0"/>
        <w:keepLines w:val="0"/>
        <w:pageBreakBefore w:val="0"/>
        <w:widowControl/>
        <w:kinsoku/>
        <w:wordWrap/>
        <w:overflowPunct/>
        <w:topLinePunct w:val="0"/>
        <w:autoSpaceDE/>
        <w:autoSpaceDN/>
        <w:bidi w:val="0"/>
        <w:adjustRightInd/>
        <w:snapToGrid/>
        <w:spacing w:after="0" w:line="240" w:lineRule="auto"/>
        <w:ind w:right="220" w:rightChars="100" w:firstLine="709"/>
        <w:jc w:val="both"/>
        <w:textAlignment w:val="auto"/>
        <w:rPr>
          <w:rFonts w:ascii="Times New Roman" w:hAnsi="Times New Roman" w:cs="Times New Roman"/>
          <w:sz w:val="24"/>
          <w:szCs w:val="24"/>
        </w:rPr>
      </w:pPr>
      <w:r>
        <w:rPr>
          <w:rFonts w:ascii="Times New Roman" w:hAnsi="Times New Roman" w:eastAsia="Calibri" w:cs="Times New Roman"/>
          <w:kern w:val="2"/>
          <w:sz w:val="24"/>
          <w:szCs w:val="24"/>
          <w:lang w:eastAsia="zh-CN" w:bidi="ar"/>
        </w:rPr>
        <w:t xml:space="preserve">A educação inclusiva vem sendo discutida com afinco nos últimos trinta anos, constituindo um princípio fundamental das políticas educacionais contemporâneas buscando garantir acesso, participação e aprendizagem em escolas comuns para todos os estudantes, independentemente de suas peculiaridades. Dessa forma, a Lei Brasileira de Inclusão da Pessoa com Deficiência, Lei nº 13.146 de 2015, também conhecida como o Estatuto da Pessoa com Deficiência, a Política Nacional de Educação Especial na Perspectiva da Educação Inclusiva (PNEEPEI, 2008) e a Base Nacional Comum Curricular (BNCC, 2018) são documentos que reforçam </w:t>
      </w:r>
      <w:r>
        <w:rPr>
          <w:rFonts w:hint="default" w:ascii="Times New Roman" w:hAnsi="Times New Roman" w:eastAsia="Calibri" w:cs="Times New Roman"/>
          <w:kern w:val="2"/>
          <w:sz w:val="24"/>
          <w:szCs w:val="24"/>
          <w:lang w:val="pt-BR" w:eastAsia="zh-CN" w:bidi="ar"/>
        </w:rPr>
        <w:t>esse</w:t>
      </w:r>
      <w:r>
        <w:rPr>
          <w:rFonts w:ascii="Times New Roman" w:hAnsi="Times New Roman" w:eastAsia="Calibri" w:cs="Times New Roman"/>
          <w:kern w:val="2"/>
          <w:sz w:val="24"/>
          <w:szCs w:val="24"/>
          <w:lang w:eastAsia="zh-CN" w:bidi="ar"/>
        </w:rPr>
        <w:t xml:space="preserve"> compromisso.</w:t>
      </w:r>
    </w:p>
    <w:p w14:paraId="7410D216">
      <w:pPr>
        <w:keepNext w:val="0"/>
        <w:keepLines w:val="0"/>
        <w:pageBreakBefore w:val="0"/>
        <w:widowControl/>
        <w:kinsoku/>
        <w:wordWrap/>
        <w:overflowPunct/>
        <w:topLinePunct w:val="0"/>
        <w:autoSpaceDE/>
        <w:autoSpaceDN/>
        <w:bidi w:val="0"/>
        <w:adjustRightInd/>
        <w:snapToGrid/>
        <w:spacing w:after="0" w:line="240" w:lineRule="auto"/>
        <w:ind w:right="220" w:rightChars="100" w:firstLine="709"/>
        <w:jc w:val="both"/>
        <w:textAlignment w:val="auto"/>
        <w:rPr>
          <w:rFonts w:ascii="Times New Roman" w:hAnsi="Times New Roman" w:cs="Times New Roman"/>
          <w:sz w:val="24"/>
          <w:szCs w:val="24"/>
        </w:rPr>
      </w:pPr>
      <w:r>
        <w:rPr>
          <w:rFonts w:hint="default" w:ascii="Times New Roman" w:hAnsi="Times New Roman" w:eastAsia="Calibri" w:cs="Times New Roman"/>
          <w:kern w:val="2"/>
          <w:sz w:val="24"/>
          <w:szCs w:val="24"/>
          <w:lang w:val="pt-BR" w:eastAsia="zh-CN" w:bidi="ar"/>
        </w:rPr>
        <w:t>A</w:t>
      </w:r>
      <w:r>
        <w:rPr>
          <w:rFonts w:ascii="Times New Roman" w:hAnsi="Times New Roman" w:eastAsia="Calibri" w:cs="Times New Roman"/>
          <w:kern w:val="2"/>
          <w:sz w:val="24"/>
          <w:szCs w:val="24"/>
          <w:lang w:eastAsia="zh-CN" w:bidi="ar"/>
        </w:rPr>
        <w:t xml:space="preserve"> formação de professores deve considerar as diversas dimensões socioculturais que perpassam o cenário educacional brasileiro preparando o docente para os desafios da profissão. Mantoan (20</w:t>
      </w:r>
      <w:r>
        <w:rPr>
          <w:rFonts w:hint="default" w:ascii="Times New Roman" w:hAnsi="Times New Roman" w:eastAsia="Calibri" w:cs="Times New Roman"/>
          <w:kern w:val="2"/>
          <w:sz w:val="24"/>
          <w:szCs w:val="24"/>
          <w:lang w:val="pt-BR" w:eastAsia="zh-CN" w:bidi="ar"/>
        </w:rPr>
        <w:t>2</w:t>
      </w:r>
      <w:r>
        <w:rPr>
          <w:rFonts w:ascii="Times New Roman" w:hAnsi="Times New Roman" w:eastAsia="Calibri" w:cs="Times New Roman"/>
          <w:kern w:val="2"/>
          <w:sz w:val="24"/>
          <w:szCs w:val="24"/>
          <w:lang w:eastAsia="zh-CN" w:bidi="ar"/>
        </w:rPr>
        <w:t>3) enfatiza que o programa de formação deve ter como meta oferecer subsídios para que os professores se tornem aptos a atender a diversidade presente na escola</w:t>
      </w:r>
      <w:r>
        <w:rPr>
          <w:rFonts w:hint="default" w:ascii="Times New Roman" w:hAnsi="Times New Roman" w:eastAsia="Calibri" w:cs="Times New Roman"/>
          <w:kern w:val="2"/>
          <w:sz w:val="24"/>
          <w:szCs w:val="24"/>
          <w:lang w:val="pt-BR" w:eastAsia="zh-CN" w:bidi="ar"/>
        </w:rPr>
        <w:t>.</w:t>
      </w:r>
      <w:r>
        <w:rPr>
          <w:rFonts w:ascii="Times New Roman" w:hAnsi="Times New Roman" w:eastAsia="Calibri" w:cs="Times New Roman"/>
          <w:kern w:val="2"/>
          <w:sz w:val="24"/>
          <w:szCs w:val="24"/>
          <w:lang w:eastAsia="zh-CN" w:bidi="ar"/>
        </w:rPr>
        <w:t xml:space="preserve"> </w:t>
      </w:r>
      <w:r>
        <w:rPr>
          <w:rFonts w:hint="default" w:ascii="Times New Roman" w:hAnsi="Times New Roman" w:eastAsia="Calibri" w:cs="Times New Roman"/>
          <w:kern w:val="2"/>
          <w:sz w:val="24"/>
          <w:szCs w:val="24"/>
          <w:lang w:val="pt-BR" w:eastAsia="zh-CN" w:bidi="ar"/>
        </w:rPr>
        <w:t xml:space="preserve">Além das  </w:t>
      </w:r>
      <w:r>
        <w:rPr>
          <w:rFonts w:ascii="Times New Roman" w:hAnsi="Times New Roman" w:eastAsia="Calibri" w:cs="Times New Roman"/>
          <w:kern w:val="2"/>
          <w:sz w:val="24"/>
          <w:szCs w:val="24"/>
          <w:lang w:eastAsia="zh-CN" w:bidi="ar"/>
        </w:rPr>
        <w:t>condições individuais</w:t>
      </w:r>
      <w:r>
        <w:rPr>
          <w:rFonts w:hint="default" w:ascii="Times New Roman" w:hAnsi="Times New Roman" w:eastAsia="Calibri" w:cs="Times New Roman"/>
          <w:kern w:val="2"/>
          <w:sz w:val="24"/>
          <w:szCs w:val="24"/>
          <w:lang w:val="pt-BR" w:eastAsia="zh-CN" w:bidi="ar"/>
        </w:rPr>
        <w:t xml:space="preserve">, a </w:t>
      </w:r>
      <w:r>
        <w:rPr>
          <w:rFonts w:ascii="Times New Roman" w:hAnsi="Times New Roman" w:eastAsia="Calibri" w:cs="Times New Roman"/>
          <w:kern w:val="2"/>
          <w:sz w:val="24"/>
          <w:szCs w:val="24"/>
          <w:lang w:eastAsia="zh-CN" w:bidi="ar"/>
        </w:rPr>
        <w:t>diversidade no ambiente escolar,  está represen</w:t>
      </w:r>
      <w:r>
        <w:rPr>
          <w:rFonts w:hint="default" w:ascii="Times New Roman" w:hAnsi="Times New Roman" w:eastAsia="Calibri" w:cs="Times New Roman"/>
          <w:kern w:val="2"/>
          <w:sz w:val="24"/>
          <w:szCs w:val="24"/>
          <w:lang w:val="pt-BR" w:eastAsia="zh-CN" w:bidi="ar"/>
        </w:rPr>
        <w:t>t</w:t>
      </w:r>
      <w:r>
        <w:rPr>
          <w:rFonts w:ascii="Times New Roman" w:hAnsi="Times New Roman" w:eastAsia="Calibri" w:cs="Times New Roman"/>
          <w:kern w:val="2"/>
          <w:sz w:val="24"/>
          <w:szCs w:val="24"/>
          <w:lang w:eastAsia="zh-CN" w:bidi="ar"/>
        </w:rPr>
        <w:t xml:space="preserve">ada pelas desigualdades étnicas raciais, sociais, culturais e econômicas, condições essas que marcam o acesso e a permanência do estudante na escola. </w:t>
      </w:r>
    </w:p>
    <w:p w14:paraId="1508539B">
      <w:pPr>
        <w:keepNext w:val="0"/>
        <w:keepLines w:val="0"/>
        <w:pageBreakBefore w:val="0"/>
        <w:widowControl/>
        <w:kinsoku/>
        <w:wordWrap/>
        <w:overflowPunct/>
        <w:topLinePunct w:val="0"/>
        <w:autoSpaceDE/>
        <w:autoSpaceDN/>
        <w:bidi w:val="0"/>
        <w:adjustRightInd/>
        <w:snapToGrid/>
        <w:spacing w:after="0" w:line="240" w:lineRule="auto"/>
        <w:ind w:right="220" w:rightChars="100" w:firstLine="709"/>
        <w:jc w:val="both"/>
        <w:textAlignment w:val="auto"/>
        <w:rPr>
          <w:rFonts w:ascii="Times New Roman" w:hAnsi="Times New Roman" w:eastAsia="Calibri" w:cs="Times New Roman"/>
          <w:sz w:val="24"/>
          <w:szCs w:val="24"/>
          <w:lang w:bidi="ar"/>
        </w:rPr>
      </w:pPr>
      <w:r>
        <w:rPr>
          <w:rFonts w:ascii="Times New Roman" w:hAnsi="Times New Roman" w:eastAsia="Calibri" w:cs="Times New Roman"/>
          <w:kern w:val="2"/>
          <w:sz w:val="24"/>
          <w:szCs w:val="24"/>
          <w:lang w:eastAsia="zh-CN" w:bidi="ar"/>
        </w:rPr>
        <w:t xml:space="preserve">Considerando a importância desse movimento, </w:t>
      </w:r>
      <w:r>
        <w:rPr>
          <w:rFonts w:ascii="Times New Roman" w:hAnsi="Times New Roman" w:eastAsia="Calibri" w:cs="Times New Roman"/>
          <w:sz w:val="24"/>
          <w:szCs w:val="24"/>
          <w:lang w:bidi="ar"/>
        </w:rPr>
        <w:t>foi desenvolvida uma pesquisa caracterizada como qualitativa, de natureza descritiva, desenvolvida a partir de um estudo bibliográfico</w:t>
      </w:r>
      <w:r>
        <w:rPr>
          <w:rFonts w:hint="default" w:ascii="Times New Roman" w:hAnsi="Times New Roman" w:eastAsia="Calibri" w:cs="Times New Roman"/>
          <w:sz w:val="24"/>
          <w:szCs w:val="24"/>
          <w:lang w:val="pt-BR" w:bidi="ar"/>
        </w:rPr>
        <w:t>, cujo</w:t>
      </w:r>
      <w:r>
        <w:rPr>
          <w:rFonts w:ascii="Times New Roman" w:hAnsi="Times New Roman" w:cs="Times New Roman"/>
          <w:sz w:val="24"/>
          <w:szCs w:val="24"/>
        </w:rPr>
        <w:t xml:space="preserve"> objetivo é </w:t>
      </w:r>
      <w:r>
        <w:rPr>
          <w:rFonts w:ascii="Times New Roman" w:hAnsi="Times New Roman" w:eastAsia="Calibri" w:cs="Times New Roman"/>
          <w:sz w:val="24"/>
          <w:szCs w:val="24"/>
          <w:lang w:bidi="ar"/>
        </w:rPr>
        <w:t xml:space="preserve">compreender a importância da formação continuada de professores que atuam com inclusão no contexto do Ensino Médio. </w:t>
      </w:r>
    </w:p>
    <w:p w14:paraId="7B7C10CF">
      <w:pPr>
        <w:keepNext w:val="0"/>
        <w:keepLines w:val="0"/>
        <w:pageBreakBefore w:val="0"/>
        <w:widowControl/>
        <w:kinsoku/>
        <w:wordWrap/>
        <w:overflowPunct/>
        <w:topLinePunct w:val="0"/>
        <w:autoSpaceDE/>
        <w:autoSpaceDN/>
        <w:bidi w:val="0"/>
        <w:adjustRightInd/>
        <w:snapToGrid/>
        <w:spacing w:before="120" w:after="120" w:line="260" w:lineRule="auto"/>
        <w:ind w:right="220" w:rightChars="100"/>
        <w:jc w:val="both"/>
        <w:textAlignment w:val="auto"/>
        <w:rPr>
          <w:rFonts w:ascii="Times New Roman" w:hAnsi="Times New Roman" w:eastAsia="Times New Roman" w:cs="Times New Roman"/>
          <w:b/>
          <w:sz w:val="24"/>
          <w:szCs w:val="24"/>
          <w:lang w:eastAsia="pt-BR"/>
        </w:rPr>
      </w:pPr>
      <w:r>
        <w:rPr>
          <w:rFonts w:ascii="Times New Roman" w:hAnsi="Times New Roman" w:eastAsia="Times New Roman" w:cs="Times New Roman"/>
          <w:b/>
          <w:sz w:val="24"/>
          <w:szCs w:val="24"/>
          <w:lang w:eastAsia="pt-BR"/>
        </w:rPr>
        <w:t>Fundamentos Teóricos</w:t>
      </w:r>
    </w:p>
    <w:p w14:paraId="310647E3">
      <w:pPr>
        <w:keepNext w:val="0"/>
        <w:keepLines w:val="0"/>
        <w:pageBreakBefore w:val="0"/>
        <w:widowControl/>
        <w:kinsoku/>
        <w:wordWrap/>
        <w:overflowPunct/>
        <w:topLinePunct w:val="0"/>
        <w:autoSpaceDE/>
        <w:autoSpaceDN/>
        <w:bidi w:val="0"/>
        <w:adjustRightInd/>
        <w:snapToGrid/>
        <w:spacing w:after="0" w:line="240" w:lineRule="auto"/>
        <w:ind w:right="220" w:rightChars="100" w:firstLine="709"/>
        <w:jc w:val="both"/>
        <w:textAlignment w:val="auto"/>
        <w:rPr>
          <w:rFonts w:ascii="Times New Roman" w:hAnsi="Times New Roman" w:eastAsia="Times New Roman" w:cs="Times New Roman"/>
          <w:bCs/>
          <w:sz w:val="24"/>
          <w:szCs w:val="24"/>
          <w:lang w:val="en-US" w:eastAsia="pt-BR"/>
        </w:rPr>
      </w:pPr>
      <w:r>
        <w:rPr>
          <w:rFonts w:hint="eastAsia" w:ascii="Times New Roman" w:hAnsi="Times New Roman" w:eastAsia="Times New Roman" w:cs="Times New Roman"/>
          <w:bCs/>
          <w:sz w:val="24"/>
          <w:szCs w:val="24"/>
          <w:lang w:eastAsia="pt-BR"/>
        </w:rPr>
        <w:t>A</w:t>
      </w:r>
      <w:r>
        <w:rPr>
          <w:rFonts w:ascii="Times New Roman" w:hAnsi="Times New Roman" w:eastAsia="Times New Roman" w:cs="Times New Roman"/>
          <w:bCs/>
          <w:sz w:val="24"/>
          <w:szCs w:val="24"/>
          <w:lang w:val="en-US" w:eastAsia="pt-BR"/>
        </w:rPr>
        <w:t xml:space="preserve"> ideia de</w:t>
      </w:r>
      <w:r>
        <w:rPr>
          <w:rFonts w:hint="eastAsia" w:ascii="Times New Roman" w:hAnsi="Times New Roman" w:eastAsia="Times New Roman" w:cs="Times New Roman"/>
          <w:bCs/>
          <w:sz w:val="24"/>
          <w:szCs w:val="24"/>
          <w:lang w:eastAsia="pt-BR"/>
        </w:rPr>
        <w:t xml:space="preserve"> inclusão escolar não </w:t>
      </w:r>
      <w:r>
        <w:rPr>
          <w:rFonts w:ascii="Times New Roman" w:hAnsi="Times New Roman" w:eastAsia="Times New Roman" w:cs="Times New Roman"/>
          <w:bCs/>
          <w:sz w:val="24"/>
          <w:szCs w:val="24"/>
          <w:lang w:eastAsia="pt-BR"/>
        </w:rPr>
        <w:t>está</w:t>
      </w:r>
      <w:r>
        <w:rPr>
          <w:rFonts w:hint="eastAsia" w:ascii="Times New Roman" w:hAnsi="Times New Roman" w:eastAsia="Times New Roman" w:cs="Times New Roman"/>
          <w:bCs/>
          <w:sz w:val="24"/>
          <w:szCs w:val="24"/>
          <w:lang w:eastAsia="pt-BR"/>
        </w:rPr>
        <w:t xml:space="preserve"> </w:t>
      </w:r>
      <w:r>
        <w:rPr>
          <w:rFonts w:ascii="Times New Roman" w:hAnsi="Times New Roman" w:eastAsia="Times New Roman" w:cs="Times New Roman"/>
          <w:bCs/>
          <w:sz w:val="24"/>
          <w:szCs w:val="24"/>
          <w:lang w:eastAsia="pt-BR"/>
        </w:rPr>
        <w:t>restri</w:t>
      </w:r>
      <w:r>
        <w:rPr>
          <w:rFonts w:ascii="Times New Roman" w:hAnsi="Times New Roman" w:eastAsia="Times New Roman" w:cs="Times New Roman"/>
          <w:bCs/>
          <w:sz w:val="24"/>
          <w:szCs w:val="24"/>
          <w:lang w:val="en-US" w:eastAsia="pt-BR"/>
        </w:rPr>
        <w:t xml:space="preserve">ta </w:t>
      </w:r>
      <w:r>
        <w:rPr>
          <w:rFonts w:ascii="Times New Roman" w:hAnsi="Times New Roman" w:eastAsia="Times New Roman" w:cs="Times New Roman"/>
          <w:bCs/>
          <w:sz w:val="24"/>
          <w:szCs w:val="24"/>
          <w:lang w:eastAsia="pt-BR"/>
        </w:rPr>
        <w:t>a</w:t>
      </w:r>
      <w:r>
        <w:rPr>
          <w:rFonts w:ascii="Times New Roman" w:hAnsi="Times New Roman" w:eastAsia="Times New Roman" w:cs="Times New Roman"/>
          <w:bCs/>
          <w:sz w:val="24"/>
          <w:szCs w:val="24"/>
          <w:lang w:val="en-US" w:eastAsia="pt-BR"/>
        </w:rPr>
        <w:t xml:space="preserve"> matricula</w:t>
      </w:r>
      <w:r>
        <w:rPr>
          <w:rFonts w:hint="default" w:ascii="Times New Roman" w:hAnsi="Times New Roman" w:eastAsia="Times New Roman" w:cs="Times New Roman"/>
          <w:bCs/>
          <w:sz w:val="24"/>
          <w:szCs w:val="24"/>
          <w:lang w:val="en-US" w:eastAsia="pt-BR"/>
        </w:rPr>
        <w:t xml:space="preserve"> e acesso</w:t>
      </w:r>
      <w:r>
        <w:rPr>
          <w:rFonts w:ascii="Times New Roman" w:hAnsi="Times New Roman" w:eastAsia="Times New Roman" w:cs="Times New Roman"/>
          <w:bCs/>
          <w:sz w:val="24"/>
          <w:szCs w:val="24"/>
          <w:lang w:val="en-US" w:eastAsia="pt-BR"/>
        </w:rPr>
        <w:t xml:space="preserve"> do estudante ao espaço </w:t>
      </w:r>
      <w:r>
        <w:rPr>
          <w:rFonts w:hint="eastAsia" w:ascii="Times New Roman" w:hAnsi="Times New Roman" w:eastAsia="Times New Roman" w:cs="Times New Roman"/>
          <w:bCs/>
          <w:sz w:val="24"/>
          <w:szCs w:val="24"/>
          <w:lang w:eastAsia="pt-BR"/>
        </w:rPr>
        <w:t xml:space="preserve">físico </w:t>
      </w:r>
      <w:r>
        <w:rPr>
          <w:rFonts w:ascii="Times New Roman" w:hAnsi="Times New Roman" w:eastAsia="Times New Roman" w:cs="Times New Roman"/>
          <w:bCs/>
          <w:sz w:val="24"/>
          <w:szCs w:val="24"/>
          <w:lang w:val="en-US" w:eastAsia="pt-BR"/>
        </w:rPr>
        <w:t>da</w:t>
      </w:r>
      <w:r>
        <w:rPr>
          <w:rFonts w:hint="eastAsia" w:ascii="Times New Roman" w:hAnsi="Times New Roman" w:eastAsia="Times New Roman" w:cs="Times New Roman"/>
          <w:bCs/>
          <w:sz w:val="24"/>
          <w:szCs w:val="24"/>
          <w:lang w:eastAsia="pt-BR"/>
        </w:rPr>
        <w:t xml:space="preserve"> escola</w:t>
      </w:r>
      <w:r>
        <w:rPr>
          <w:rFonts w:ascii="Times New Roman" w:hAnsi="Times New Roman" w:eastAsia="Times New Roman" w:cs="Times New Roman"/>
          <w:bCs/>
          <w:sz w:val="24"/>
          <w:szCs w:val="24"/>
          <w:lang w:val="en-US" w:eastAsia="pt-BR"/>
        </w:rPr>
        <w:t xml:space="preserve">. </w:t>
      </w:r>
      <w:r>
        <w:rPr>
          <w:rFonts w:hint="eastAsia" w:ascii="Times New Roman" w:hAnsi="Times New Roman" w:eastAsia="Times New Roman" w:cs="Times New Roman"/>
          <w:bCs/>
          <w:sz w:val="24"/>
          <w:szCs w:val="24"/>
          <w:lang w:eastAsia="pt-BR"/>
        </w:rPr>
        <w:t xml:space="preserve"> </w:t>
      </w:r>
      <w:r>
        <w:rPr>
          <w:rFonts w:ascii="Times New Roman" w:hAnsi="Times New Roman" w:eastAsia="Times New Roman" w:cs="Times New Roman"/>
          <w:bCs/>
          <w:sz w:val="24"/>
          <w:szCs w:val="24"/>
          <w:lang w:val="en-US" w:eastAsia="pt-BR"/>
        </w:rPr>
        <w:t>A inclusão</w:t>
      </w:r>
      <w:r>
        <w:rPr>
          <w:rFonts w:hint="eastAsia" w:ascii="Times New Roman" w:hAnsi="Times New Roman" w:eastAsia="Times New Roman" w:cs="Times New Roman"/>
          <w:bCs/>
          <w:sz w:val="24"/>
          <w:szCs w:val="24"/>
          <w:lang w:eastAsia="pt-BR"/>
        </w:rPr>
        <w:t xml:space="preserve"> implica </w:t>
      </w:r>
      <w:r>
        <w:rPr>
          <w:rFonts w:ascii="Times New Roman" w:hAnsi="Times New Roman" w:eastAsia="Times New Roman" w:cs="Times New Roman"/>
          <w:bCs/>
          <w:sz w:val="24"/>
          <w:szCs w:val="24"/>
          <w:lang w:val="en-US" w:eastAsia="pt-BR"/>
        </w:rPr>
        <w:t xml:space="preserve">na </w:t>
      </w:r>
      <w:r>
        <w:rPr>
          <w:rFonts w:hint="eastAsia" w:ascii="Times New Roman" w:hAnsi="Times New Roman" w:eastAsia="Times New Roman" w:cs="Times New Roman"/>
          <w:bCs/>
          <w:sz w:val="24"/>
          <w:szCs w:val="24"/>
          <w:lang w:eastAsia="pt-BR"/>
        </w:rPr>
        <w:t xml:space="preserve">participação e aprendizagem efetiva, o que demanda professores </w:t>
      </w:r>
      <w:r>
        <w:rPr>
          <w:rFonts w:hint="default" w:ascii="Times New Roman" w:hAnsi="Times New Roman" w:eastAsia="Times New Roman" w:cs="Times New Roman"/>
          <w:bCs/>
          <w:sz w:val="24"/>
          <w:szCs w:val="24"/>
          <w:lang w:val="en-US" w:eastAsia="pt-BR"/>
        </w:rPr>
        <w:t>bem preparados</w:t>
      </w:r>
      <w:r>
        <w:rPr>
          <w:rFonts w:hint="eastAsia" w:ascii="Times New Roman" w:hAnsi="Times New Roman" w:eastAsia="Times New Roman" w:cs="Times New Roman"/>
          <w:bCs/>
          <w:sz w:val="24"/>
          <w:szCs w:val="24"/>
          <w:lang w:eastAsia="pt-BR"/>
        </w:rPr>
        <w:t>. De acordo com Mantoan (2</w:t>
      </w:r>
      <w:r>
        <w:rPr>
          <w:rFonts w:ascii="Times New Roman" w:hAnsi="Times New Roman" w:eastAsia="Times New Roman" w:cs="Times New Roman"/>
          <w:bCs/>
          <w:sz w:val="24"/>
          <w:szCs w:val="24"/>
          <w:lang w:val="en-US" w:eastAsia="pt-BR"/>
        </w:rPr>
        <w:t>015, p. 36</w:t>
      </w:r>
      <w:r>
        <w:rPr>
          <w:rFonts w:hint="eastAsia" w:ascii="Times New Roman" w:hAnsi="Times New Roman" w:eastAsia="Times New Roman" w:cs="Times New Roman"/>
          <w:bCs/>
          <w:sz w:val="24"/>
          <w:szCs w:val="24"/>
          <w:lang w:eastAsia="pt-BR"/>
        </w:rPr>
        <w:t xml:space="preserve">), </w:t>
      </w:r>
      <w:r>
        <w:rPr>
          <w:rFonts w:ascii="Times New Roman" w:hAnsi="Times New Roman" w:eastAsia="Times New Roman" w:cs="Times New Roman"/>
          <w:bCs/>
          <w:sz w:val="24"/>
          <w:szCs w:val="24"/>
          <w:lang w:val="en-US" w:eastAsia="pt-BR"/>
        </w:rPr>
        <w:t xml:space="preserve">para </w:t>
      </w:r>
      <w:r>
        <w:rPr>
          <w:rFonts w:hint="eastAsia" w:ascii="Times New Roman" w:hAnsi="Times New Roman" w:eastAsia="Times New Roman" w:cs="Times New Roman"/>
          <w:bCs/>
          <w:sz w:val="24"/>
          <w:szCs w:val="24"/>
          <w:lang w:eastAsia="pt-BR"/>
        </w:rPr>
        <w:t xml:space="preserve">incluir </w:t>
      </w:r>
      <w:r>
        <w:rPr>
          <w:rFonts w:ascii="Times New Roman" w:hAnsi="Times New Roman" w:eastAsia="Times New Roman" w:cs="Times New Roman"/>
          <w:bCs/>
          <w:sz w:val="24"/>
          <w:szCs w:val="24"/>
          <w:lang w:val="en-US" w:eastAsia="pt-BR"/>
        </w:rPr>
        <w:t>é preciso “reconhecer as diferentes culturas, a pluralidade das manifestações intelectuais, sociais e afetivas; enfim precisamos construir uma nova ética escolar, que advém de uma consciência ao mesmo tempo individual, social”.</w:t>
      </w:r>
    </w:p>
    <w:p w14:paraId="2AE5E5A6">
      <w:pPr>
        <w:keepNext w:val="0"/>
        <w:keepLines w:val="0"/>
        <w:pageBreakBefore w:val="0"/>
        <w:widowControl/>
        <w:kinsoku/>
        <w:wordWrap/>
        <w:overflowPunct/>
        <w:topLinePunct w:val="0"/>
        <w:autoSpaceDE/>
        <w:autoSpaceDN/>
        <w:bidi w:val="0"/>
        <w:adjustRightInd/>
        <w:snapToGrid/>
        <w:spacing w:after="0" w:line="240" w:lineRule="auto"/>
        <w:ind w:right="220" w:rightChars="100" w:firstLine="709"/>
        <w:jc w:val="both"/>
        <w:textAlignment w:val="auto"/>
        <w:rPr>
          <w:rFonts w:hint="default" w:ascii="Times New Roman" w:hAnsi="Times New Roman" w:eastAsia="Times New Roman" w:cs="Times New Roman"/>
          <w:bCs/>
          <w:sz w:val="24"/>
          <w:szCs w:val="24"/>
          <w:lang w:val="en-US" w:eastAsia="pt-BR"/>
        </w:rPr>
      </w:pPr>
      <w:r>
        <w:rPr>
          <w:rFonts w:ascii="Times New Roman" w:hAnsi="Times New Roman" w:eastAsia="Times New Roman" w:cs="Times New Roman"/>
          <w:bCs/>
          <w:sz w:val="24"/>
          <w:szCs w:val="24"/>
          <w:lang w:val="en-US" w:eastAsia="pt-BR"/>
        </w:rPr>
        <w:t xml:space="preserve">Nesse pressuposto, Libâneo, Oliveira e Toschi (2012, p. 369) ressaltam que “as políticas de inclusão daqueles alunos tiveram inicio antes da capacitação dos professores, que experimentam frustração aos se sentirem despreparados para lidar com essa nova realidade na sala de aula [...]”. </w:t>
      </w:r>
      <w:r>
        <w:rPr>
          <w:rFonts w:hint="default" w:ascii="Times New Roman" w:hAnsi="Times New Roman" w:eastAsia="Times New Roman" w:cs="Times New Roman"/>
          <w:bCs/>
          <w:sz w:val="24"/>
          <w:szCs w:val="24"/>
          <w:lang w:val="en-US" w:eastAsia="pt-BR"/>
        </w:rPr>
        <w:t>Dessa forma,</w:t>
      </w:r>
      <w:r>
        <w:rPr>
          <w:rFonts w:ascii="Times New Roman" w:hAnsi="Times New Roman" w:eastAsia="Times New Roman" w:cs="Times New Roman"/>
          <w:bCs/>
          <w:sz w:val="24"/>
          <w:szCs w:val="24"/>
          <w:lang w:val="en-US" w:eastAsia="pt-BR"/>
        </w:rPr>
        <w:t xml:space="preserve"> a formação docente é um eixo estruturante para a efetivação da inclusão escolar</w:t>
      </w:r>
      <w:r>
        <w:rPr>
          <w:rFonts w:hint="default" w:ascii="Times New Roman" w:hAnsi="Times New Roman" w:eastAsia="Times New Roman" w:cs="Times New Roman"/>
          <w:bCs/>
          <w:sz w:val="24"/>
          <w:szCs w:val="24"/>
          <w:lang w:val="en-US" w:eastAsia="pt-BR"/>
        </w:rPr>
        <w:t xml:space="preserve">. </w:t>
      </w:r>
    </w:p>
    <w:p w14:paraId="1AE818D3">
      <w:pPr>
        <w:keepNext w:val="0"/>
        <w:keepLines w:val="0"/>
        <w:pageBreakBefore w:val="0"/>
        <w:widowControl/>
        <w:kinsoku/>
        <w:wordWrap/>
        <w:overflowPunct/>
        <w:topLinePunct w:val="0"/>
        <w:autoSpaceDE/>
        <w:autoSpaceDN/>
        <w:bidi w:val="0"/>
        <w:adjustRightInd/>
        <w:snapToGrid/>
        <w:spacing w:after="0" w:line="240" w:lineRule="auto"/>
        <w:ind w:right="220" w:rightChars="100" w:firstLine="709"/>
        <w:jc w:val="both"/>
        <w:textAlignment w:val="auto"/>
        <w:rPr>
          <w:rFonts w:ascii="Times New Roman" w:hAnsi="Times New Roman" w:eastAsia="Calibri" w:cs="Times New Roman"/>
          <w:sz w:val="24"/>
          <w:szCs w:val="24"/>
          <w:lang w:bidi="ar"/>
        </w:rPr>
      </w:pPr>
      <w:r>
        <w:rPr>
          <w:rFonts w:ascii="Times New Roman" w:hAnsi="Times New Roman" w:eastAsia="Times New Roman" w:cs="Times New Roman"/>
          <w:bCs/>
          <w:sz w:val="24"/>
          <w:szCs w:val="24"/>
          <w:lang w:val="en-US" w:eastAsia="pt-BR"/>
        </w:rPr>
        <w:t>Morin (2011, p. 13) considera que “são necessárias novas práticas pedagógicas para uma educação transformadora que esteja centrada na condição humana, no desenvolvimento da compreensão, da sensibilidade e da ética, na diversidade cultural, na pluralidade de indivíduos, [...]”</w:t>
      </w:r>
      <w:r>
        <w:rPr>
          <w:rFonts w:hint="default" w:ascii="Times New Roman" w:hAnsi="Times New Roman" w:eastAsia="Times New Roman" w:cs="Times New Roman"/>
          <w:bCs/>
          <w:sz w:val="24"/>
          <w:szCs w:val="24"/>
          <w:lang w:val="en-US" w:eastAsia="pt-BR"/>
        </w:rPr>
        <w:t>.</w:t>
      </w:r>
      <w:r>
        <w:rPr>
          <w:rFonts w:ascii="Times New Roman" w:hAnsi="Times New Roman" w:eastAsia="Times New Roman" w:cs="Times New Roman"/>
          <w:bCs/>
          <w:sz w:val="24"/>
          <w:szCs w:val="24"/>
          <w:lang w:val="en-US" w:eastAsia="pt-BR"/>
        </w:rPr>
        <w:t xml:space="preserve">  </w:t>
      </w:r>
      <w:r>
        <w:rPr>
          <w:rFonts w:ascii="Times New Roman" w:hAnsi="Times New Roman" w:eastAsia="Calibri" w:cs="Times New Roman"/>
          <w:sz w:val="24"/>
          <w:szCs w:val="24"/>
          <w:lang w:bidi="ar"/>
        </w:rPr>
        <w:t>Dessa forma,  a complexidade d</w:t>
      </w:r>
      <w:r>
        <w:rPr>
          <w:rFonts w:hint="default" w:ascii="Times New Roman" w:hAnsi="Times New Roman" w:eastAsia="Calibri" w:cs="Times New Roman"/>
          <w:sz w:val="24"/>
          <w:szCs w:val="24"/>
          <w:lang w:val="pt-BR" w:bidi="ar"/>
        </w:rPr>
        <w:t>o</w:t>
      </w:r>
      <w:r>
        <w:rPr>
          <w:rFonts w:ascii="Times New Roman" w:hAnsi="Times New Roman" w:eastAsia="Calibri" w:cs="Times New Roman"/>
          <w:sz w:val="24"/>
          <w:szCs w:val="24"/>
          <w:lang w:bidi="ar"/>
        </w:rPr>
        <w:t xml:space="preserve"> contexto</w:t>
      </w:r>
      <w:r>
        <w:rPr>
          <w:rFonts w:hint="default" w:ascii="Times New Roman" w:hAnsi="Times New Roman" w:eastAsia="Calibri" w:cs="Times New Roman"/>
          <w:sz w:val="24"/>
          <w:szCs w:val="24"/>
          <w:lang w:val="pt-BR" w:bidi="ar"/>
        </w:rPr>
        <w:t xml:space="preserve"> inclusivo</w:t>
      </w:r>
      <w:r>
        <w:rPr>
          <w:rFonts w:ascii="Times New Roman" w:hAnsi="Times New Roman" w:eastAsia="Calibri" w:cs="Times New Roman"/>
          <w:sz w:val="24"/>
          <w:szCs w:val="24"/>
          <w:lang w:bidi="ar"/>
        </w:rPr>
        <w:t xml:space="preserve"> reforça a perspectiva de Morin (2011, p. 17) ao considerar que “seria preciso ensinar princípios de estratégia que permitissem enfrentar os imprevistos, o inesperado e a incerteza, e modificar seu desenvolvimento, em virtude das informações adquiridas ao longo do tempo”. </w:t>
      </w:r>
    </w:p>
    <w:p w14:paraId="0F966F0F">
      <w:pPr>
        <w:keepNext w:val="0"/>
        <w:keepLines w:val="0"/>
        <w:pageBreakBefore w:val="0"/>
        <w:widowControl/>
        <w:kinsoku/>
        <w:wordWrap/>
        <w:overflowPunct/>
        <w:topLinePunct w:val="0"/>
        <w:autoSpaceDE/>
        <w:autoSpaceDN/>
        <w:bidi w:val="0"/>
        <w:adjustRightInd/>
        <w:snapToGrid/>
        <w:spacing w:after="0" w:line="240" w:lineRule="auto"/>
        <w:ind w:right="220" w:rightChars="100" w:firstLine="709"/>
        <w:jc w:val="both"/>
        <w:textAlignment w:val="auto"/>
        <w:rPr>
          <w:rFonts w:ascii="Times New Roman" w:hAnsi="Times New Roman" w:eastAsia="Calibri" w:cs="Times New Roman"/>
          <w:sz w:val="24"/>
          <w:szCs w:val="24"/>
          <w:lang w:bidi="ar"/>
        </w:rPr>
      </w:pPr>
      <w:r>
        <w:rPr>
          <w:rFonts w:ascii="Times New Roman" w:hAnsi="Times New Roman" w:eastAsia="Calibri" w:cs="Times New Roman"/>
          <w:sz w:val="24"/>
          <w:szCs w:val="24"/>
          <w:lang w:bidi="ar"/>
        </w:rPr>
        <w:t>Nesse sentido</w:t>
      </w:r>
      <w:r>
        <w:rPr>
          <w:rFonts w:hint="default" w:eastAsia="Calibri" w:cs="Times New Roman"/>
          <w:sz w:val="24"/>
          <w:szCs w:val="24"/>
          <w:lang w:val="pt-BR" w:bidi="ar"/>
        </w:rPr>
        <w:t>,</w:t>
      </w:r>
      <w:r>
        <w:rPr>
          <w:rFonts w:ascii="Times New Roman" w:hAnsi="Times New Roman" w:eastAsia="Calibri" w:cs="Times New Roman"/>
          <w:sz w:val="24"/>
          <w:szCs w:val="24"/>
          <w:lang w:bidi="ar"/>
        </w:rPr>
        <w:t xml:space="preserve"> Mantoan (2015, p. 79)  destaca que os </w:t>
      </w:r>
      <w:r>
        <w:rPr>
          <w:rFonts w:hint="default" w:ascii="Times New Roman" w:hAnsi="Times New Roman" w:eastAsia="Calibri" w:cs="Times New Roman"/>
          <w:sz w:val="24"/>
          <w:szCs w:val="24"/>
          <w:lang w:val="pt-BR" w:bidi="ar"/>
        </w:rPr>
        <w:t>professores</w:t>
      </w:r>
      <w:r>
        <w:rPr>
          <w:rFonts w:ascii="Times New Roman" w:hAnsi="Times New Roman" w:eastAsia="Calibri" w:cs="Times New Roman"/>
          <w:sz w:val="24"/>
          <w:szCs w:val="24"/>
          <w:lang w:bidi="ar"/>
        </w:rPr>
        <w:t xml:space="preserve"> “anseiam por uma formação que lhes permita aplicar esquemas de trabalho pedagógico predefinidos às suas salas de aula, garantindo-lhes a solução dos problemas que presumem encontrar nas escolas ditas inclusivas”. </w:t>
      </w:r>
      <w:r>
        <w:rPr>
          <w:rFonts w:hint="default" w:ascii="Times New Roman" w:hAnsi="Times New Roman" w:eastAsia="Calibri" w:cs="Times New Roman"/>
          <w:sz w:val="24"/>
          <w:szCs w:val="24"/>
          <w:lang w:val="pt-BR" w:bidi="ar"/>
        </w:rPr>
        <w:t>Para</w:t>
      </w:r>
      <w:r>
        <w:rPr>
          <w:rFonts w:ascii="Times New Roman" w:hAnsi="Times New Roman" w:eastAsia="Calibri" w:cs="Times New Roman"/>
          <w:sz w:val="24"/>
          <w:szCs w:val="24"/>
          <w:lang w:bidi="ar"/>
        </w:rPr>
        <w:t xml:space="preserve"> </w:t>
      </w:r>
      <w:r>
        <w:rPr>
          <w:rFonts w:hint="default" w:eastAsia="Calibri" w:cs="Times New Roman"/>
          <w:sz w:val="24"/>
          <w:szCs w:val="24"/>
          <w:lang w:val="pt-BR" w:bidi="ar"/>
        </w:rPr>
        <w:t>Libâneo,</w:t>
      </w:r>
      <w:r>
        <w:rPr>
          <w:rFonts w:ascii="Times New Roman" w:hAnsi="Times New Roman" w:eastAsia="Calibri" w:cs="Times New Roman"/>
          <w:sz w:val="24"/>
          <w:szCs w:val="24"/>
          <w:lang w:bidi="ar"/>
        </w:rPr>
        <w:t xml:space="preserve"> Oliveira e Toschi (2012, p. 504)  </w:t>
      </w:r>
      <w:r>
        <w:rPr>
          <w:rFonts w:hint="default" w:ascii="Times New Roman" w:hAnsi="Times New Roman" w:eastAsia="Calibri" w:cs="Times New Roman"/>
          <w:sz w:val="24"/>
          <w:szCs w:val="24"/>
          <w:lang w:val="pt-BR" w:bidi="ar"/>
        </w:rPr>
        <w:t>“</w:t>
      </w:r>
      <w:r>
        <w:rPr>
          <w:rFonts w:ascii="Times New Roman" w:hAnsi="Times New Roman" w:eastAsia="Calibri" w:cs="Times New Roman"/>
          <w:sz w:val="24"/>
          <w:szCs w:val="24"/>
          <w:lang w:bidi="ar"/>
        </w:rPr>
        <w:t>a própria escola constitui lugar de formação profissional</w:t>
      </w:r>
      <w:r>
        <w:rPr>
          <w:rFonts w:hint="default" w:ascii="Times New Roman" w:hAnsi="Times New Roman" w:eastAsia="Calibri" w:cs="Times New Roman"/>
          <w:sz w:val="24"/>
          <w:szCs w:val="24"/>
          <w:lang w:val="pt-BR" w:bidi="ar"/>
        </w:rPr>
        <w:t>”</w:t>
      </w:r>
      <w:r>
        <w:rPr>
          <w:rFonts w:ascii="Times New Roman" w:hAnsi="Times New Roman" w:eastAsia="Calibri" w:cs="Times New Roman"/>
          <w:sz w:val="24"/>
          <w:szCs w:val="24"/>
          <w:lang w:bidi="ar"/>
        </w:rPr>
        <w:t xml:space="preserve"> continua, e que </w:t>
      </w:r>
      <w:r>
        <w:rPr>
          <w:rFonts w:hint="default" w:ascii="Times New Roman" w:hAnsi="Times New Roman" w:eastAsia="Calibri" w:cs="Times New Roman"/>
          <w:sz w:val="24"/>
          <w:szCs w:val="24"/>
          <w:lang w:val="pt-BR" w:bidi="ar"/>
        </w:rPr>
        <w:t xml:space="preserve">o pessoal e o profissional </w:t>
      </w:r>
      <w:r>
        <w:rPr>
          <w:rFonts w:ascii="Times New Roman" w:hAnsi="Times New Roman" w:eastAsia="Calibri" w:cs="Times New Roman"/>
          <w:sz w:val="24"/>
          <w:szCs w:val="24"/>
          <w:lang w:bidi="ar"/>
        </w:rPr>
        <w:t>podem apresentar avanços com a reflexão sobre a prática pedagógica e o trabalho colaborativo para enfrentar os desafios da inclusão no ambiente escolar.</w:t>
      </w:r>
    </w:p>
    <w:p w14:paraId="4EA264F4">
      <w:pPr>
        <w:keepNext w:val="0"/>
        <w:keepLines w:val="0"/>
        <w:pageBreakBefore w:val="0"/>
        <w:widowControl/>
        <w:kinsoku/>
        <w:wordWrap/>
        <w:overflowPunct/>
        <w:topLinePunct w:val="0"/>
        <w:autoSpaceDE/>
        <w:autoSpaceDN/>
        <w:bidi w:val="0"/>
        <w:adjustRightInd/>
        <w:snapToGrid/>
        <w:spacing w:after="0" w:line="240" w:lineRule="auto"/>
        <w:ind w:right="220" w:rightChars="100" w:firstLine="709"/>
        <w:jc w:val="both"/>
        <w:textAlignment w:val="auto"/>
        <w:rPr>
          <w:rFonts w:ascii="Times New Roman" w:hAnsi="Times New Roman" w:cs="Times New Roman"/>
          <w:sz w:val="24"/>
          <w:szCs w:val="24"/>
        </w:rPr>
      </w:pPr>
      <w:r>
        <w:rPr>
          <w:rFonts w:hint="default" w:ascii="Times New Roman" w:hAnsi="Times New Roman" w:cs="Times New Roman"/>
          <w:sz w:val="24"/>
          <w:szCs w:val="24"/>
          <w:lang w:val="pt-BR"/>
        </w:rPr>
        <w:t>A</w:t>
      </w:r>
      <w:r>
        <w:rPr>
          <w:rFonts w:ascii="Times New Roman" w:hAnsi="Times New Roman" w:cs="Times New Roman"/>
          <w:sz w:val="24"/>
          <w:szCs w:val="24"/>
        </w:rPr>
        <w:t>s experiências positivas relatadas pelos docentes demonstram que</w:t>
      </w:r>
      <w:r>
        <w:rPr>
          <w:rFonts w:hint="default" w:ascii="Times New Roman" w:hAnsi="Times New Roman" w:cs="Times New Roman"/>
          <w:sz w:val="24"/>
          <w:szCs w:val="24"/>
          <w:lang w:val="pt-BR"/>
        </w:rPr>
        <w:t xml:space="preserve"> o </w:t>
      </w:r>
      <w:r>
        <w:rPr>
          <w:rFonts w:ascii="Times New Roman" w:hAnsi="Times New Roman" w:cs="Times New Roman"/>
          <w:sz w:val="24"/>
          <w:szCs w:val="24"/>
        </w:rPr>
        <w:t xml:space="preserve">investimento em formação continuada, </w:t>
      </w:r>
      <w:r>
        <w:rPr>
          <w:rFonts w:hint="default" w:ascii="Times New Roman" w:hAnsi="Times New Roman" w:cs="Times New Roman"/>
          <w:sz w:val="24"/>
          <w:szCs w:val="24"/>
          <w:lang w:val="pt-BR"/>
        </w:rPr>
        <w:t xml:space="preserve">o </w:t>
      </w:r>
      <w:r>
        <w:rPr>
          <w:rFonts w:ascii="Times New Roman" w:hAnsi="Times New Roman" w:cs="Times New Roman"/>
          <w:sz w:val="24"/>
          <w:szCs w:val="24"/>
        </w:rPr>
        <w:t xml:space="preserve">diálogo  entre os professores e </w:t>
      </w:r>
      <w:r>
        <w:rPr>
          <w:rFonts w:hint="default" w:ascii="Times New Roman" w:hAnsi="Times New Roman" w:cs="Times New Roman"/>
          <w:sz w:val="24"/>
          <w:szCs w:val="24"/>
          <w:lang w:val="pt-BR"/>
        </w:rPr>
        <w:t xml:space="preserve">a </w:t>
      </w:r>
      <w:r>
        <w:rPr>
          <w:rFonts w:ascii="Times New Roman" w:hAnsi="Times New Roman" w:cs="Times New Roman"/>
          <w:sz w:val="24"/>
          <w:szCs w:val="24"/>
        </w:rPr>
        <w:t>valorização das potencialidades dos estudantes</w:t>
      </w:r>
      <w:r>
        <w:rPr>
          <w:rFonts w:hint="default" w:ascii="Times New Roman" w:hAnsi="Times New Roman" w:cs="Times New Roman"/>
          <w:sz w:val="24"/>
          <w:szCs w:val="24"/>
          <w:lang w:val="pt-BR"/>
        </w:rPr>
        <w:t xml:space="preserve"> fortalecem </w:t>
      </w:r>
      <w:r>
        <w:rPr>
          <w:rFonts w:ascii="Times New Roman" w:hAnsi="Times New Roman" w:cs="Times New Roman"/>
          <w:sz w:val="24"/>
          <w:szCs w:val="24"/>
        </w:rPr>
        <w:t>o processo de inclusão</w:t>
      </w:r>
      <w:r>
        <w:rPr>
          <w:rFonts w:hint="default" w:ascii="Times New Roman" w:hAnsi="Times New Roman" w:cs="Times New Roman"/>
          <w:sz w:val="24"/>
          <w:szCs w:val="24"/>
          <w:lang w:val="pt-BR"/>
        </w:rPr>
        <w:t>.</w:t>
      </w:r>
      <w:r>
        <w:rPr>
          <w:rFonts w:ascii="Times New Roman" w:hAnsi="Times New Roman" w:cs="Times New Roman"/>
          <w:sz w:val="24"/>
          <w:szCs w:val="24"/>
        </w:rPr>
        <w:t xml:space="preserve"> </w:t>
      </w:r>
      <w:r>
        <w:rPr>
          <w:rFonts w:hint="default" w:ascii="Times New Roman" w:hAnsi="Times New Roman" w:cs="Times New Roman"/>
          <w:sz w:val="24"/>
          <w:szCs w:val="24"/>
          <w:lang w:val="pt-BR"/>
        </w:rPr>
        <w:t>As</w:t>
      </w:r>
      <w:r>
        <w:rPr>
          <w:rFonts w:ascii="Times New Roman" w:hAnsi="Times New Roman" w:cs="Times New Roman"/>
          <w:sz w:val="24"/>
          <w:szCs w:val="24"/>
        </w:rPr>
        <w:t xml:space="preserve"> metodologias ativas, recursos visuais, tecnologia assistiva e atividades em grupo</w:t>
      </w:r>
      <w:r>
        <w:rPr>
          <w:rFonts w:hint="default" w:ascii="Times New Roman" w:hAnsi="Times New Roman" w:cs="Times New Roman"/>
          <w:sz w:val="24"/>
          <w:szCs w:val="24"/>
          <w:lang w:val="pt-BR"/>
        </w:rPr>
        <w:t>,</w:t>
      </w:r>
      <w:r>
        <w:rPr>
          <w:rFonts w:ascii="Times New Roman" w:hAnsi="Times New Roman" w:cs="Times New Roman"/>
          <w:sz w:val="24"/>
          <w:szCs w:val="24"/>
        </w:rPr>
        <w:t xml:space="preserve"> permite</w:t>
      </w:r>
      <w:r>
        <w:rPr>
          <w:rFonts w:hint="default" w:ascii="Times New Roman" w:hAnsi="Times New Roman" w:cs="Times New Roman"/>
          <w:sz w:val="24"/>
          <w:szCs w:val="24"/>
          <w:lang w:val="pt-BR"/>
        </w:rPr>
        <w:t>m</w:t>
      </w:r>
      <w:r>
        <w:rPr>
          <w:rFonts w:ascii="Times New Roman" w:hAnsi="Times New Roman" w:cs="Times New Roman"/>
          <w:sz w:val="24"/>
          <w:szCs w:val="24"/>
        </w:rPr>
        <w:t xml:space="preserve"> maior engajamento e aprendizagem.</w:t>
      </w:r>
      <w:r>
        <w:rPr>
          <w:rFonts w:hint="default" w:ascii="Times New Roman" w:hAnsi="Times New Roman" w:cs="Times New Roman"/>
          <w:sz w:val="24"/>
          <w:szCs w:val="24"/>
          <w:lang w:val="pt-BR"/>
        </w:rPr>
        <w:t xml:space="preserve"> A</w:t>
      </w:r>
      <w:r>
        <w:rPr>
          <w:rFonts w:ascii="Times New Roman" w:hAnsi="Times New Roman" w:cs="Times New Roman"/>
          <w:sz w:val="24"/>
          <w:szCs w:val="24"/>
        </w:rPr>
        <w:t xml:space="preserve">s práticas exitosas mostram </w:t>
      </w:r>
      <w:r>
        <w:rPr>
          <w:rFonts w:hint="default" w:ascii="Times New Roman" w:hAnsi="Times New Roman" w:cs="Times New Roman"/>
          <w:sz w:val="24"/>
          <w:szCs w:val="24"/>
          <w:lang w:val="pt-BR"/>
        </w:rPr>
        <w:t>o</w:t>
      </w:r>
      <w:r>
        <w:rPr>
          <w:rFonts w:ascii="Times New Roman" w:hAnsi="Times New Roman" w:cs="Times New Roman"/>
          <w:sz w:val="24"/>
          <w:szCs w:val="24"/>
        </w:rPr>
        <w:t xml:space="preserve"> trabalho colaborativo </w:t>
      </w:r>
      <w:r>
        <w:rPr>
          <w:rFonts w:hint="default" w:ascii="Times New Roman" w:hAnsi="Times New Roman" w:cs="Times New Roman"/>
          <w:sz w:val="24"/>
          <w:szCs w:val="24"/>
          <w:lang w:val="pt-BR"/>
        </w:rPr>
        <w:t xml:space="preserve">entre os professores de sala, segundos professores e o AEE favorecem </w:t>
      </w:r>
      <w:r>
        <w:rPr>
          <w:rFonts w:ascii="Times New Roman" w:hAnsi="Times New Roman" w:cs="Times New Roman"/>
          <w:sz w:val="24"/>
          <w:szCs w:val="24"/>
        </w:rPr>
        <w:t xml:space="preserve">resultados transformadores no processo de desenvolvimento desses estudantes. Nesse contexto Mantoan (2015, p. 83) considera que “[...] a formação oferecida reflete-se diretamente nas salas de aula, dado que a educação especial faz parte do projeto-pedagógico das escolas, complementa a formação dos alunos que são seu público-alvo e movimenta a escola na direção da inclusão”. </w:t>
      </w:r>
    </w:p>
    <w:p w14:paraId="4707BD6E">
      <w:pPr>
        <w:keepNext w:val="0"/>
        <w:keepLines w:val="0"/>
        <w:pageBreakBefore w:val="0"/>
        <w:widowControl/>
        <w:kinsoku/>
        <w:wordWrap/>
        <w:overflowPunct/>
        <w:topLinePunct w:val="0"/>
        <w:autoSpaceDE/>
        <w:autoSpaceDN/>
        <w:bidi w:val="0"/>
        <w:adjustRightInd/>
        <w:snapToGrid/>
        <w:spacing w:after="0" w:line="240" w:lineRule="auto"/>
        <w:ind w:right="220" w:rightChars="100" w:firstLine="709"/>
        <w:jc w:val="both"/>
        <w:textAlignment w:val="auto"/>
        <w:rPr>
          <w:rFonts w:ascii="Times New Roman" w:hAnsi="Times New Roman" w:eastAsia="Times New Roman" w:cs="Times New Roman"/>
          <w:b/>
          <w:sz w:val="24"/>
          <w:szCs w:val="24"/>
          <w:lang w:eastAsia="pt-BR"/>
        </w:rPr>
      </w:pPr>
      <w:r>
        <w:rPr>
          <w:rFonts w:ascii="Times New Roman" w:hAnsi="Times New Roman" w:cs="Times New Roman"/>
          <w:sz w:val="24"/>
          <w:szCs w:val="24"/>
        </w:rPr>
        <w:t>A inclusão  escolar favorece a construção de uma sociedade verdadeiramente inclusiva</w:t>
      </w:r>
      <w:r>
        <w:rPr>
          <w:rFonts w:hint="default" w:ascii="Times New Roman" w:hAnsi="Times New Roman" w:cs="Times New Roman"/>
          <w:sz w:val="24"/>
          <w:szCs w:val="24"/>
          <w:lang w:val="pt-BR"/>
        </w:rPr>
        <w:t xml:space="preserve">. </w:t>
      </w:r>
      <w:r>
        <w:rPr>
          <w:rFonts w:ascii="Times New Roman" w:hAnsi="Times New Roman" w:cs="Times New Roman"/>
          <w:sz w:val="24"/>
          <w:szCs w:val="24"/>
        </w:rPr>
        <w:t xml:space="preserve">Para Sassaki (1997, p. 164-165) uma sociedade inclusiva “[...] fortalece as atitudes de aceitação das diferenças individuais e de valorização da diversidade humana e enfatiza a importância do pertencer, da convivência, da cooperação, e da contribuição que todas as pessoas podem dar para construírem vidas comunitárias mais justas [...]”. </w:t>
      </w:r>
      <w:r>
        <w:rPr>
          <w:rFonts w:hint="default" w:ascii="Times New Roman" w:hAnsi="Times New Roman" w:cs="Times New Roman"/>
          <w:sz w:val="24"/>
          <w:szCs w:val="24"/>
          <w:lang w:val="pt-BR"/>
        </w:rPr>
        <w:t>Assim</w:t>
      </w:r>
      <w:r>
        <w:rPr>
          <w:rFonts w:ascii="Times New Roman" w:hAnsi="Times New Roman" w:cs="Times New Roman"/>
          <w:sz w:val="24"/>
          <w:szCs w:val="24"/>
        </w:rPr>
        <w:t xml:space="preserve">, a efetivação da inclusão no Ensino Médio, sustentada por uma formação docente consistente, contribui para o fortalecimento uma cultura social mais democrática, solidária e equitativa.  </w:t>
      </w:r>
    </w:p>
    <w:p w14:paraId="0EFB082B">
      <w:pPr>
        <w:keepNext w:val="0"/>
        <w:keepLines w:val="0"/>
        <w:pageBreakBefore w:val="0"/>
        <w:widowControl/>
        <w:kinsoku/>
        <w:wordWrap/>
        <w:overflowPunct/>
        <w:topLinePunct w:val="0"/>
        <w:autoSpaceDE/>
        <w:autoSpaceDN/>
        <w:bidi w:val="0"/>
        <w:adjustRightInd/>
        <w:snapToGrid/>
        <w:spacing w:before="120" w:after="120" w:line="240" w:lineRule="auto"/>
        <w:ind w:right="220" w:rightChars="100"/>
        <w:jc w:val="both"/>
        <w:textAlignment w:val="auto"/>
        <w:rPr>
          <w:rFonts w:ascii="Times New Roman" w:hAnsi="Times New Roman" w:eastAsia="Times New Roman" w:cs="Times New Roman"/>
          <w:b/>
          <w:sz w:val="24"/>
          <w:szCs w:val="24"/>
          <w:lang w:eastAsia="pt-BR"/>
        </w:rPr>
      </w:pPr>
      <w:r>
        <w:rPr>
          <w:rFonts w:ascii="Times New Roman" w:hAnsi="Times New Roman" w:eastAsia="Times New Roman" w:cs="Times New Roman"/>
          <w:b/>
          <w:sz w:val="24"/>
          <w:szCs w:val="24"/>
          <w:lang w:eastAsia="pt-BR"/>
        </w:rPr>
        <w:t>Metodologia</w:t>
      </w:r>
    </w:p>
    <w:p w14:paraId="2CB684F6">
      <w:pPr>
        <w:keepNext w:val="0"/>
        <w:keepLines w:val="0"/>
        <w:pageBreakBefore w:val="0"/>
        <w:widowControl/>
        <w:kinsoku/>
        <w:wordWrap/>
        <w:overflowPunct/>
        <w:topLinePunct w:val="0"/>
        <w:autoSpaceDE/>
        <w:autoSpaceDN/>
        <w:bidi w:val="0"/>
        <w:adjustRightInd/>
        <w:snapToGrid/>
        <w:spacing w:after="0" w:line="240" w:lineRule="auto"/>
        <w:ind w:right="220" w:rightChars="100" w:firstLine="300" w:firstLineChars="125"/>
        <w:jc w:val="both"/>
        <w:textAlignment w:val="auto"/>
        <w:rPr>
          <w:rFonts w:hint="default" w:ascii="Times New Roman" w:hAnsi="Times New Roman" w:eastAsia="Times New Roman" w:cs="Times New Roman"/>
          <w:bCs/>
          <w:sz w:val="24"/>
          <w:szCs w:val="24"/>
          <w:lang w:val="en-US" w:eastAsia="pt-BR"/>
        </w:rPr>
      </w:pPr>
      <w:r>
        <w:rPr>
          <w:rFonts w:ascii="Times New Roman" w:hAnsi="Times New Roman" w:eastAsia="Calibri" w:cs="Times New Roman"/>
          <w:sz w:val="24"/>
          <w:szCs w:val="24"/>
          <w:lang w:bidi="ar"/>
        </w:rPr>
        <w:t>A pesquisa caracteriza-se como qualitativa, de natureza descritiva, desenvolvida a partir de um estudo bibliográfico que buscou compreender a importância da formação continuada de professores que atuam com inclusão no contexto do Ensino Médio. Segu</w:t>
      </w:r>
      <w:r>
        <w:rPr>
          <w:rFonts w:hint="default" w:ascii="Times New Roman" w:hAnsi="Times New Roman" w:eastAsia="Calibri" w:cs="Times New Roman"/>
          <w:sz w:val="24"/>
          <w:szCs w:val="24"/>
          <w:lang w:val="pt-BR" w:bidi="ar"/>
        </w:rPr>
        <w:t>i</w:t>
      </w:r>
      <w:r>
        <w:rPr>
          <w:rFonts w:ascii="Times New Roman" w:hAnsi="Times New Roman" w:eastAsia="Calibri" w:cs="Times New Roman"/>
          <w:sz w:val="24"/>
          <w:szCs w:val="24"/>
          <w:lang w:bidi="ar"/>
        </w:rPr>
        <w:t>ndo Gil (2019)</w:t>
      </w:r>
      <w:r>
        <w:rPr>
          <w:rFonts w:hint="default" w:ascii="Times New Roman" w:hAnsi="Times New Roman" w:eastAsia="Calibri" w:cs="Times New Roman"/>
          <w:sz w:val="24"/>
          <w:szCs w:val="24"/>
          <w:lang w:val="pt-BR" w:bidi="ar"/>
        </w:rPr>
        <w:t xml:space="preserve"> e Minayo</w:t>
      </w:r>
      <w:r>
        <w:rPr>
          <w:rFonts w:ascii="Times New Roman" w:hAnsi="Times New Roman" w:eastAsia="Calibri" w:cs="Times New Roman"/>
          <w:sz w:val="24"/>
          <w:szCs w:val="24"/>
          <w:lang w:bidi="ar"/>
        </w:rPr>
        <w:t xml:space="preserve">, </w:t>
      </w:r>
      <w:r>
        <w:rPr>
          <w:rFonts w:hint="default" w:ascii="Times New Roman" w:hAnsi="Times New Roman" w:eastAsia="Calibri" w:cs="Times New Roman"/>
          <w:sz w:val="24"/>
          <w:szCs w:val="24"/>
          <w:lang w:val="pt-BR" w:bidi="ar"/>
        </w:rPr>
        <w:t>adotou-se uma</w:t>
      </w:r>
      <w:r>
        <w:rPr>
          <w:rFonts w:ascii="Times New Roman" w:hAnsi="Times New Roman" w:eastAsia="Calibri" w:cs="Times New Roman"/>
          <w:sz w:val="24"/>
          <w:szCs w:val="24"/>
          <w:lang w:bidi="ar"/>
        </w:rPr>
        <w:t xml:space="preserve"> análise </w:t>
      </w:r>
      <w:r>
        <w:rPr>
          <w:rFonts w:hint="default" w:ascii="Times New Roman" w:hAnsi="Times New Roman" w:eastAsia="Times New Roman" w:cs="Times New Roman"/>
          <w:bCs/>
          <w:sz w:val="24"/>
          <w:szCs w:val="24"/>
          <w:lang w:val="en-US" w:eastAsia="pt-BR"/>
        </w:rPr>
        <w:t>qualitativa que</w:t>
      </w:r>
      <w:r>
        <w:rPr>
          <w:rFonts w:ascii="Times New Roman" w:hAnsi="Times New Roman" w:eastAsia="Calibri" w:cs="Times New Roman"/>
          <w:sz w:val="24"/>
          <w:szCs w:val="24"/>
          <w:lang w:bidi="ar"/>
        </w:rPr>
        <w:t xml:space="preserve"> privilegia a compreensão dos significados e contextos, possibilitando </w:t>
      </w:r>
      <w:r>
        <w:rPr>
          <w:rFonts w:ascii="Times New Roman" w:hAnsi="Times New Roman" w:eastAsia="Times New Roman" w:cs="Times New Roman"/>
          <w:bCs/>
          <w:sz w:val="24"/>
          <w:szCs w:val="24"/>
          <w:lang w:eastAsia="pt-BR"/>
        </w:rPr>
        <w:t xml:space="preserve"> reflexões articul</w:t>
      </w:r>
      <w:r>
        <w:rPr>
          <w:rFonts w:hint="default" w:ascii="Times New Roman" w:hAnsi="Times New Roman" w:eastAsia="Times New Roman" w:cs="Times New Roman"/>
          <w:bCs/>
          <w:sz w:val="24"/>
          <w:szCs w:val="24"/>
          <w:lang w:val="en-US" w:eastAsia="pt-BR"/>
        </w:rPr>
        <w:t>adas entre</w:t>
      </w:r>
      <w:r>
        <w:rPr>
          <w:rFonts w:ascii="Times New Roman" w:hAnsi="Times New Roman" w:eastAsia="Times New Roman" w:cs="Times New Roman"/>
          <w:bCs/>
          <w:sz w:val="24"/>
          <w:szCs w:val="24"/>
          <w:lang w:eastAsia="pt-BR"/>
        </w:rPr>
        <w:t xml:space="preserve"> teoria e prática, </w:t>
      </w:r>
      <w:r>
        <w:rPr>
          <w:rFonts w:hint="default" w:ascii="Times New Roman" w:hAnsi="Times New Roman" w:eastAsia="Times New Roman" w:cs="Times New Roman"/>
          <w:bCs/>
          <w:sz w:val="24"/>
          <w:szCs w:val="24"/>
          <w:lang w:val="en-US" w:eastAsia="pt-BR"/>
        </w:rPr>
        <w:t>voltadas</w:t>
      </w:r>
      <w:r>
        <w:rPr>
          <w:rFonts w:ascii="Times New Roman" w:hAnsi="Times New Roman" w:eastAsia="Times New Roman" w:cs="Times New Roman"/>
          <w:bCs/>
          <w:sz w:val="24"/>
          <w:szCs w:val="24"/>
          <w:lang w:eastAsia="pt-BR"/>
        </w:rPr>
        <w:t xml:space="preserve"> </w:t>
      </w:r>
      <w:r>
        <w:rPr>
          <w:rFonts w:hint="default" w:ascii="Times New Roman" w:hAnsi="Times New Roman" w:eastAsia="Times New Roman" w:cs="Times New Roman"/>
          <w:bCs/>
          <w:sz w:val="24"/>
          <w:szCs w:val="24"/>
          <w:lang w:val="en-US" w:eastAsia="pt-BR"/>
        </w:rPr>
        <w:t>a</w:t>
      </w:r>
      <w:r>
        <w:rPr>
          <w:rFonts w:ascii="Times New Roman" w:hAnsi="Times New Roman" w:eastAsia="Times New Roman" w:cs="Times New Roman"/>
          <w:bCs/>
          <w:sz w:val="24"/>
          <w:szCs w:val="24"/>
          <w:lang w:eastAsia="pt-BR"/>
        </w:rPr>
        <w:t>o debate sobre a formação docente e os desa</w:t>
      </w:r>
      <w:r>
        <w:rPr>
          <w:rFonts w:hint="default" w:ascii="Times New Roman" w:hAnsi="Times New Roman" w:eastAsia="Times New Roman" w:cs="Times New Roman"/>
          <w:bCs/>
          <w:sz w:val="24"/>
          <w:szCs w:val="24"/>
          <w:lang w:val="en-US" w:eastAsia="pt-BR"/>
        </w:rPr>
        <w:t>f</w:t>
      </w:r>
      <w:r>
        <w:rPr>
          <w:rFonts w:ascii="Times New Roman" w:hAnsi="Times New Roman" w:eastAsia="Times New Roman" w:cs="Times New Roman"/>
          <w:bCs/>
          <w:sz w:val="24"/>
          <w:szCs w:val="24"/>
          <w:lang w:eastAsia="pt-BR"/>
        </w:rPr>
        <w:t>ios da inclusão</w:t>
      </w:r>
      <w:r>
        <w:rPr>
          <w:rFonts w:hint="default" w:ascii="Times New Roman" w:hAnsi="Times New Roman" w:eastAsia="Times New Roman" w:cs="Times New Roman"/>
          <w:bCs/>
          <w:sz w:val="24"/>
          <w:szCs w:val="24"/>
          <w:lang w:val="en-US" w:eastAsia="pt-BR"/>
        </w:rPr>
        <w:t>.</w:t>
      </w:r>
    </w:p>
    <w:p w14:paraId="251D1019">
      <w:pPr>
        <w:keepNext w:val="0"/>
        <w:keepLines w:val="0"/>
        <w:pageBreakBefore w:val="0"/>
        <w:widowControl/>
        <w:kinsoku/>
        <w:wordWrap/>
        <w:overflowPunct/>
        <w:topLinePunct w:val="0"/>
        <w:autoSpaceDE/>
        <w:autoSpaceDN/>
        <w:bidi w:val="0"/>
        <w:adjustRightInd/>
        <w:snapToGrid/>
        <w:spacing w:before="120" w:after="120" w:line="240" w:lineRule="auto"/>
        <w:ind w:right="220" w:rightChars="100"/>
        <w:jc w:val="both"/>
        <w:textAlignment w:val="auto"/>
        <w:rPr>
          <w:rFonts w:ascii="Times New Roman" w:hAnsi="Times New Roman" w:eastAsia="Times New Roman" w:cs="Times New Roman"/>
          <w:b/>
          <w:sz w:val="24"/>
          <w:szCs w:val="24"/>
          <w:lang w:eastAsia="pt-BR"/>
        </w:rPr>
      </w:pPr>
      <w:r>
        <w:rPr>
          <w:rFonts w:ascii="Times New Roman" w:hAnsi="Times New Roman" w:eastAsia="Times New Roman" w:cs="Times New Roman"/>
          <w:b/>
          <w:sz w:val="24"/>
          <w:szCs w:val="24"/>
          <w:lang w:eastAsia="pt-BR"/>
        </w:rPr>
        <w:t>Análise de dados</w:t>
      </w:r>
    </w:p>
    <w:p w14:paraId="24F6A04C">
      <w:pPr>
        <w:pStyle w:val="2"/>
        <w:keepNext w:val="0"/>
        <w:keepLines w:val="0"/>
        <w:pageBreakBefore w:val="0"/>
        <w:widowControl/>
        <w:kinsoku/>
        <w:wordWrap/>
        <w:overflowPunct/>
        <w:topLinePunct w:val="0"/>
        <w:autoSpaceDE/>
        <w:autoSpaceDN/>
        <w:bidi w:val="0"/>
        <w:adjustRightInd/>
        <w:snapToGrid/>
        <w:spacing w:before="120" w:beforeAutospacing="0" w:after="120" w:afterAutospacing="0"/>
        <w:ind w:right="0" w:rightChars="0" w:firstLine="300" w:firstLineChars="125"/>
        <w:jc w:val="both"/>
        <w:textAlignment w:val="auto"/>
        <w:rPr>
          <w:rFonts w:hint="default" w:ascii="Times New Roman" w:hAnsi="Times New Roman"/>
          <w:b w:val="0"/>
          <w:bCs w:val="0"/>
          <w:sz w:val="24"/>
          <w:szCs w:val="24"/>
        </w:rPr>
      </w:pPr>
      <w:r>
        <w:rPr>
          <w:rFonts w:hint="default" w:ascii="Times New Roman" w:hAnsi="Times New Roman"/>
          <w:b w:val="0"/>
          <w:bCs w:val="0"/>
          <w:sz w:val="24"/>
          <w:szCs w:val="24"/>
          <w:lang w:val="pt-BR"/>
        </w:rPr>
        <w:t>A análise dos dados</w:t>
      </w:r>
      <w:r>
        <w:rPr>
          <w:rFonts w:hint="default" w:ascii="Times New Roman" w:hAnsi="Times New Roman"/>
          <w:b w:val="0"/>
          <w:bCs w:val="0"/>
          <w:sz w:val="24"/>
          <w:szCs w:val="24"/>
        </w:rPr>
        <w:t xml:space="preserve"> </w:t>
      </w:r>
      <w:r>
        <w:rPr>
          <w:rFonts w:hint="default" w:ascii="Times New Roman" w:hAnsi="Times New Roman"/>
          <w:b w:val="0"/>
          <w:bCs w:val="0"/>
          <w:sz w:val="24"/>
          <w:szCs w:val="24"/>
          <w:lang w:val="pt-BR"/>
        </w:rPr>
        <w:t xml:space="preserve">permitiu compreender que </w:t>
      </w:r>
      <w:r>
        <w:rPr>
          <w:rFonts w:hint="default" w:ascii="Times New Roman" w:hAnsi="Times New Roman"/>
          <w:b w:val="0"/>
          <w:bCs w:val="0"/>
          <w:sz w:val="24"/>
          <w:szCs w:val="24"/>
        </w:rPr>
        <w:t xml:space="preserve">a formação docente </w:t>
      </w:r>
      <w:r>
        <w:rPr>
          <w:rFonts w:hint="default" w:ascii="Times New Roman" w:hAnsi="Times New Roman"/>
          <w:b w:val="0"/>
          <w:bCs w:val="0"/>
          <w:sz w:val="24"/>
          <w:szCs w:val="24"/>
          <w:lang w:val="pt-BR"/>
        </w:rPr>
        <w:t>aparece</w:t>
      </w:r>
      <w:r>
        <w:rPr>
          <w:rFonts w:hint="default" w:ascii="Times New Roman" w:hAnsi="Times New Roman"/>
          <w:b w:val="0"/>
          <w:bCs w:val="0"/>
          <w:sz w:val="24"/>
          <w:szCs w:val="24"/>
        </w:rPr>
        <w:t xml:space="preserve"> </w:t>
      </w:r>
      <w:r>
        <w:rPr>
          <w:rFonts w:hint="default" w:ascii="Times New Roman" w:hAnsi="Times New Roman"/>
          <w:b w:val="0"/>
          <w:bCs w:val="0"/>
          <w:sz w:val="24"/>
          <w:szCs w:val="24"/>
          <w:lang w:val="pt-BR"/>
        </w:rPr>
        <w:t xml:space="preserve">como </w:t>
      </w:r>
      <w:r>
        <w:rPr>
          <w:rFonts w:hint="default" w:ascii="Times New Roman" w:hAnsi="Times New Roman"/>
          <w:b w:val="0"/>
          <w:bCs w:val="0"/>
          <w:sz w:val="24"/>
          <w:szCs w:val="24"/>
        </w:rPr>
        <w:t xml:space="preserve">um dos principais desafios para a efetivação da inclusão escolar no Ensino Médio. Os estudos </w:t>
      </w:r>
      <w:r>
        <w:rPr>
          <w:rFonts w:hint="default" w:ascii="Times New Roman" w:hAnsi="Times New Roman"/>
          <w:b w:val="0"/>
          <w:bCs w:val="0"/>
          <w:sz w:val="24"/>
          <w:szCs w:val="24"/>
          <w:lang w:val="pt-BR"/>
        </w:rPr>
        <w:t xml:space="preserve">revisitados </w:t>
      </w:r>
      <w:r>
        <w:rPr>
          <w:rFonts w:hint="default" w:ascii="Times New Roman" w:hAnsi="Times New Roman"/>
          <w:b w:val="0"/>
          <w:bCs w:val="0"/>
          <w:sz w:val="24"/>
          <w:szCs w:val="24"/>
        </w:rPr>
        <w:t xml:space="preserve">destacam </w:t>
      </w:r>
      <w:r>
        <w:rPr>
          <w:rFonts w:hint="default" w:ascii="Times New Roman" w:hAnsi="Times New Roman"/>
          <w:b w:val="0"/>
          <w:bCs w:val="0"/>
          <w:sz w:val="24"/>
          <w:szCs w:val="24"/>
          <w:lang w:val="pt-BR"/>
        </w:rPr>
        <w:t>os</w:t>
      </w:r>
      <w:r>
        <w:rPr>
          <w:rFonts w:hint="default" w:ascii="Times New Roman" w:hAnsi="Times New Roman"/>
          <w:b w:val="0"/>
          <w:bCs w:val="0"/>
          <w:sz w:val="24"/>
          <w:szCs w:val="24"/>
        </w:rPr>
        <w:t xml:space="preserve"> avanços legais e políticos voltados à educação inclusiva, no entanto, esses mesmos estudos indicam uma lacuna </w:t>
      </w:r>
      <w:r>
        <w:rPr>
          <w:rFonts w:hint="default" w:ascii="Times New Roman" w:hAnsi="Times New Roman"/>
          <w:b w:val="0"/>
          <w:bCs w:val="0"/>
          <w:sz w:val="24"/>
          <w:szCs w:val="24"/>
          <w:lang w:val="pt-BR"/>
        </w:rPr>
        <w:t xml:space="preserve">quando se trata de formação continuada – o que  </w:t>
      </w:r>
      <w:r>
        <w:rPr>
          <w:rFonts w:hint="default" w:ascii="Times New Roman" w:hAnsi="Times New Roman"/>
          <w:b w:val="0"/>
          <w:bCs w:val="0"/>
          <w:sz w:val="24"/>
          <w:szCs w:val="24"/>
        </w:rPr>
        <w:t xml:space="preserve">repercute negativamente no cotidiano escolar. Já que em muitos casos, os docentes não estao preparados para lidar com a situação da inclusão, pois a proposta da inclusão requer </w:t>
      </w:r>
      <w:r>
        <w:rPr>
          <w:rFonts w:hint="default" w:ascii="Times New Roman" w:hAnsi="Times New Roman"/>
          <w:b w:val="0"/>
          <w:bCs w:val="0"/>
          <w:sz w:val="24"/>
          <w:szCs w:val="24"/>
          <w:lang w:val="pt-BR"/>
        </w:rPr>
        <w:t xml:space="preserve"> um olhar ampliado para a prática pedagógica, já que a</w:t>
      </w:r>
      <w:r>
        <w:rPr>
          <w:rFonts w:hint="default" w:ascii="Times New Roman" w:hAnsi="Times New Roman"/>
          <w:b w:val="0"/>
          <w:bCs w:val="0"/>
          <w:sz w:val="24"/>
          <w:szCs w:val="24"/>
        </w:rPr>
        <w:t xml:space="preserve"> socialização d</w:t>
      </w:r>
      <w:r>
        <w:rPr>
          <w:rFonts w:hint="default" w:ascii="Times New Roman" w:hAnsi="Times New Roman"/>
          <w:b w:val="0"/>
          <w:bCs w:val="0"/>
          <w:sz w:val="24"/>
          <w:szCs w:val="24"/>
          <w:lang w:val="pt-BR"/>
        </w:rPr>
        <w:t>esses</w:t>
      </w:r>
      <w:r>
        <w:rPr>
          <w:rFonts w:hint="default" w:ascii="Times New Roman" w:hAnsi="Times New Roman"/>
          <w:b w:val="0"/>
          <w:bCs w:val="0"/>
          <w:sz w:val="24"/>
          <w:szCs w:val="24"/>
        </w:rPr>
        <w:t xml:space="preserve"> estudantes, sem garantir a plena participação</w:t>
      </w:r>
      <w:r>
        <w:rPr>
          <w:rFonts w:hint="default" w:ascii="Times New Roman" w:hAnsi="Times New Roman"/>
          <w:b w:val="0"/>
          <w:bCs w:val="0"/>
          <w:sz w:val="24"/>
          <w:szCs w:val="24"/>
          <w:lang w:val="pt-BR"/>
        </w:rPr>
        <w:t xml:space="preserve"> desses estudantes </w:t>
      </w:r>
      <w:r>
        <w:rPr>
          <w:rFonts w:hint="default" w:ascii="Times New Roman" w:hAnsi="Times New Roman"/>
          <w:b w:val="0"/>
          <w:bCs w:val="0"/>
          <w:sz w:val="24"/>
          <w:szCs w:val="24"/>
        </w:rPr>
        <w:t xml:space="preserve"> nos processos de ensino e aprendizagem.</w:t>
      </w:r>
      <w:r>
        <w:rPr>
          <w:rFonts w:hint="default" w:ascii="Times New Roman" w:hAnsi="Times New Roman"/>
          <w:b w:val="0"/>
          <w:bCs w:val="0"/>
          <w:sz w:val="24"/>
          <w:szCs w:val="24"/>
        </w:rPr>
        <w:br w:type="textWrapping"/>
      </w:r>
      <w:r>
        <w:rPr>
          <w:rFonts w:hint="default" w:ascii="Times New Roman" w:hAnsi="Times New Roman"/>
          <w:b w:val="0"/>
          <w:bCs w:val="0"/>
          <w:sz w:val="24"/>
          <w:szCs w:val="24"/>
          <w:lang w:val="pt-BR"/>
        </w:rPr>
        <w:tab/>
      </w:r>
      <w:r>
        <w:rPr>
          <w:rFonts w:hint="default" w:ascii="Times New Roman" w:hAnsi="Times New Roman"/>
          <w:b w:val="0"/>
          <w:bCs w:val="0"/>
          <w:sz w:val="24"/>
          <w:szCs w:val="24"/>
          <w:lang w:val="pt-BR"/>
        </w:rPr>
        <w:t>Todavia</w:t>
      </w:r>
      <w:r>
        <w:rPr>
          <w:rFonts w:hint="default" w:ascii="Times New Roman" w:hAnsi="Times New Roman"/>
          <w:b w:val="0"/>
          <w:bCs w:val="0"/>
          <w:sz w:val="24"/>
          <w:szCs w:val="24"/>
        </w:rPr>
        <w:t xml:space="preserve">, os dados também apontam experiências </w:t>
      </w:r>
      <w:r>
        <w:rPr>
          <w:rFonts w:hint="default" w:ascii="Times New Roman" w:hAnsi="Times New Roman"/>
          <w:b w:val="0"/>
          <w:bCs w:val="0"/>
          <w:sz w:val="24"/>
          <w:szCs w:val="24"/>
          <w:lang w:val="pt-BR"/>
        </w:rPr>
        <w:t>bem sucedidas</w:t>
      </w:r>
      <w:r>
        <w:rPr>
          <w:rFonts w:hint="default" w:ascii="Times New Roman" w:hAnsi="Times New Roman"/>
          <w:b w:val="0"/>
          <w:bCs w:val="0"/>
          <w:sz w:val="24"/>
          <w:szCs w:val="24"/>
        </w:rPr>
        <w:t xml:space="preserve">, em que a formação continuada quando desenvolvida com os docentes propõe um trabalho colaborativo com </w:t>
      </w:r>
      <w:r>
        <w:rPr>
          <w:rFonts w:hint="default" w:ascii="Times New Roman" w:hAnsi="Times New Roman"/>
          <w:b w:val="0"/>
          <w:bCs w:val="0"/>
          <w:sz w:val="24"/>
          <w:szCs w:val="24"/>
          <w:lang w:val="pt-BR"/>
        </w:rPr>
        <w:t>os segundos professores</w:t>
      </w:r>
      <w:r>
        <w:rPr>
          <w:rFonts w:hint="default" w:ascii="Times New Roman" w:hAnsi="Times New Roman"/>
          <w:b w:val="0"/>
          <w:bCs w:val="0"/>
          <w:sz w:val="24"/>
          <w:szCs w:val="24"/>
        </w:rPr>
        <w:t xml:space="preserve"> e o apoio do Atendimento Educacional Especializado (AEE), e contribuem </w:t>
      </w:r>
      <w:r>
        <w:rPr>
          <w:rFonts w:hint="default" w:ascii="Times New Roman" w:hAnsi="Times New Roman"/>
          <w:b w:val="0"/>
          <w:bCs w:val="0"/>
          <w:sz w:val="24"/>
          <w:szCs w:val="24"/>
          <w:lang w:val="pt-BR"/>
        </w:rPr>
        <w:t xml:space="preserve">significativamente </w:t>
      </w:r>
      <w:r>
        <w:rPr>
          <w:rFonts w:hint="default" w:ascii="Times New Roman" w:hAnsi="Times New Roman"/>
          <w:b w:val="0"/>
          <w:bCs w:val="0"/>
          <w:sz w:val="24"/>
          <w:szCs w:val="24"/>
        </w:rPr>
        <w:t xml:space="preserve">para </w:t>
      </w:r>
      <w:r>
        <w:rPr>
          <w:rFonts w:hint="default" w:ascii="Times New Roman" w:hAnsi="Times New Roman"/>
          <w:b w:val="0"/>
          <w:bCs w:val="0"/>
          <w:sz w:val="24"/>
          <w:szCs w:val="24"/>
          <w:lang w:val="pt-BR"/>
        </w:rPr>
        <w:t xml:space="preserve">concretizar </w:t>
      </w:r>
      <w:r>
        <w:rPr>
          <w:rFonts w:hint="default" w:ascii="Times New Roman" w:hAnsi="Times New Roman"/>
          <w:b w:val="0"/>
          <w:bCs w:val="0"/>
          <w:sz w:val="24"/>
          <w:szCs w:val="24"/>
        </w:rPr>
        <w:t xml:space="preserve">práticas pedagógicas mais inclusivas e transformadoras. </w:t>
      </w:r>
      <w:r>
        <w:rPr>
          <w:rFonts w:hint="default" w:ascii="Times New Roman" w:hAnsi="Times New Roman"/>
          <w:b w:val="0"/>
          <w:bCs w:val="0"/>
          <w:sz w:val="24"/>
          <w:szCs w:val="24"/>
          <w:lang w:val="pt-BR"/>
        </w:rPr>
        <w:t>Logo,</w:t>
      </w:r>
      <w:r>
        <w:rPr>
          <w:rFonts w:hint="default" w:ascii="Times New Roman" w:hAnsi="Times New Roman"/>
          <w:b w:val="0"/>
          <w:bCs w:val="0"/>
          <w:sz w:val="24"/>
          <w:szCs w:val="24"/>
        </w:rPr>
        <w:t xml:space="preserve"> reforça</w:t>
      </w:r>
      <w:r>
        <w:rPr>
          <w:rFonts w:hint="default" w:ascii="Times New Roman" w:hAnsi="Times New Roman"/>
          <w:b w:val="0"/>
          <w:bCs w:val="0"/>
          <w:sz w:val="24"/>
          <w:szCs w:val="24"/>
          <w:lang w:val="pt-BR"/>
        </w:rPr>
        <w:t>-se</w:t>
      </w:r>
      <w:r>
        <w:rPr>
          <w:rFonts w:hint="default" w:ascii="Times New Roman" w:hAnsi="Times New Roman"/>
          <w:b w:val="0"/>
          <w:bCs w:val="0"/>
          <w:sz w:val="24"/>
          <w:szCs w:val="24"/>
        </w:rPr>
        <w:t xml:space="preserve"> a ideia de que o investimento na formação </w:t>
      </w:r>
      <w:r>
        <w:rPr>
          <w:rFonts w:hint="default" w:ascii="Times New Roman" w:hAnsi="Times New Roman"/>
          <w:b w:val="0"/>
          <w:bCs w:val="0"/>
          <w:sz w:val="24"/>
          <w:szCs w:val="24"/>
          <w:lang w:val="pt-BR"/>
        </w:rPr>
        <w:t xml:space="preserve">continuada </w:t>
      </w:r>
      <w:r>
        <w:rPr>
          <w:rFonts w:hint="default" w:ascii="Times New Roman" w:hAnsi="Times New Roman"/>
          <w:b w:val="0"/>
          <w:bCs w:val="0"/>
          <w:sz w:val="24"/>
          <w:szCs w:val="24"/>
        </w:rPr>
        <w:t xml:space="preserve">e no acompanhamento docente é fundamental para </w:t>
      </w:r>
      <w:r>
        <w:rPr>
          <w:rFonts w:hint="default" w:ascii="Times New Roman" w:hAnsi="Times New Roman"/>
          <w:b w:val="0"/>
          <w:bCs w:val="0"/>
          <w:sz w:val="24"/>
          <w:szCs w:val="24"/>
          <w:lang w:val="pt-BR"/>
        </w:rPr>
        <w:t>estabelecer</w:t>
      </w:r>
      <w:r>
        <w:rPr>
          <w:rFonts w:hint="default" w:ascii="Times New Roman" w:hAnsi="Times New Roman"/>
          <w:b w:val="0"/>
          <w:bCs w:val="0"/>
          <w:sz w:val="24"/>
          <w:szCs w:val="24"/>
        </w:rPr>
        <w:t xml:space="preserve"> a inclusão como princípio educativo e social.</w:t>
      </w:r>
    </w:p>
    <w:p w14:paraId="6B4FC69C">
      <w:pPr>
        <w:pStyle w:val="2"/>
        <w:keepNext w:val="0"/>
        <w:keepLines w:val="0"/>
        <w:pageBreakBefore w:val="0"/>
        <w:widowControl/>
        <w:kinsoku/>
        <w:wordWrap/>
        <w:overflowPunct/>
        <w:topLinePunct w:val="0"/>
        <w:autoSpaceDE/>
        <w:autoSpaceDN/>
        <w:bidi w:val="0"/>
        <w:adjustRightInd/>
        <w:snapToGrid/>
        <w:spacing w:before="120" w:beforeAutospacing="0" w:after="120" w:afterAutospacing="0"/>
        <w:ind w:right="0" w:rightChars="0"/>
        <w:textAlignment w:val="auto"/>
        <w:rPr>
          <w:rFonts w:hint="default" w:ascii="Times New Roman" w:hAnsi="Times New Roman"/>
          <w:sz w:val="24"/>
          <w:szCs w:val="24"/>
        </w:rPr>
      </w:pPr>
      <w:r>
        <w:rPr>
          <w:rFonts w:hint="default" w:ascii="Times New Roman" w:hAnsi="Times New Roman"/>
          <w:sz w:val="24"/>
          <w:szCs w:val="24"/>
        </w:rPr>
        <w:t>Conclusões</w:t>
      </w:r>
    </w:p>
    <w:p w14:paraId="6E833013">
      <w:pPr>
        <w:keepNext w:val="0"/>
        <w:keepLines w:val="0"/>
        <w:pageBreakBefore w:val="0"/>
        <w:widowControl/>
        <w:kinsoku/>
        <w:wordWrap/>
        <w:overflowPunct/>
        <w:topLinePunct w:val="0"/>
        <w:autoSpaceDE/>
        <w:autoSpaceDN/>
        <w:bidi w:val="0"/>
        <w:adjustRightInd/>
        <w:snapToGrid/>
        <w:spacing w:after="0" w:line="240" w:lineRule="auto"/>
        <w:ind w:right="220" w:rightChars="100" w:firstLine="709"/>
        <w:jc w:val="both"/>
        <w:textAlignment w:val="auto"/>
        <w:rPr>
          <w:rFonts w:ascii="Times New Roman" w:hAnsi="Times New Roman" w:eastAsia="Times New Roman" w:cs="Times New Roman"/>
          <w:bCs/>
          <w:sz w:val="24"/>
          <w:szCs w:val="24"/>
          <w:lang w:eastAsia="pt-BR"/>
        </w:rPr>
      </w:pPr>
      <w:r>
        <w:rPr>
          <w:rFonts w:ascii="Times New Roman" w:hAnsi="Times New Roman" w:eastAsia="Times New Roman" w:cs="Times New Roman"/>
          <w:bCs/>
          <w:sz w:val="24"/>
          <w:szCs w:val="24"/>
          <w:lang w:eastAsia="pt-BR"/>
        </w:rPr>
        <w:t xml:space="preserve">Diante do exposto, conclui-se que a formação docente é elemento central para a efetivação da inclusão escolar no Ensino Médio, uma vez que possibilita ao professor compreender e valorizar a diversidade, desenvolver estratégias pedagógicas </w:t>
      </w:r>
      <w:r>
        <w:rPr>
          <w:rFonts w:ascii="Times New Roman" w:hAnsi="Times New Roman" w:eastAsia="Times New Roman" w:cs="Times New Roman"/>
          <w:bCs/>
          <w:sz w:val="24"/>
          <w:szCs w:val="24"/>
          <w:lang w:val="en-US" w:eastAsia="pt-BR"/>
        </w:rPr>
        <w:t>inclusivas</w:t>
      </w:r>
      <w:r>
        <w:rPr>
          <w:rFonts w:ascii="Times New Roman" w:hAnsi="Times New Roman" w:eastAsia="Times New Roman" w:cs="Times New Roman"/>
          <w:bCs/>
          <w:sz w:val="24"/>
          <w:szCs w:val="24"/>
          <w:lang w:eastAsia="pt-BR"/>
        </w:rPr>
        <w:t xml:space="preserve"> e atuar em parceria com outros profissionais da escola. </w:t>
      </w:r>
      <w:r>
        <w:rPr>
          <w:rFonts w:hint="default" w:ascii="Times New Roman" w:hAnsi="Times New Roman" w:eastAsia="Times New Roman" w:cs="Times New Roman"/>
          <w:bCs/>
          <w:sz w:val="24"/>
          <w:szCs w:val="24"/>
          <w:lang w:val="en-US" w:eastAsia="pt-BR"/>
        </w:rPr>
        <w:t>A</w:t>
      </w:r>
      <w:r>
        <w:rPr>
          <w:rFonts w:ascii="Times New Roman" w:hAnsi="Times New Roman" w:eastAsia="Times New Roman" w:cs="Times New Roman"/>
          <w:bCs/>
          <w:sz w:val="24"/>
          <w:szCs w:val="24"/>
          <w:lang w:eastAsia="pt-BR"/>
        </w:rPr>
        <w:t xml:space="preserve"> inclusão deve ser entendida como um processo coletivo, que envolve tanto a preparação dos educadores quanto o compromisso institucional em garantir condições para que todos aprendam e participem ativamente. </w:t>
      </w:r>
    </w:p>
    <w:p w14:paraId="4B7AE282">
      <w:pPr>
        <w:keepNext w:val="0"/>
        <w:keepLines w:val="0"/>
        <w:pageBreakBefore w:val="0"/>
        <w:widowControl/>
        <w:kinsoku/>
        <w:wordWrap/>
        <w:overflowPunct/>
        <w:topLinePunct w:val="0"/>
        <w:autoSpaceDE/>
        <w:autoSpaceDN/>
        <w:bidi w:val="0"/>
        <w:adjustRightInd/>
        <w:snapToGrid/>
        <w:spacing w:after="0" w:line="240" w:lineRule="auto"/>
        <w:ind w:right="220" w:rightChars="100" w:firstLine="709"/>
        <w:jc w:val="both"/>
        <w:textAlignment w:val="auto"/>
        <w:rPr>
          <w:rFonts w:ascii="Times New Roman" w:hAnsi="Times New Roman" w:cs="Times New Roman"/>
          <w:sz w:val="24"/>
          <w:szCs w:val="24"/>
          <w:lang w:eastAsia="pt-BR"/>
        </w:rPr>
      </w:pPr>
      <w:r>
        <w:rPr>
          <w:rFonts w:hint="default" w:ascii="Times New Roman" w:hAnsi="Times New Roman" w:eastAsia="Times New Roman" w:cs="Times New Roman"/>
          <w:bCs/>
          <w:sz w:val="24"/>
          <w:szCs w:val="24"/>
          <w:lang w:val="en-US" w:eastAsia="pt-BR"/>
        </w:rPr>
        <w:t>Portanto</w:t>
      </w:r>
      <w:r>
        <w:rPr>
          <w:rFonts w:ascii="Times New Roman" w:hAnsi="Times New Roman" w:eastAsia="Times New Roman" w:cs="Times New Roman"/>
          <w:bCs/>
          <w:sz w:val="24"/>
          <w:szCs w:val="24"/>
          <w:lang w:eastAsia="pt-BR"/>
        </w:rPr>
        <w:t xml:space="preserve">, investir na formação docente significa </w:t>
      </w:r>
      <w:r>
        <w:rPr>
          <w:rFonts w:ascii="Times New Roman" w:hAnsi="Times New Roman" w:eastAsia="Times New Roman" w:cs="Times New Roman"/>
          <w:bCs/>
          <w:sz w:val="24"/>
          <w:szCs w:val="24"/>
          <w:lang w:val="en-US" w:eastAsia="pt-BR"/>
        </w:rPr>
        <w:t>acreditar</w:t>
      </w:r>
      <w:r>
        <w:rPr>
          <w:rFonts w:ascii="Times New Roman" w:hAnsi="Times New Roman" w:eastAsia="Times New Roman" w:cs="Times New Roman"/>
          <w:bCs/>
          <w:sz w:val="24"/>
          <w:szCs w:val="24"/>
          <w:lang w:eastAsia="pt-BR"/>
        </w:rPr>
        <w:t xml:space="preserve"> </w:t>
      </w:r>
      <w:r>
        <w:rPr>
          <w:rFonts w:ascii="Times New Roman" w:hAnsi="Times New Roman" w:eastAsia="Times New Roman" w:cs="Times New Roman"/>
          <w:bCs/>
          <w:sz w:val="24"/>
          <w:szCs w:val="24"/>
          <w:lang w:val="en-US" w:eastAsia="pt-BR"/>
        </w:rPr>
        <w:t>na construção de</w:t>
      </w:r>
      <w:r>
        <w:rPr>
          <w:rFonts w:ascii="Times New Roman" w:hAnsi="Times New Roman" w:eastAsia="Times New Roman" w:cs="Times New Roman"/>
          <w:bCs/>
          <w:sz w:val="24"/>
          <w:szCs w:val="24"/>
          <w:lang w:eastAsia="pt-BR"/>
        </w:rPr>
        <w:t xml:space="preserve"> uma educação de qualidade </w:t>
      </w:r>
      <w:r>
        <w:rPr>
          <w:rFonts w:ascii="Times New Roman" w:hAnsi="Times New Roman" w:eastAsia="Times New Roman" w:cs="Times New Roman"/>
          <w:bCs/>
          <w:sz w:val="24"/>
          <w:szCs w:val="24"/>
          <w:lang w:val="en-US" w:eastAsia="pt-BR"/>
        </w:rPr>
        <w:t xml:space="preserve">para o estabelecimento de </w:t>
      </w:r>
      <w:r>
        <w:rPr>
          <w:rFonts w:ascii="Times New Roman" w:hAnsi="Times New Roman" w:eastAsia="Times New Roman" w:cs="Times New Roman"/>
          <w:bCs/>
          <w:sz w:val="24"/>
          <w:szCs w:val="24"/>
          <w:lang w:eastAsia="pt-BR"/>
        </w:rPr>
        <w:t>uma sociedade mais justa e inclusiva.</w:t>
      </w:r>
      <w:r>
        <w:rPr>
          <w:rFonts w:hint="default" w:ascii="Times New Roman" w:hAnsi="Times New Roman" w:eastAsia="Times New Roman" w:cs="Times New Roman"/>
          <w:bCs/>
          <w:sz w:val="24"/>
          <w:szCs w:val="24"/>
          <w:lang w:val="en-US" w:eastAsia="pt-BR"/>
        </w:rPr>
        <w:t xml:space="preserve"> A</w:t>
      </w:r>
      <w:r>
        <w:rPr>
          <w:rFonts w:ascii="Times New Roman" w:hAnsi="Times New Roman" w:cs="Times New Roman"/>
          <w:sz w:val="24"/>
          <w:szCs w:val="24"/>
        </w:rPr>
        <w:t xml:space="preserve"> formação docente constitui-se no alicerce para a concretização da Educação  Inclusiva e deve ser compreendida como um processo continuo, capaz de  atender as necessidades do mundo contemporâneo </w:t>
      </w:r>
      <w:r>
        <w:rPr>
          <w:rFonts w:hint="default" w:ascii="Times New Roman" w:hAnsi="Times New Roman" w:cs="Times New Roman"/>
          <w:sz w:val="24"/>
          <w:szCs w:val="24"/>
          <w:lang w:val="pt-BR"/>
        </w:rPr>
        <w:t>e</w:t>
      </w:r>
      <w:r>
        <w:rPr>
          <w:rFonts w:ascii="Times New Roman" w:hAnsi="Times New Roman" w:cs="Times New Roman"/>
          <w:sz w:val="24"/>
          <w:szCs w:val="24"/>
        </w:rPr>
        <w:t xml:space="preserve"> contribuir para a formação de uma sociedade mais justa e inclusiva.</w:t>
      </w:r>
    </w:p>
    <w:p w14:paraId="445078CE">
      <w:pPr>
        <w:keepNext w:val="0"/>
        <w:keepLines w:val="0"/>
        <w:pageBreakBefore w:val="0"/>
        <w:widowControl/>
        <w:kinsoku/>
        <w:wordWrap/>
        <w:overflowPunct/>
        <w:topLinePunct w:val="0"/>
        <w:autoSpaceDE/>
        <w:autoSpaceDN/>
        <w:bidi w:val="0"/>
        <w:adjustRightInd/>
        <w:snapToGrid/>
        <w:spacing w:before="120" w:after="120" w:line="240" w:lineRule="auto"/>
        <w:ind w:right="220" w:rightChars="100"/>
        <w:jc w:val="both"/>
        <w:textAlignment w:val="auto"/>
        <w:rPr>
          <w:rFonts w:hint="default" w:ascii="Times New Roman" w:hAnsi="Times New Roman" w:eastAsia="Times New Roman" w:cs="Times New Roman"/>
          <w:b/>
          <w:sz w:val="24"/>
          <w:szCs w:val="24"/>
          <w:lang w:eastAsia="pt-BR"/>
        </w:rPr>
      </w:pPr>
      <w:r>
        <w:rPr>
          <w:rFonts w:hint="default" w:ascii="Times New Roman" w:hAnsi="Times New Roman" w:eastAsia="Times New Roman" w:cs="Times New Roman"/>
          <w:b/>
          <w:sz w:val="24"/>
          <w:szCs w:val="24"/>
          <w:lang w:eastAsia="pt-BR"/>
        </w:rPr>
        <w:t xml:space="preserve">Apoio técnico ou financeiro </w:t>
      </w:r>
    </w:p>
    <w:p w14:paraId="0D6C1403">
      <w:pPr>
        <w:keepNext w:val="0"/>
        <w:keepLines w:val="0"/>
        <w:pageBreakBefore w:val="0"/>
        <w:widowControl/>
        <w:kinsoku/>
        <w:wordWrap/>
        <w:overflowPunct/>
        <w:topLinePunct w:val="0"/>
        <w:autoSpaceDE/>
        <w:autoSpaceDN/>
        <w:bidi w:val="0"/>
        <w:adjustRightInd/>
        <w:snapToGrid/>
        <w:spacing w:after="0" w:line="240" w:lineRule="auto"/>
        <w:ind w:right="220" w:rightChars="100" w:firstLine="300" w:firstLineChars="125"/>
        <w:jc w:val="both"/>
        <w:textAlignment w:val="auto"/>
        <w:rPr>
          <w:rFonts w:hint="default" w:ascii="Times New Roman" w:hAnsi="Times New Roman" w:eastAsia="Times New Roman" w:cs="Times New Roman"/>
          <w:b/>
          <w:sz w:val="24"/>
          <w:szCs w:val="24"/>
          <w:lang w:eastAsia="pt-BR"/>
        </w:rPr>
      </w:pPr>
      <w:r>
        <w:rPr>
          <w:rFonts w:hint="default" w:ascii="Times New Roman" w:hAnsi="Times New Roman" w:eastAsia="Arial" w:cs="Times New Roman"/>
          <w:sz w:val="24"/>
          <w:szCs w:val="24"/>
        </w:rPr>
        <w:t xml:space="preserve">Agradecimento: à Fundação de Amparo à Pesquisa e Inovação do Estado de Santa </w:t>
      </w:r>
      <w:bookmarkStart w:id="0" w:name="_Hlk198210252"/>
      <w:r>
        <w:rPr>
          <w:rFonts w:hint="default" w:ascii="Times New Roman" w:hAnsi="Times New Roman" w:eastAsia="Arial" w:cs="Times New Roman"/>
          <w:sz w:val="24"/>
          <w:szCs w:val="24"/>
        </w:rPr>
        <w:t>Catarina – FAPESC pelo apoio financeiro via Edital de Chamada Pública FAPESC n.º 18/2024</w:t>
      </w:r>
      <w:r>
        <w:rPr>
          <w:rFonts w:hint="default" w:ascii="Times New Roman" w:hAnsi="Times New Roman" w:eastAsia="Arial" w:cs="Times New Roman"/>
          <w:sz w:val="24"/>
          <w:szCs w:val="24"/>
          <w:lang w:val="pt-BR"/>
        </w:rPr>
        <w:t xml:space="preserve"> - </w:t>
      </w:r>
      <w:r>
        <w:rPr>
          <w:rFonts w:hint="default" w:ascii="Times New Roman" w:hAnsi="Times New Roman" w:eastAsia="Arial" w:cs="Times New Roman"/>
          <w:sz w:val="24"/>
          <w:szCs w:val="24"/>
        </w:rPr>
        <w:t>Bolsas de Mestrado</w:t>
      </w:r>
      <w:bookmarkEnd w:id="0"/>
      <w:r>
        <w:rPr>
          <w:rFonts w:hint="default" w:ascii="Times New Roman" w:hAnsi="Times New Roman" w:eastAsia="Arial" w:cs="Times New Roman"/>
          <w:sz w:val="24"/>
          <w:szCs w:val="24"/>
        </w:rPr>
        <w:t>.</w:t>
      </w:r>
    </w:p>
    <w:p w14:paraId="0648694C">
      <w:pPr>
        <w:keepNext w:val="0"/>
        <w:keepLines w:val="0"/>
        <w:pageBreakBefore w:val="0"/>
        <w:widowControl/>
        <w:kinsoku/>
        <w:wordWrap/>
        <w:overflowPunct/>
        <w:topLinePunct w:val="0"/>
        <w:autoSpaceDE/>
        <w:autoSpaceDN/>
        <w:bidi w:val="0"/>
        <w:adjustRightInd/>
        <w:snapToGrid/>
        <w:spacing w:before="120" w:after="120" w:line="240" w:lineRule="auto"/>
        <w:ind w:right="220" w:rightChars="100"/>
        <w:jc w:val="both"/>
        <w:textAlignment w:val="auto"/>
        <w:rPr>
          <w:rFonts w:hint="default" w:ascii="Times New Roman" w:hAnsi="Times New Roman" w:eastAsia="Times New Roman" w:cs="Times New Roman"/>
          <w:b/>
          <w:sz w:val="24"/>
          <w:szCs w:val="24"/>
          <w:lang w:eastAsia="pt-BR"/>
        </w:rPr>
      </w:pPr>
      <w:r>
        <w:rPr>
          <w:rFonts w:hint="default" w:ascii="Times New Roman" w:hAnsi="Times New Roman" w:eastAsia="Times New Roman" w:cs="Times New Roman"/>
          <w:b/>
          <w:sz w:val="24"/>
          <w:szCs w:val="24"/>
          <w:lang w:eastAsia="pt-BR"/>
        </w:rPr>
        <w:t>Referências</w:t>
      </w:r>
    </w:p>
    <w:p w14:paraId="22FC308C">
      <w:pPr>
        <w:keepNext w:val="0"/>
        <w:keepLines w:val="0"/>
        <w:pageBreakBefore w:val="0"/>
        <w:widowControl/>
        <w:kinsoku/>
        <w:wordWrap/>
        <w:overflowPunct/>
        <w:topLinePunct w:val="0"/>
        <w:autoSpaceDE/>
        <w:autoSpaceDN/>
        <w:bidi w:val="0"/>
        <w:adjustRightInd/>
        <w:snapToGrid/>
        <w:spacing w:line="240" w:lineRule="auto"/>
        <w:ind w:right="220" w:rightChars="100"/>
        <w:jc w:val="both"/>
        <w:textAlignment w:val="auto"/>
        <w:rPr>
          <w:rFonts w:hint="default" w:ascii="Times New Roman" w:hAnsi="Times New Roman" w:eastAsia="Times New Roman" w:cs="Times New Roman"/>
          <w:bCs/>
          <w:sz w:val="24"/>
          <w:szCs w:val="24"/>
          <w:lang w:eastAsia="pt-BR"/>
        </w:rPr>
      </w:pPr>
      <w:r>
        <w:rPr>
          <w:rFonts w:hint="default" w:ascii="Times New Roman" w:hAnsi="Times New Roman" w:eastAsia="Times New Roman" w:cs="Times New Roman"/>
          <w:bCs/>
          <w:sz w:val="24"/>
          <w:szCs w:val="24"/>
          <w:lang w:eastAsia="pt-BR"/>
        </w:rPr>
        <w:t>BRASIL. Lei nº 13.146, de 6 de julho de 2015. Lei Brasileira de Inclusão da Pessoa com Deficiência. Diário Oficial da União, Brasília, 2015.</w:t>
      </w:r>
    </w:p>
    <w:p w14:paraId="3FDF3D95">
      <w:pPr>
        <w:keepNext w:val="0"/>
        <w:keepLines w:val="0"/>
        <w:pageBreakBefore w:val="0"/>
        <w:widowControl/>
        <w:kinsoku/>
        <w:wordWrap/>
        <w:overflowPunct/>
        <w:topLinePunct w:val="0"/>
        <w:autoSpaceDE/>
        <w:autoSpaceDN/>
        <w:bidi w:val="0"/>
        <w:adjustRightInd/>
        <w:snapToGrid/>
        <w:spacing w:line="240" w:lineRule="auto"/>
        <w:ind w:right="220" w:rightChars="100"/>
        <w:jc w:val="both"/>
        <w:textAlignment w:val="auto"/>
        <w:rPr>
          <w:rFonts w:hint="default" w:ascii="Times New Roman" w:hAnsi="Times New Roman" w:eastAsia="Times New Roman" w:cs="Times New Roman"/>
          <w:bCs/>
          <w:sz w:val="24"/>
          <w:szCs w:val="24"/>
          <w:lang w:val="en-US" w:eastAsia="pt-BR"/>
        </w:rPr>
      </w:pPr>
      <w:r>
        <w:rPr>
          <w:rFonts w:hint="default" w:ascii="Times New Roman" w:hAnsi="Times New Roman" w:eastAsia="Times New Roman" w:cs="Times New Roman"/>
          <w:bCs/>
          <w:sz w:val="24"/>
          <w:szCs w:val="24"/>
          <w:lang w:val="en-US" w:eastAsia="pt-BR"/>
        </w:rPr>
        <w:t>LIBÂNEO, José Carlos. OLIVEIRA, João Ferreira de. TOSCHI, Mirza Seabra. Educação Escolar: políticas, estrutura e organização. 10 ed. Rev. E ampl. São Paulo: Cortez, 2012.</w:t>
      </w:r>
    </w:p>
    <w:p w14:paraId="74AEE425">
      <w:pPr>
        <w:keepNext w:val="0"/>
        <w:keepLines w:val="0"/>
        <w:pageBreakBefore w:val="0"/>
        <w:widowControl/>
        <w:kinsoku/>
        <w:wordWrap/>
        <w:overflowPunct/>
        <w:topLinePunct w:val="0"/>
        <w:autoSpaceDE/>
        <w:autoSpaceDN/>
        <w:bidi w:val="0"/>
        <w:adjustRightInd/>
        <w:snapToGrid/>
        <w:spacing w:line="240" w:lineRule="auto"/>
        <w:ind w:right="220" w:rightChars="100"/>
        <w:textAlignment w:val="auto"/>
        <w:rPr>
          <w:rFonts w:hint="default" w:ascii="Times New Roman" w:hAnsi="Times New Roman" w:eastAsia="Times New Roman" w:cs="Times New Roman"/>
          <w:bCs/>
          <w:sz w:val="24"/>
          <w:szCs w:val="24"/>
          <w:lang w:val="en-US" w:eastAsia="pt-BR"/>
        </w:rPr>
      </w:pPr>
      <w:r>
        <w:rPr>
          <w:rFonts w:hint="default" w:ascii="Times New Roman" w:hAnsi="Times New Roman" w:cs="Times New Roman"/>
          <w:sz w:val="24"/>
          <w:szCs w:val="24"/>
        </w:rPr>
        <w:t xml:space="preserve">GIL, Antonio Carlos. </w:t>
      </w:r>
      <w:r>
        <w:rPr>
          <w:rFonts w:hint="default" w:ascii="Times New Roman" w:hAnsi="Times New Roman" w:cs="Times New Roman"/>
          <w:i/>
          <w:iCs/>
          <w:sz w:val="24"/>
          <w:szCs w:val="24"/>
        </w:rPr>
        <w:t>Métodos e técnicas de pesquisa social</w:t>
      </w:r>
      <w:r>
        <w:rPr>
          <w:rFonts w:hint="default" w:ascii="Times New Roman" w:hAnsi="Times New Roman" w:cs="Times New Roman"/>
          <w:sz w:val="24"/>
          <w:szCs w:val="24"/>
        </w:rPr>
        <w:t>. 7. ed. São Paulo: Atlas, 2019.</w:t>
      </w:r>
    </w:p>
    <w:p w14:paraId="724A44FB">
      <w:pPr>
        <w:keepNext w:val="0"/>
        <w:keepLines w:val="0"/>
        <w:pageBreakBefore w:val="0"/>
        <w:widowControl/>
        <w:kinsoku/>
        <w:wordWrap/>
        <w:overflowPunct/>
        <w:topLinePunct w:val="0"/>
        <w:autoSpaceDE/>
        <w:autoSpaceDN/>
        <w:bidi w:val="0"/>
        <w:adjustRightInd/>
        <w:snapToGrid/>
        <w:spacing w:line="240" w:lineRule="auto"/>
        <w:ind w:right="220" w:rightChars="10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MANTOAN, Maria Teresa Eglér. </w:t>
      </w:r>
      <w:r>
        <w:rPr>
          <w:rFonts w:hint="default" w:ascii="Times New Roman" w:hAnsi="Times New Roman" w:cs="Times New Roman"/>
          <w:b/>
          <w:bCs/>
          <w:i/>
          <w:iCs/>
          <w:sz w:val="24"/>
          <w:szCs w:val="24"/>
        </w:rPr>
        <w:t>Inclusão escolar: pontos e contrapontos</w:t>
      </w:r>
      <w:r>
        <w:rPr>
          <w:rFonts w:hint="default" w:ascii="Times New Roman" w:hAnsi="Times New Roman" w:cs="Times New Roman"/>
          <w:sz w:val="24"/>
          <w:szCs w:val="24"/>
        </w:rPr>
        <w:t xml:space="preserve">. </w:t>
      </w:r>
      <w:r>
        <w:rPr>
          <w:rFonts w:hint="default" w:ascii="Times New Roman" w:hAnsi="Times New Roman" w:cs="Times New Roman"/>
          <w:sz w:val="24"/>
          <w:szCs w:val="24"/>
          <w:lang w:val="pt-BR"/>
        </w:rPr>
        <w:t xml:space="preserve">Maria Tereza Eglér Mantoan, Rosângela Gavioli Prieto; organização Valéria Amorim Arantes. 8ª ed. - </w:t>
      </w:r>
      <w:r>
        <w:rPr>
          <w:rFonts w:hint="default" w:ascii="Times New Roman" w:hAnsi="Times New Roman" w:cs="Times New Roman"/>
          <w:sz w:val="24"/>
          <w:szCs w:val="24"/>
        </w:rPr>
        <w:t>São Paulo: Summus, 20</w:t>
      </w:r>
      <w:r>
        <w:rPr>
          <w:rFonts w:hint="default" w:ascii="Times New Roman" w:hAnsi="Times New Roman" w:cs="Times New Roman"/>
          <w:sz w:val="24"/>
          <w:szCs w:val="24"/>
          <w:lang w:val="pt-BR"/>
        </w:rPr>
        <w:t>2</w:t>
      </w:r>
      <w:r>
        <w:rPr>
          <w:rFonts w:hint="default" w:ascii="Times New Roman" w:hAnsi="Times New Roman" w:cs="Times New Roman"/>
          <w:sz w:val="24"/>
          <w:szCs w:val="24"/>
        </w:rPr>
        <w:t>3.</w:t>
      </w:r>
    </w:p>
    <w:p w14:paraId="264558CE">
      <w:pPr>
        <w:keepNext w:val="0"/>
        <w:keepLines w:val="0"/>
        <w:pageBreakBefore w:val="0"/>
        <w:widowControl/>
        <w:kinsoku/>
        <w:wordWrap/>
        <w:overflowPunct/>
        <w:topLinePunct w:val="0"/>
        <w:autoSpaceDE/>
        <w:autoSpaceDN/>
        <w:bidi w:val="0"/>
        <w:adjustRightInd/>
        <w:snapToGrid/>
        <w:spacing w:line="240" w:lineRule="auto"/>
        <w:ind w:right="220" w:rightChars="10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MANTOAN, Maria Teresa Eglér. </w:t>
      </w:r>
      <w:r>
        <w:rPr>
          <w:rFonts w:hint="default" w:ascii="Times New Roman" w:hAnsi="Times New Roman" w:cs="Times New Roman"/>
          <w:b/>
          <w:bCs/>
          <w:sz w:val="24"/>
          <w:szCs w:val="24"/>
        </w:rPr>
        <w:t>O desafio das diferença nas escolas.</w:t>
      </w:r>
      <w:r>
        <w:rPr>
          <w:rFonts w:hint="default" w:ascii="Times New Roman" w:hAnsi="Times New Roman" w:cs="Times New Roman"/>
          <w:sz w:val="24"/>
          <w:szCs w:val="24"/>
        </w:rPr>
        <w:t xml:space="preserve"> Petrópolis, RJ: Vozes, 2009.</w:t>
      </w:r>
    </w:p>
    <w:p w14:paraId="4D6CA7FC">
      <w:pPr>
        <w:ind w:right="220" w:rightChars="100"/>
        <w:rPr>
          <w:rFonts w:hint="default" w:ascii="Times New Roman" w:hAnsi="Times New Roman" w:cs="Times New Roman"/>
          <w:sz w:val="24"/>
          <w:szCs w:val="24"/>
        </w:rPr>
      </w:pPr>
      <w:r>
        <w:rPr>
          <w:rFonts w:hint="default" w:ascii="Times New Roman" w:hAnsi="Times New Roman" w:cs="Times New Roman"/>
          <w:sz w:val="24"/>
          <w:szCs w:val="24"/>
        </w:rPr>
        <w:t xml:space="preserve">MANTOAN, Maria Teresa Eglér. </w:t>
      </w:r>
      <w:r>
        <w:rPr>
          <w:rFonts w:hint="default" w:ascii="Times New Roman" w:hAnsi="Times New Roman" w:cs="Times New Roman"/>
          <w:b/>
          <w:bCs/>
          <w:i/>
          <w:iCs/>
          <w:sz w:val="24"/>
          <w:szCs w:val="24"/>
        </w:rPr>
        <w:t>Inclusão escolar - O que é? Por quê</w:t>
      </w:r>
      <w:r>
        <w:rPr>
          <w:rFonts w:hint="default" w:ascii="Times New Roman" w:hAnsi="Times New Roman" w:cs="Times New Roman"/>
          <w:b/>
          <w:bCs/>
          <w:sz w:val="24"/>
          <w:szCs w:val="24"/>
        </w:rPr>
        <w:t xml:space="preserve">? Como fazer? </w:t>
      </w:r>
      <w:r>
        <w:rPr>
          <w:rFonts w:hint="default" w:ascii="Times New Roman" w:hAnsi="Times New Roman" w:cs="Times New Roman"/>
          <w:sz w:val="24"/>
          <w:szCs w:val="24"/>
        </w:rPr>
        <w:t xml:space="preserve"> São Paulo: Summus, 2015.</w:t>
      </w:r>
    </w:p>
    <w:p w14:paraId="77458E11">
      <w:pPr>
        <w:keepNext w:val="0"/>
        <w:keepLines w:val="0"/>
        <w:pageBreakBefore w:val="0"/>
        <w:widowControl/>
        <w:kinsoku/>
        <w:wordWrap/>
        <w:overflowPunct/>
        <w:topLinePunct w:val="0"/>
        <w:autoSpaceDE/>
        <w:autoSpaceDN/>
        <w:bidi w:val="0"/>
        <w:adjustRightInd/>
        <w:snapToGrid/>
        <w:spacing w:line="240" w:lineRule="auto"/>
        <w:ind w:right="220" w:rightChars="10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MINAYO, Maria Cecília de Souza. </w:t>
      </w:r>
      <w:r>
        <w:rPr>
          <w:rFonts w:hint="default" w:ascii="Times New Roman" w:hAnsi="Times New Roman" w:cs="Times New Roman"/>
          <w:i/>
          <w:iCs/>
          <w:sz w:val="24"/>
          <w:szCs w:val="24"/>
        </w:rPr>
        <w:t xml:space="preserve">O desafio do conhecimento: pesquisa qualitativa em </w:t>
      </w:r>
      <w:bookmarkStart w:id="1" w:name="_GoBack"/>
      <w:bookmarkEnd w:id="1"/>
      <w:r>
        <w:rPr>
          <w:rFonts w:hint="default" w:ascii="Times New Roman" w:hAnsi="Times New Roman" w:cs="Times New Roman"/>
          <w:i/>
          <w:iCs/>
          <w:sz w:val="24"/>
          <w:szCs w:val="24"/>
        </w:rPr>
        <w:t>saúde</w:t>
      </w:r>
      <w:r>
        <w:rPr>
          <w:rFonts w:hint="default" w:ascii="Times New Roman" w:hAnsi="Times New Roman" w:cs="Times New Roman"/>
          <w:sz w:val="24"/>
          <w:szCs w:val="24"/>
        </w:rPr>
        <w:t>. 14. ed. São Paulo: Hucitec, 2016.</w:t>
      </w:r>
    </w:p>
    <w:p w14:paraId="5C753D85">
      <w:pPr>
        <w:keepNext w:val="0"/>
        <w:keepLines w:val="0"/>
        <w:pageBreakBefore w:val="0"/>
        <w:widowControl/>
        <w:kinsoku/>
        <w:wordWrap/>
        <w:overflowPunct/>
        <w:topLinePunct w:val="0"/>
        <w:autoSpaceDE/>
        <w:autoSpaceDN/>
        <w:bidi w:val="0"/>
        <w:adjustRightInd/>
        <w:snapToGrid/>
        <w:spacing w:line="240" w:lineRule="auto"/>
        <w:ind w:right="220" w:rightChars="100"/>
        <w:textAlignment w:val="auto"/>
        <w:rPr>
          <w:rFonts w:hint="default" w:ascii="Times New Roman" w:hAnsi="Times New Roman" w:cs="Times New Roman"/>
          <w:sz w:val="24"/>
          <w:szCs w:val="24"/>
        </w:rPr>
      </w:pPr>
      <w:r>
        <w:rPr>
          <w:rFonts w:hint="default" w:ascii="Times New Roman" w:hAnsi="Times New Roman" w:cs="Times New Roman"/>
          <w:sz w:val="24"/>
          <w:szCs w:val="24"/>
        </w:rPr>
        <w:t>MORIN, Edgar. Os sete saberes necessarios à educação do futuro. Tradução de Catarina Eleonora F. da Silva e Jeanne Sowaya; revisaõ técnica de Edgar de Assis Carvalho. 2 ed. Rev. - São Paulo: Cortez; Brasilia, DF: UNESCO, 2011.</w:t>
      </w:r>
    </w:p>
    <w:p w14:paraId="7F567F74">
      <w:pPr>
        <w:keepNext w:val="0"/>
        <w:keepLines w:val="0"/>
        <w:pageBreakBefore w:val="0"/>
        <w:widowControl/>
        <w:kinsoku/>
        <w:wordWrap/>
        <w:overflowPunct/>
        <w:topLinePunct w:val="0"/>
        <w:autoSpaceDE/>
        <w:autoSpaceDN/>
        <w:bidi w:val="0"/>
        <w:adjustRightInd/>
        <w:snapToGrid/>
        <w:spacing w:line="240" w:lineRule="auto"/>
        <w:ind w:right="220" w:rightChars="100"/>
        <w:textAlignment w:val="auto"/>
        <w:rPr>
          <w:rFonts w:hint="default" w:ascii="Times New Roman" w:hAnsi="Times New Roman" w:cs="Times New Roman"/>
          <w:sz w:val="24"/>
          <w:szCs w:val="24"/>
        </w:rPr>
      </w:pPr>
      <w:r>
        <w:rPr>
          <w:rFonts w:hint="default" w:ascii="Times New Roman" w:hAnsi="Times New Roman" w:cs="Times New Roman"/>
          <w:sz w:val="24"/>
          <w:szCs w:val="24"/>
        </w:rPr>
        <w:t>SASSAKI, Romeu Kazumi. Inclusão./</w:t>
      </w:r>
      <w:r>
        <w:rPr>
          <w:rFonts w:hint="default" w:ascii="Times New Roman" w:hAnsi="Times New Roman" w:cs="Times New Roman"/>
          <w:b/>
          <w:bCs/>
          <w:sz w:val="24"/>
          <w:szCs w:val="24"/>
        </w:rPr>
        <w:t>Construindo uma sociedade para todos</w:t>
      </w:r>
      <w:r>
        <w:rPr>
          <w:rFonts w:hint="default" w:ascii="Times New Roman" w:hAnsi="Times New Roman" w:cs="Times New Roman"/>
          <w:sz w:val="24"/>
          <w:szCs w:val="24"/>
        </w:rPr>
        <w:t>. 5ª Edição. Rio de Janeiro: WVA, 1997. Rio de Janeiro.</w:t>
      </w:r>
    </w:p>
    <w:sectPr>
      <w:pgSz w:w="11906" w:h="16838"/>
      <w:pgMar w:top="1417" w:right="1405" w:bottom="1417"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SimHei">
    <w:altName w:val="SimSun"/>
    <w:panose1 w:val="02010609060101010101"/>
    <w:charset w:val="86"/>
    <w:family w:val="modern"/>
    <w:pitch w:val="default"/>
    <w:sig w:usb0="800002BF" w:usb1="38CF7CFA" w:usb2="00000016" w:usb3="00000000" w:csb0="00040001" w:csb1="00000000"/>
  </w:font>
  <w:font w:name="Calibri">
    <w:panose1 w:val="020F0502020204030204"/>
    <w:charset w:val="00"/>
    <w:family w:val="swiss"/>
    <w:pitch w:val="default"/>
    <w:sig w:usb0="E4002EFF" w:usb1="C2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documentProtection w:enforcement="0"/>
  <w:defaultTabStop w:val="708"/>
  <w:hyphenationZone w:val="425"/>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4BAF"/>
    <w:rsid w:val="002A7BCE"/>
    <w:rsid w:val="002B2852"/>
    <w:rsid w:val="00334414"/>
    <w:rsid w:val="00342DF4"/>
    <w:rsid w:val="003B3E13"/>
    <w:rsid w:val="003D7680"/>
    <w:rsid w:val="00660186"/>
    <w:rsid w:val="00773D54"/>
    <w:rsid w:val="008240A8"/>
    <w:rsid w:val="00941F25"/>
    <w:rsid w:val="009B4014"/>
    <w:rsid w:val="00A463B5"/>
    <w:rsid w:val="00CB3FEB"/>
    <w:rsid w:val="00CB69AC"/>
    <w:rsid w:val="00DC79A8"/>
    <w:rsid w:val="00DE1E65"/>
    <w:rsid w:val="00E64BAF"/>
    <w:rsid w:val="00F955F0"/>
    <w:rsid w:val="04C013D2"/>
    <w:rsid w:val="0579713E"/>
    <w:rsid w:val="094B3626"/>
    <w:rsid w:val="14820B68"/>
    <w:rsid w:val="21007C0B"/>
    <w:rsid w:val="26546BCE"/>
    <w:rsid w:val="3D3424F1"/>
    <w:rsid w:val="400069B2"/>
    <w:rsid w:val="4B9F46DE"/>
    <w:rsid w:val="53396480"/>
    <w:rsid w:val="5EF710D6"/>
    <w:rsid w:val="67694F1B"/>
    <w:rsid w:val="75B904D6"/>
    <w:rsid w:val="798E326B"/>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pt-BR" w:eastAsia="en-US" w:bidi="ar-SA"/>
    </w:rPr>
  </w:style>
  <w:style w:type="paragraph" w:styleId="2">
    <w:name w:val="heading 3"/>
    <w:next w:val="1"/>
    <w:semiHidden/>
    <w:unhideWhenUsed/>
    <w:qFormat/>
    <w:uiPriority w:val="9"/>
    <w:pPr>
      <w:spacing w:beforeAutospacing="1" w:afterAutospacing="1"/>
      <w:outlineLvl w:val="2"/>
    </w:pPr>
    <w:rPr>
      <w:rFonts w:hint="eastAsia" w:ascii="SimSun" w:hAnsi="SimSun" w:eastAsia="SimSun" w:cs="Times New Roman"/>
      <w:b/>
      <w:bCs/>
      <w:sz w:val="26"/>
      <w:szCs w:val="26"/>
      <w:lang w:val="en-US" w:eastAsia="zh-CN" w:bidi="ar-SA"/>
    </w:rPr>
  </w:style>
  <w:style w:type="character" w:default="1" w:styleId="3">
    <w:name w:val="Default Paragraph Font"/>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character" w:styleId="5">
    <w:name w:val="Hyperlink"/>
    <w:basedOn w:val="3"/>
    <w:unhideWhenUsed/>
    <w:qFormat/>
    <w:uiPriority w:val="99"/>
    <w:rPr>
      <w:color w:val="0563C1" w:themeColor="hyperlink"/>
      <w:u w:val="single"/>
      <w14:textFill>
        <w14:solidFill>
          <w14:schemeClr w14:val="hlink"/>
        </w14:solidFill>
      </w14:textFill>
    </w:rPr>
  </w:style>
  <w:style w:type="paragraph" w:styleId="6">
    <w:name w:val="Normal (Web)"/>
    <w:semiHidden/>
    <w:unhideWhenUsed/>
    <w:qFormat/>
    <w:uiPriority w:val="99"/>
    <w:pPr>
      <w:spacing w:beforeAutospacing="1" w:afterAutospacing="1"/>
    </w:pPr>
    <w:rPr>
      <w:rFonts w:ascii="Times New Roman" w:hAnsi="Times New Roman" w:eastAsia="SimSun" w:cs="Times New Roman"/>
      <w:szCs w:val="24"/>
      <w:lang w:val="en-US" w:eastAsia="zh-CN" w:bidi="ar-SA"/>
    </w:rPr>
  </w:style>
  <w:style w:type="paragraph" w:styleId="7">
    <w:name w:val="toc 1"/>
    <w:basedOn w:val="1"/>
    <w:next w:val="1"/>
    <w:autoRedefine/>
    <w:qFormat/>
    <w:uiPriority w:val="39"/>
    <w:pPr>
      <w:tabs>
        <w:tab w:val="right" w:leader="dot" w:pos="9202"/>
      </w:tabs>
      <w:spacing w:before="120" w:after="120" w:line="360" w:lineRule="auto"/>
    </w:pPr>
    <w:rPr>
      <w:rFonts w:ascii="Times New Roman" w:hAnsi="Times New Roman" w:eastAsia="Calibri" w:cstheme="minorHAnsi"/>
      <w:b/>
      <w:bCs/>
      <w:caps/>
      <w:sz w:val="24"/>
      <w:szCs w:val="20"/>
    </w:rPr>
  </w:style>
  <w:style w:type="character" w:customStyle="1" w:styleId="8">
    <w:name w:val="Unresolved Mention"/>
    <w:basedOn w:val="3"/>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2351</Words>
  <Characters>12699</Characters>
  <Lines>105</Lines>
  <Paragraphs>30</Paragraphs>
  <TotalTime>14</TotalTime>
  <ScaleCrop>false</ScaleCrop>
  <LinksUpToDate>false</LinksUpToDate>
  <CharactersWithSpaces>15020</CharactersWithSpaces>
  <Application>WPS Office_12.2.0.22549_F1E327BC-269C-435d-A152-05C5408002CA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2025-09-09T22:45:00Z</dcterms:created>
  <dc:creator>Conta da Microsoft</dc:creator>
  <cp:lastModifiedBy>Cirlei Dias</cp:lastModifiedBy>
  <dcterms:modified xsi:type="dcterms:W3CDTF">2025-09-18T14:35:27Z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1046-12.2.0.22549</vt:lpwstr>
  </property>
  <property fmtid="{D5CDD505-2E9C-101B-9397-08002B2CF9AE}" pid="3" name="ICV">
    <vt:lpwstr>D3A7A40AC898464EAB39D92BDE195D92_13</vt:lpwstr>
  </property>
</Properties>
</file>