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E2811" w:rsidRPr="00FB252A" w:rsidRDefault="006E2811" w:rsidP="006E2811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E2811" w:rsidRPr="00780E5B" w:rsidRDefault="000971D3" w:rsidP="006E2811">
      <w:pPr>
        <w:spacing w:after="120"/>
        <w:ind w:left="709" w:right="665"/>
        <w:jc w:val="center"/>
        <w:rPr>
          <w:sz w:val="22"/>
          <w:szCs w:val="22"/>
          <w:vertAlign w:val="superscript"/>
        </w:rPr>
      </w:pPr>
      <w:r w:rsidRPr="00796AEB">
        <w:rPr>
          <w:b/>
          <w:color w:val="000000" w:themeColor="text1"/>
        </w:rPr>
        <w:t>RESOLUTIVIDADE DE ACIDENTES E COMPLICAÇÕES DURANTE O TRATAMENTO ENDODÔNTICO – RELATO DE CASO</w:t>
      </w:r>
      <w:r w:rsidR="00780E5B">
        <w:rPr>
          <w:b/>
          <w:color w:val="000000" w:themeColor="text1"/>
          <w:sz w:val="22"/>
          <w:szCs w:val="22"/>
          <w:vertAlign w:val="superscript"/>
        </w:rPr>
        <w:t>1</w:t>
      </w:r>
    </w:p>
    <w:p w:rsidR="00FB252A" w:rsidRDefault="00FB252A" w:rsidP="00FB252A">
      <w:pPr>
        <w:jc w:val="right"/>
        <w:rPr>
          <w:rFonts w:ascii="Cambria" w:hAnsi="Cambria" w:cstheme="minorHAnsi"/>
          <w:sz w:val="22"/>
          <w:szCs w:val="22"/>
        </w:rPr>
      </w:pPr>
    </w:p>
    <w:p w:rsidR="00FB252A" w:rsidRPr="00780E5B" w:rsidRDefault="00FB252A" w:rsidP="000971D3">
      <w:pPr>
        <w:jc w:val="right"/>
        <w:rPr>
          <w:rFonts w:asciiTheme="minorHAnsi" w:hAnsiTheme="minorHAnsi" w:cstheme="minorHAnsi"/>
          <w:b/>
          <w:sz w:val="22"/>
          <w:szCs w:val="22"/>
          <w:vertAlign w:val="superscript"/>
        </w:rPr>
      </w:pPr>
      <w:r w:rsidRPr="00D134EF">
        <w:rPr>
          <w:rFonts w:asciiTheme="minorHAnsi" w:hAnsiTheme="minorHAnsi" w:cstheme="minorHAnsi"/>
          <w:color w:val="FF0000"/>
          <w:sz w:val="22"/>
          <w:szCs w:val="22"/>
        </w:rPr>
        <w:br/>
      </w:r>
      <w:r w:rsidR="000971D3">
        <w:rPr>
          <w:rFonts w:asciiTheme="minorHAnsi" w:hAnsiTheme="minorHAnsi" w:cstheme="minorHAnsi"/>
          <w:b/>
          <w:sz w:val="22"/>
          <w:szCs w:val="22"/>
        </w:rPr>
        <w:t>Luma Giovanna Ribeiro do SANTOS</w:t>
      </w:r>
      <w:r w:rsidR="00780E5B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</w:p>
    <w:p w:rsidR="00A23663" w:rsidRPr="00780E5B" w:rsidRDefault="00A23663" w:rsidP="000971D3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  <w:vertAlign w:val="superscript"/>
        </w:rPr>
      </w:pPr>
      <w:r>
        <w:rPr>
          <w:rFonts w:asciiTheme="minorHAnsi" w:hAnsiTheme="minorHAnsi" w:cstheme="minorHAnsi"/>
          <w:b/>
          <w:sz w:val="22"/>
          <w:szCs w:val="22"/>
        </w:rPr>
        <w:t>Maria Lívina Freitas MELO</w:t>
      </w:r>
      <w:r w:rsidR="00780E5B">
        <w:rPr>
          <w:rFonts w:asciiTheme="minorHAnsi" w:hAnsiTheme="minorHAnsi" w:cstheme="minorHAnsi"/>
          <w:b/>
          <w:sz w:val="22"/>
          <w:szCs w:val="22"/>
          <w:vertAlign w:val="superscript"/>
        </w:rPr>
        <w:t>3</w:t>
      </w:r>
    </w:p>
    <w:p w:rsidR="00FB252A" w:rsidRPr="00780E5B" w:rsidRDefault="000971D3" w:rsidP="00FB252A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  <w:vertAlign w:val="superscript"/>
        </w:rPr>
      </w:pPr>
      <w:r>
        <w:rPr>
          <w:rFonts w:asciiTheme="minorHAnsi" w:hAnsiTheme="minorHAnsi" w:cstheme="minorHAnsi"/>
          <w:b/>
          <w:sz w:val="22"/>
          <w:szCs w:val="22"/>
        </w:rPr>
        <w:t>Markelane Santana SILVA</w:t>
      </w:r>
      <w:r w:rsidR="00780E5B">
        <w:rPr>
          <w:rFonts w:asciiTheme="minorHAnsi" w:hAnsiTheme="minorHAnsi" w:cstheme="minorHAnsi"/>
          <w:b/>
          <w:sz w:val="22"/>
          <w:szCs w:val="22"/>
          <w:vertAlign w:val="superscript"/>
        </w:rPr>
        <w:t>4</w:t>
      </w:r>
    </w:p>
    <w:p w:rsidR="00FB252A" w:rsidRPr="00FB252A" w:rsidRDefault="00FB252A" w:rsidP="006E2811">
      <w:pPr>
        <w:spacing w:after="120"/>
        <w:ind w:left="709" w:right="665"/>
        <w:jc w:val="center"/>
        <w:rPr>
          <w:rFonts w:asciiTheme="minorHAnsi" w:hAnsiTheme="minorHAnsi" w:cstheme="minorHAnsi"/>
        </w:rPr>
      </w:pPr>
    </w:p>
    <w:p w:rsidR="00FB252A" w:rsidRPr="00E856D2" w:rsidRDefault="00FB252A" w:rsidP="00FB252A">
      <w:pPr>
        <w:spacing w:after="120"/>
        <w:ind w:right="665"/>
        <w:jc w:val="both"/>
        <w:rPr>
          <w:b/>
        </w:rPr>
      </w:pPr>
      <w:r w:rsidRPr="00E856D2">
        <w:rPr>
          <w:b/>
        </w:rPr>
        <w:t>RESUMO</w:t>
      </w:r>
    </w:p>
    <w:p w:rsidR="004A41E1" w:rsidRPr="00E856D2" w:rsidRDefault="00A93FE6" w:rsidP="00FB252A">
      <w:pPr>
        <w:spacing w:after="120"/>
        <w:ind w:right="665"/>
        <w:jc w:val="both"/>
      </w:pPr>
      <w:r w:rsidRPr="00E856D2">
        <w:rPr>
          <w:b/>
        </w:rPr>
        <w:t>INTRODUÇÃO</w:t>
      </w:r>
      <w:r w:rsidRPr="00E856D2">
        <w:t>:</w:t>
      </w:r>
      <w:r w:rsidR="00FB252A" w:rsidRPr="00E856D2">
        <w:t xml:space="preserve"> </w:t>
      </w:r>
      <w:r w:rsidR="00024128" w:rsidRPr="00E856D2">
        <w:rPr>
          <w:color w:val="000000" w:themeColor="text1"/>
        </w:rPr>
        <w:t>A formação de degraus durante o tratamento endodôntico dificulta a instrumentação e pode comprometer o selamento do canal. Este relato de caso demonstra resolutividade clínica diante dessa intercorrência, destacando a importância da técnica e do manejo adequado.</w:t>
      </w:r>
      <w:r w:rsidR="00780E5B">
        <w:rPr>
          <w:color w:val="000000" w:themeColor="text1"/>
        </w:rPr>
        <w:t xml:space="preserve"> </w:t>
      </w:r>
      <w:r w:rsidR="00024128" w:rsidRPr="00E856D2">
        <w:rPr>
          <w:b/>
        </w:rPr>
        <w:t xml:space="preserve">RELATO DE CASO: </w:t>
      </w:r>
      <w:r w:rsidR="00024128" w:rsidRPr="00E856D2">
        <w:t>Paciente do sexo fe</w:t>
      </w:r>
      <w:r w:rsidR="00A24422" w:rsidRPr="00E856D2">
        <w:t>minino, 58</w:t>
      </w:r>
      <w:proofErr w:type="gramStart"/>
      <w:r w:rsidR="00A24422" w:rsidRPr="00E856D2">
        <w:t xml:space="preserve"> </w:t>
      </w:r>
      <w:r w:rsidR="00780E5B">
        <w:t xml:space="preserve"> </w:t>
      </w:r>
      <w:proofErr w:type="gramEnd"/>
      <w:r w:rsidR="00A24422" w:rsidRPr="00E856D2">
        <w:t xml:space="preserve">anos, </w:t>
      </w:r>
      <w:r w:rsidR="00A41DB9" w:rsidRPr="00E856D2">
        <w:t xml:space="preserve">compareceu ao atendimento apresentando dor espontânea e persistente no elemento </w:t>
      </w:r>
      <w:r w:rsidR="00024128" w:rsidRPr="00E856D2">
        <w:t>32</w:t>
      </w:r>
      <w:r w:rsidR="00A24422" w:rsidRPr="00E856D2">
        <w:t>, realizou tomada radiográfica no referido de</w:t>
      </w:r>
      <w:r w:rsidR="00A23663" w:rsidRPr="00E856D2">
        <w:t>nte,</w:t>
      </w:r>
      <w:r w:rsidR="00A24422" w:rsidRPr="00E856D2">
        <w:t xml:space="preserve"> testes de palpação e percussão com resposta positiva e ao teste frio com gás refrigerante à resposta foi d</w:t>
      </w:r>
      <w:r w:rsidR="00780E5B">
        <w:t>e alivio. O diagnó</w:t>
      </w:r>
      <w:r w:rsidR="00A41DB9" w:rsidRPr="00E856D2">
        <w:t>stico</w:t>
      </w:r>
      <w:r w:rsidR="00A24422" w:rsidRPr="00E856D2">
        <w:t xml:space="preserve"> foi de pulpite irreversível sintomática</w:t>
      </w:r>
      <w:r w:rsidR="002C1DEF" w:rsidRPr="00E856D2">
        <w:t>. T</w:t>
      </w:r>
      <w:r w:rsidR="00A24422" w:rsidRPr="00E856D2">
        <w:t>ratamento adequado de necropulpectomia</w:t>
      </w:r>
      <w:r w:rsidR="00A23663" w:rsidRPr="00E856D2">
        <w:t>. Durante o preparo químico-mêcanico, com téc</w:t>
      </w:r>
      <w:r w:rsidR="00780E5B">
        <w:t>nica coroa-ápice, ocorreu à</w:t>
      </w:r>
      <w:r w:rsidR="00A23663" w:rsidRPr="00E856D2">
        <w:t xml:space="preserve"> formação de degrau no canal distal, dificultando a instrumentação até o comprimento de trabalho. Foi realizada reavaliação radiográfica, seguida de reinstrumentação cuidadosa, utilizando limas manuais com pré-curvatura e técnica de instrumentação progressiva. A irrigação foi feita com hipoclorito de sódio a 2,5%, alternando com EDTA </w:t>
      </w:r>
      <w:proofErr w:type="gramStart"/>
      <w:r w:rsidR="00A23663" w:rsidRPr="00E856D2">
        <w:t>à</w:t>
      </w:r>
      <w:proofErr w:type="gramEnd"/>
      <w:r w:rsidR="00A23663" w:rsidRPr="00E856D2">
        <w:t xml:space="preserve"> 17%, e foi realizada medicação intracanal com hidróxido de cálcio por 15 dias. Após controle clinico,</w:t>
      </w:r>
      <w:proofErr w:type="gramStart"/>
      <w:r w:rsidR="00A23663" w:rsidRPr="00E856D2">
        <w:t xml:space="preserve">  </w:t>
      </w:r>
      <w:proofErr w:type="gramEnd"/>
      <w:r w:rsidR="00A23663" w:rsidRPr="00E856D2">
        <w:t xml:space="preserve">e ausência de sintomatologia, procedeu-se à obturação por técnica de condensação lateral, utilizando cimento Bio-C Sealer, biocerâmico. </w:t>
      </w:r>
      <w:r w:rsidR="00A23663" w:rsidRPr="00E856D2">
        <w:rPr>
          <w:b/>
        </w:rPr>
        <w:t xml:space="preserve">CONSIDERAÇÕES </w:t>
      </w:r>
      <w:r w:rsidR="00A24422" w:rsidRPr="00E856D2">
        <w:rPr>
          <w:b/>
        </w:rPr>
        <w:t>FINAIS</w:t>
      </w:r>
      <w:r w:rsidR="00A24422" w:rsidRPr="00E856D2">
        <w:t>:</w:t>
      </w:r>
      <w:bookmarkStart w:id="0" w:name="_GoBack"/>
      <w:bookmarkEnd w:id="0"/>
      <w:r w:rsidR="00A24422" w:rsidRPr="00E856D2">
        <w:t xml:space="preserve"> A formação de degraus é uma complicação que pode compromete</w:t>
      </w:r>
      <w:r w:rsidR="004A41E1" w:rsidRPr="00E856D2">
        <w:t>r o sucesso do tratamento endodô</w:t>
      </w:r>
      <w:r w:rsidR="00780E5B">
        <w:t>ntico. No entanto, com diagnó</w:t>
      </w:r>
      <w:r w:rsidR="00A24422" w:rsidRPr="00E856D2">
        <w:t xml:space="preserve">stico preciso, </w:t>
      </w:r>
      <w:r w:rsidR="004A41E1" w:rsidRPr="00E856D2">
        <w:t>técnica</w:t>
      </w:r>
      <w:r w:rsidR="00A24422" w:rsidRPr="00E856D2">
        <w:t xml:space="preserve"> apurada e uso </w:t>
      </w:r>
      <w:r w:rsidR="004A41E1" w:rsidRPr="00E856D2">
        <w:t>adequado</w:t>
      </w:r>
      <w:r w:rsidR="00A24422" w:rsidRPr="00E856D2">
        <w:t xml:space="preserve"> de instrumentos, é </w:t>
      </w:r>
      <w:r w:rsidR="004A41E1" w:rsidRPr="00E856D2">
        <w:t>possível superar essa intercorrê</w:t>
      </w:r>
      <w:r w:rsidR="00A24422" w:rsidRPr="00E856D2">
        <w:t xml:space="preserve">ncia e obter o resultado clínico </w:t>
      </w:r>
      <w:r w:rsidR="00A23663" w:rsidRPr="00E856D2">
        <w:t>favorável</w:t>
      </w:r>
      <w:r w:rsidR="00A24422" w:rsidRPr="00E856D2">
        <w:t>, preservando a função e a integridade do dente.</w:t>
      </w:r>
    </w:p>
    <w:p w:rsidR="00A93FE6" w:rsidRDefault="004A41E1" w:rsidP="00FB252A">
      <w:pPr>
        <w:spacing w:after="120"/>
        <w:ind w:right="665"/>
        <w:jc w:val="both"/>
      </w:pPr>
      <w:r w:rsidRPr="00E856D2">
        <w:rPr>
          <w:b/>
        </w:rPr>
        <w:t xml:space="preserve"> </w:t>
      </w:r>
      <w:r w:rsidR="00A93FE6" w:rsidRPr="00E856D2">
        <w:rPr>
          <w:b/>
        </w:rPr>
        <w:t>Descritores</w:t>
      </w:r>
      <w:r w:rsidR="00A93FE6" w:rsidRPr="00E856D2">
        <w:t xml:space="preserve">: </w:t>
      </w:r>
      <w:r w:rsidR="00604CC9" w:rsidRPr="00E856D2">
        <w:t>Acidentes endodônticos</w:t>
      </w:r>
      <w:r w:rsidRPr="00E856D2">
        <w:t>. C</w:t>
      </w:r>
      <w:r w:rsidR="00604CC9" w:rsidRPr="00E856D2">
        <w:t>omplicações Atrogênicas. Instrumentação.</w:t>
      </w:r>
    </w:p>
    <w:p w:rsidR="00780E5B" w:rsidRDefault="00780E5B" w:rsidP="00FB252A">
      <w:pPr>
        <w:spacing w:after="120"/>
        <w:ind w:right="665"/>
        <w:jc w:val="both"/>
      </w:pPr>
    </w:p>
    <w:p w:rsidR="00780E5B" w:rsidRDefault="00780E5B" w:rsidP="00780E5B">
      <w:pPr>
        <w:spacing w:after="120"/>
        <w:ind w:right="665"/>
        <w:jc w:val="both"/>
      </w:pPr>
    </w:p>
    <w:p w:rsidR="00780E5B" w:rsidRDefault="00780E5B" w:rsidP="00780E5B">
      <w:pPr>
        <w:spacing w:after="120"/>
        <w:ind w:right="665"/>
        <w:jc w:val="both"/>
      </w:pPr>
    </w:p>
    <w:p w:rsidR="00780E5B" w:rsidRDefault="00780E5B" w:rsidP="00780E5B">
      <w:pPr>
        <w:spacing w:after="120"/>
        <w:ind w:right="665"/>
        <w:jc w:val="both"/>
      </w:pPr>
      <w:r>
        <w:t>_________________________</w:t>
      </w:r>
    </w:p>
    <w:p w:rsidR="00780E5B" w:rsidRPr="00C707F3" w:rsidRDefault="00780E5B" w:rsidP="00780E5B">
      <w:pPr>
        <w:pStyle w:val="Textodenotaderodap"/>
      </w:pPr>
      <w:r w:rsidRPr="00C707F3">
        <w:rPr>
          <w:rStyle w:val="Refdenotaderodap"/>
        </w:rPr>
        <w:footnoteRef/>
      </w:r>
      <w:r w:rsidRPr="00C707F3">
        <w:t xml:space="preserve"> Trabalho apresentado na V Jornada Acadêmica de Odontologia (JAO), promovida pelo Centro Universitário Santo Agostinho, nos dias 29 e 30 de maio de 2025.</w:t>
      </w:r>
    </w:p>
    <w:p w:rsidR="00780E5B" w:rsidRPr="00C707F3" w:rsidRDefault="00780E5B" w:rsidP="00780E5B">
      <w:pPr>
        <w:pStyle w:val="Textodenotaderodap"/>
        <w:jc w:val="both"/>
      </w:pPr>
      <w:r>
        <w:rPr>
          <w:rStyle w:val="Refdenotaderodap"/>
        </w:rPr>
        <w:t>2</w:t>
      </w:r>
      <w:r w:rsidRPr="00C707F3">
        <w:t>Autor</w:t>
      </w:r>
      <w:r>
        <w:t xml:space="preserve">. Estudante do curso de graduação em Odontologia no </w:t>
      </w:r>
      <w:r w:rsidRPr="00C707F3">
        <w:t>Centro Universitário Santo Agostinho (UNIFSA)</w:t>
      </w:r>
      <w:r w:rsidRPr="00C707F3">
        <w:rPr>
          <w:iCs/>
        </w:rPr>
        <w:t>.</w:t>
      </w:r>
      <w:r w:rsidRPr="00C707F3">
        <w:t xml:space="preserve">  </w:t>
      </w:r>
    </w:p>
    <w:p w:rsidR="00780E5B" w:rsidRPr="00C707F3" w:rsidRDefault="00780E5B" w:rsidP="00780E5B">
      <w:pPr>
        <w:pStyle w:val="Textodenotaderodap"/>
        <w:jc w:val="both"/>
      </w:pPr>
      <w:r>
        <w:rPr>
          <w:rStyle w:val="Refdenotaderodap"/>
        </w:rPr>
        <w:t>3</w:t>
      </w:r>
      <w:r w:rsidRPr="00C707F3">
        <w:t xml:space="preserve"> Autor</w:t>
      </w:r>
      <w:r>
        <w:t xml:space="preserve">. Estudante do curso de graduação em Odontologia no </w:t>
      </w:r>
      <w:r w:rsidRPr="00C707F3">
        <w:t>Centro Universitário Santo Agostinho (UNIFSA)</w:t>
      </w:r>
      <w:r w:rsidRPr="00C707F3">
        <w:rPr>
          <w:iCs/>
        </w:rPr>
        <w:t>.</w:t>
      </w:r>
      <w:r w:rsidRPr="00C707F3">
        <w:t xml:space="preserve">   </w:t>
      </w:r>
    </w:p>
    <w:p w:rsidR="00780E5B" w:rsidRPr="00C707F3" w:rsidRDefault="00780E5B" w:rsidP="00780E5B">
      <w:pPr>
        <w:pStyle w:val="Textodenotaderodap"/>
        <w:jc w:val="both"/>
      </w:pPr>
      <w:r>
        <w:rPr>
          <w:rStyle w:val="Refdenotaderodap"/>
        </w:rPr>
        <w:t>4</w:t>
      </w:r>
      <w:r w:rsidRPr="00C707F3">
        <w:t xml:space="preserve"> Graduada em Odontologia </w:t>
      </w:r>
      <w:r>
        <w:t>pela Universidade Estadual do Piauí (2014). Mestre em Odontologia pela Universidade Federal do Piauí (2017</w:t>
      </w:r>
      <w:r w:rsidRPr="00C707F3">
        <w:t>)</w:t>
      </w:r>
      <w:r>
        <w:t>.</w:t>
      </w:r>
      <w:r w:rsidRPr="00C707F3">
        <w:t xml:space="preserve"> </w:t>
      </w:r>
      <w:r>
        <w:t>Especialista em Endodontia pela Associação Brasileira de Odontologia (2029). Professora do Centro Universitário Santo Agostinho (UNIFSA). Orientadora da Pesquisa.</w:t>
      </w:r>
    </w:p>
    <w:p w:rsidR="00780E5B" w:rsidRPr="00E856D2" w:rsidRDefault="00780E5B" w:rsidP="00FB252A">
      <w:pPr>
        <w:spacing w:after="120"/>
        <w:ind w:right="665"/>
        <w:jc w:val="both"/>
      </w:pPr>
    </w:p>
    <w:p w:rsidR="00A93FE6" w:rsidRPr="00796AEB" w:rsidRDefault="00A93FE6" w:rsidP="00167906">
      <w:pPr>
        <w:jc w:val="both"/>
        <w:rPr>
          <w:rFonts w:ascii="Arial" w:hAnsi="Arial" w:cs="Arial"/>
          <w:color w:val="000000" w:themeColor="text1"/>
        </w:rPr>
      </w:pPr>
    </w:p>
    <w:p w:rsidR="00167906" w:rsidRPr="00796AEB" w:rsidRDefault="00167906" w:rsidP="00167906">
      <w:pPr>
        <w:jc w:val="center"/>
        <w:rPr>
          <w:rFonts w:ascii="Arial" w:hAnsi="Arial" w:cs="Arial"/>
          <w:b/>
          <w:color w:val="000000" w:themeColor="text1"/>
        </w:rPr>
      </w:pPr>
    </w:p>
    <w:p w:rsidR="00BD3669" w:rsidRPr="00796AEB" w:rsidRDefault="00BD3669" w:rsidP="00BD3669">
      <w:pPr>
        <w:spacing w:line="360" w:lineRule="auto"/>
        <w:jc w:val="both"/>
        <w:rPr>
          <w:rFonts w:ascii="Arial" w:hAnsi="Arial" w:cs="Arial"/>
        </w:rPr>
      </w:pPr>
    </w:p>
    <w:sectPr w:rsidR="00BD3669" w:rsidRPr="00796AEB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E16" w:rsidRDefault="005D3E16" w:rsidP="00D479CD">
      <w:r>
        <w:separator/>
      </w:r>
    </w:p>
  </w:endnote>
  <w:endnote w:type="continuationSeparator" w:id="0">
    <w:p w:rsidR="005D3E16" w:rsidRDefault="005D3E16" w:rsidP="00D47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margin" w:tblpXSpec="center" w:tblpYSpec="bottom"/>
      <w:tblW w:w="5000" w:type="pct"/>
      <w:tblLayout w:type="fixed"/>
      <w:tblLook w:val="04A0"/>
    </w:tblPr>
    <w:tblGrid>
      <w:gridCol w:w="7544"/>
      <w:gridCol w:w="1886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551EF2" w:rsidRPr="00256600" w:rsidRDefault="00AD4594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="00551EF2"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780E5B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:rsidR="00772246" w:rsidRDefault="0077224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E16" w:rsidRDefault="005D3E16" w:rsidP="00D479CD">
      <w:r>
        <w:separator/>
      </w:r>
    </w:p>
  </w:footnote>
  <w:footnote w:type="continuationSeparator" w:id="0">
    <w:p w:rsidR="005D3E16" w:rsidRDefault="005D3E16" w:rsidP="00D479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</w:rPr>
    </w:pPr>
  </w:p>
  <w:p w:rsidR="00772246" w:rsidRDefault="00772246" w:rsidP="0077224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32695"/>
    <w:rsid w:val="00015B2E"/>
    <w:rsid w:val="00017E0A"/>
    <w:rsid w:val="00024128"/>
    <w:rsid w:val="00032CFD"/>
    <w:rsid w:val="000341B9"/>
    <w:rsid w:val="00036CAB"/>
    <w:rsid w:val="0004719F"/>
    <w:rsid w:val="00052A0A"/>
    <w:rsid w:val="00057628"/>
    <w:rsid w:val="000772C8"/>
    <w:rsid w:val="00080594"/>
    <w:rsid w:val="00084E36"/>
    <w:rsid w:val="000971D3"/>
    <w:rsid w:val="00097A75"/>
    <w:rsid w:val="000A235A"/>
    <w:rsid w:val="000B4D4F"/>
    <w:rsid w:val="000C237C"/>
    <w:rsid w:val="000D3B0F"/>
    <w:rsid w:val="000E12B5"/>
    <w:rsid w:val="000E4A03"/>
    <w:rsid w:val="000E59B2"/>
    <w:rsid w:val="000E62E2"/>
    <w:rsid w:val="000F365D"/>
    <w:rsid w:val="000F39E8"/>
    <w:rsid w:val="00101C49"/>
    <w:rsid w:val="00106398"/>
    <w:rsid w:val="001141E4"/>
    <w:rsid w:val="00126A60"/>
    <w:rsid w:val="00131B09"/>
    <w:rsid w:val="00131C98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1DEF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87A48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A41E1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84AA5"/>
    <w:rsid w:val="00586872"/>
    <w:rsid w:val="005877F3"/>
    <w:rsid w:val="005A395B"/>
    <w:rsid w:val="005B01B6"/>
    <w:rsid w:val="005B34FB"/>
    <w:rsid w:val="005C013E"/>
    <w:rsid w:val="005D02EE"/>
    <w:rsid w:val="005D3E16"/>
    <w:rsid w:val="005D6BA0"/>
    <w:rsid w:val="005F2AE3"/>
    <w:rsid w:val="005F599F"/>
    <w:rsid w:val="005F5A2C"/>
    <w:rsid w:val="00601C54"/>
    <w:rsid w:val="006049A7"/>
    <w:rsid w:val="00604CC9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13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0E5B"/>
    <w:rsid w:val="007879B9"/>
    <w:rsid w:val="00793AF4"/>
    <w:rsid w:val="00796AEB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663"/>
    <w:rsid w:val="00A23CF7"/>
    <w:rsid w:val="00A24422"/>
    <w:rsid w:val="00A2495B"/>
    <w:rsid w:val="00A41DB9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D4594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56D2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EF1D6-5331-4E6E-A517-57825BB9D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1</TotalTime>
  <Pages>2</Pages>
  <Words>409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KAYLANE</cp:lastModifiedBy>
  <cp:revision>2</cp:revision>
  <cp:lastPrinted>2019-06-27T19:23:00Z</cp:lastPrinted>
  <dcterms:created xsi:type="dcterms:W3CDTF">2025-05-23T23:54:00Z</dcterms:created>
  <dcterms:modified xsi:type="dcterms:W3CDTF">2025-05-23T23:54:00Z</dcterms:modified>
</cp:coreProperties>
</file>