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3C3F" w14:textId="77777777" w:rsidR="00D33B09" w:rsidRDefault="00D33B09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41C204BE" w14:textId="653CB977" w:rsidR="002F4395" w:rsidRPr="00B95068" w:rsidRDefault="00862D83" w:rsidP="002F4395">
      <w:pPr>
        <w:spacing w:line="276" w:lineRule="auto"/>
        <w:jc w:val="center"/>
        <w:rPr>
          <w:rFonts w:ascii="Times" w:hAnsi="Times"/>
          <w:b/>
          <w:sz w:val="24"/>
          <w:szCs w:val="24"/>
          <w:lang w:val="en-US"/>
        </w:rPr>
      </w:pPr>
      <w:r>
        <w:rPr>
          <w:rFonts w:ascii="Times" w:hAnsi="Times"/>
          <w:b/>
          <w:sz w:val="24"/>
          <w:szCs w:val="24"/>
          <w:lang w:val="en-US"/>
        </w:rPr>
        <w:t>COMPARISON OF PHOTOSYNTHETIC CO</w:t>
      </w:r>
      <w:r w:rsidRPr="00862D83">
        <w:rPr>
          <w:rFonts w:ascii="Times" w:hAnsi="Times"/>
          <w:b/>
          <w:sz w:val="24"/>
          <w:szCs w:val="24"/>
          <w:vertAlign w:val="subscript"/>
          <w:lang w:val="en-US"/>
        </w:rPr>
        <w:t>2</w:t>
      </w:r>
      <w:r>
        <w:rPr>
          <w:rFonts w:ascii="Times" w:hAnsi="Times"/>
          <w:b/>
          <w:sz w:val="24"/>
          <w:szCs w:val="24"/>
          <w:lang w:val="en-US"/>
        </w:rPr>
        <w:t xml:space="preserve"> UPTAKE AND PHOTOSYSTEM II YIELD DURING DESICCATION OF LICHENS</w:t>
      </w:r>
    </w:p>
    <w:p w14:paraId="4B3CCE48" w14:textId="4AEB482D" w:rsidR="002F4395" w:rsidRPr="001C0D24" w:rsidRDefault="00E836E0" w:rsidP="002F4395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nb-NO"/>
        </w:rPr>
      </w:pPr>
      <w:r w:rsidRPr="001C0D24">
        <w:rPr>
          <w:rFonts w:ascii="Times" w:hAnsi="Times"/>
          <w:sz w:val="24"/>
          <w:szCs w:val="24"/>
          <w:lang w:val="nb-NO"/>
        </w:rPr>
        <w:t>Knut Asbjørn Solhaug</w:t>
      </w:r>
      <w:r w:rsidR="002F4395" w:rsidRPr="001C0D24">
        <w:rPr>
          <w:rFonts w:ascii="Times" w:hAnsi="Times"/>
          <w:sz w:val="24"/>
          <w:szCs w:val="24"/>
          <w:vertAlign w:val="superscript"/>
          <w:lang w:val="nb-NO"/>
        </w:rPr>
        <w:t>1</w:t>
      </w:r>
      <w:r w:rsidR="0041562C" w:rsidRPr="001C0D24">
        <w:rPr>
          <w:rFonts w:ascii="Times" w:hAnsi="Times"/>
          <w:sz w:val="24"/>
          <w:szCs w:val="24"/>
          <w:vertAlign w:val="superscript"/>
          <w:lang w:val="nb-NO"/>
        </w:rPr>
        <w:t>*</w:t>
      </w:r>
      <w:r w:rsidR="002F4395" w:rsidRPr="001C0D24">
        <w:rPr>
          <w:rFonts w:ascii="Times" w:hAnsi="Times"/>
          <w:sz w:val="24"/>
          <w:szCs w:val="24"/>
          <w:lang w:val="nb-NO"/>
        </w:rPr>
        <w:t xml:space="preserve">; </w:t>
      </w:r>
      <w:r w:rsidRPr="001C0D24">
        <w:rPr>
          <w:rFonts w:ascii="Times" w:hAnsi="Times"/>
          <w:sz w:val="24"/>
          <w:szCs w:val="24"/>
          <w:lang w:val="nb-NO"/>
        </w:rPr>
        <w:t>Yngvar Gauslaa</w:t>
      </w:r>
      <w:r w:rsidRPr="001C0D24">
        <w:rPr>
          <w:rFonts w:ascii="Times" w:hAnsi="Times"/>
          <w:sz w:val="24"/>
          <w:szCs w:val="24"/>
          <w:vertAlign w:val="superscript"/>
          <w:lang w:val="nb-NO"/>
        </w:rPr>
        <w:t>1</w:t>
      </w:r>
      <w:r w:rsidR="002F4395" w:rsidRPr="001C0D24">
        <w:rPr>
          <w:rFonts w:ascii="Times" w:hAnsi="Times"/>
          <w:sz w:val="24"/>
          <w:szCs w:val="24"/>
          <w:lang w:val="nb-NO"/>
        </w:rPr>
        <w:t xml:space="preserve">; </w:t>
      </w:r>
    </w:p>
    <w:p w14:paraId="76C27127" w14:textId="3B573D2A" w:rsidR="002F4395" w:rsidRPr="00E7764D" w:rsidRDefault="002F4395" w:rsidP="00FB4266">
      <w:pPr>
        <w:jc w:val="center"/>
        <w:rPr>
          <w:rStyle w:val="Hyperkobling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E7764D">
        <w:rPr>
          <w:rFonts w:ascii="Times" w:hAnsi="Times"/>
          <w:sz w:val="24"/>
          <w:szCs w:val="24"/>
          <w:vertAlign w:val="superscript"/>
          <w:lang w:val="en-US"/>
        </w:rPr>
        <w:t xml:space="preserve">1 </w:t>
      </w:r>
      <w:r w:rsidR="00E836E0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Norwegian University of Life Sciences, Norway</w:t>
      </w:r>
      <w:r w:rsidRPr="00E7764D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="0041562C" w:rsidRP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>*</w:t>
      </w:r>
      <w:r w:rsidR="0041562C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41562C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E-mail: </w:t>
      </w:r>
      <w:r w:rsidR="00E836E0">
        <w:rPr>
          <w:rFonts w:ascii="Times" w:hAnsi="Times"/>
          <w:color w:val="000000" w:themeColor="text1"/>
          <w:sz w:val="24"/>
          <w:szCs w:val="24"/>
          <w:lang w:val="en-US"/>
        </w:rPr>
        <w:t>knut.solhaug@nmbu.no</w:t>
      </w:r>
    </w:p>
    <w:p w14:paraId="1C7BCC92" w14:textId="77777777" w:rsidR="002F4395" w:rsidRPr="00B95068" w:rsidRDefault="002F4395" w:rsidP="002F4395">
      <w:pPr>
        <w:rPr>
          <w:rStyle w:val="Hyperkobling"/>
          <w:rFonts w:ascii="Times" w:hAnsi="Times"/>
          <w:sz w:val="24"/>
          <w:szCs w:val="24"/>
          <w:lang w:val="en-US"/>
        </w:rPr>
      </w:pPr>
    </w:p>
    <w:p w14:paraId="2C23843C" w14:textId="6961CE9C" w:rsidR="00805E14" w:rsidRPr="007E38FC" w:rsidRDefault="00E836E0" w:rsidP="007E3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72B4">
        <w:rPr>
          <w:rFonts w:ascii="Times New Roman" w:hAnsi="Times New Roman" w:cs="Times New Roman"/>
          <w:sz w:val="24"/>
          <w:szCs w:val="24"/>
        </w:rPr>
        <w:t>Lichens a</w:t>
      </w:r>
      <w:r w:rsidR="00E41C10">
        <w:rPr>
          <w:rFonts w:ascii="Times New Roman" w:hAnsi="Times New Roman" w:cs="Times New Roman"/>
          <w:sz w:val="24"/>
          <w:szCs w:val="24"/>
        </w:rPr>
        <w:t>s</w:t>
      </w:r>
      <w:r w:rsidRPr="000F72B4">
        <w:rPr>
          <w:rFonts w:ascii="Times New Roman" w:hAnsi="Times New Roman" w:cs="Times New Roman"/>
          <w:sz w:val="24"/>
          <w:szCs w:val="24"/>
        </w:rPr>
        <w:t xml:space="preserve"> symbiotic associations between a mycobiont and green alga</w:t>
      </w:r>
      <w:r w:rsidR="00E41C10">
        <w:rPr>
          <w:rFonts w:ascii="Times New Roman" w:hAnsi="Times New Roman" w:cs="Times New Roman"/>
          <w:sz w:val="24"/>
          <w:szCs w:val="24"/>
        </w:rPr>
        <w:t>l</w:t>
      </w:r>
      <w:r w:rsidRPr="000F72B4">
        <w:rPr>
          <w:rFonts w:ascii="Times New Roman" w:hAnsi="Times New Roman" w:cs="Times New Roman"/>
          <w:sz w:val="24"/>
          <w:szCs w:val="24"/>
        </w:rPr>
        <w:t xml:space="preserve"> and/or cyanobacteri</w:t>
      </w:r>
      <w:r w:rsidR="00E41C10">
        <w:rPr>
          <w:rFonts w:ascii="Times New Roman" w:hAnsi="Times New Roman" w:cs="Times New Roman"/>
          <w:sz w:val="24"/>
          <w:szCs w:val="24"/>
        </w:rPr>
        <w:t>al photobionts are poikilohydric organisms passively regulated by external water s</w:t>
      </w:r>
      <w:r w:rsidR="00486CDF">
        <w:rPr>
          <w:rFonts w:ascii="Times New Roman" w:hAnsi="Times New Roman" w:cs="Times New Roman"/>
          <w:sz w:val="24"/>
          <w:szCs w:val="24"/>
        </w:rPr>
        <w:t>ources</w:t>
      </w:r>
      <w:r w:rsidRPr="000F72B4">
        <w:rPr>
          <w:rFonts w:ascii="Times New Roman" w:hAnsi="Times New Roman" w:cs="Times New Roman"/>
          <w:sz w:val="24"/>
          <w:szCs w:val="24"/>
        </w:rPr>
        <w:t xml:space="preserve">. </w:t>
      </w:r>
      <w:r w:rsidR="00E41C10">
        <w:rPr>
          <w:rFonts w:ascii="Times New Roman" w:hAnsi="Times New Roman" w:cs="Times New Roman"/>
          <w:sz w:val="24"/>
          <w:szCs w:val="24"/>
        </w:rPr>
        <w:t>Classical</w:t>
      </w:r>
      <w:r w:rsidR="005F7A38" w:rsidRPr="000F72B4">
        <w:rPr>
          <w:rFonts w:ascii="Times New Roman" w:hAnsi="Times New Roman" w:cs="Times New Roman"/>
          <w:sz w:val="24"/>
          <w:szCs w:val="24"/>
        </w:rPr>
        <w:t xml:space="preserve"> studies by Prof. O.L. Lange </w:t>
      </w:r>
      <w:r w:rsidR="00E41C10">
        <w:rPr>
          <w:rFonts w:ascii="Times New Roman" w:hAnsi="Times New Roman" w:cs="Times New Roman"/>
          <w:sz w:val="24"/>
          <w:szCs w:val="24"/>
        </w:rPr>
        <w:t xml:space="preserve">showed </w:t>
      </w:r>
      <w:r w:rsidR="005F7A38" w:rsidRPr="000F72B4">
        <w:rPr>
          <w:rFonts w:ascii="Times New Roman" w:hAnsi="Times New Roman" w:cs="Times New Roman"/>
          <w:sz w:val="24"/>
          <w:szCs w:val="24"/>
        </w:rPr>
        <w:t>that</w:t>
      </w:r>
      <w:r w:rsidR="00E41C10">
        <w:rPr>
          <w:rFonts w:ascii="Times New Roman" w:hAnsi="Times New Roman" w:cs="Times New Roman"/>
          <w:sz w:val="24"/>
          <w:szCs w:val="24"/>
        </w:rPr>
        <w:t xml:space="preserve"> excess water </w:t>
      </w:r>
      <w:r w:rsidR="00486CDF">
        <w:rPr>
          <w:rFonts w:ascii="Times New Roman" w:hAnsi="Times New Roman" w:cs="Times New Roman"/>
          <w:sz w:val="24"/>
          <w:szCs w:val="24"/>
        </w:rPr>
        <w:t>often</w:t>
      </w:r>
      <w:r w:rsidR="00E41C10">
        <w:rPr>
          <w:rFonts w:ascii="Times New Roman" w:hAnsi="Times New Roman" w:cs="Times New Roman"/>
          <w:sz w:val="24"/>
          <w:szCs w:val="24"/>
        </w:rPr>
        <w:t xml:space="preserve"> limit</w:t>
      </w:r>
      <w:r w:rsidR="00486CDF">
        <w:rPr>
          <w:rFonts w:ascii="Times New Roman" w:hAnsi="Times New Roman" w:cs="Times New Roman"/>
          <w:sz w:val="24"/>
          <w:szCs w:val="24"/>
        </w:rPr>
        <w:t>s</w:t>
      </w:r>
      <w:r w:rsidR="005F7A38" w:rsidRPr="000F72B4">
        <w:rPr>
          <w:rFonts w:ascii="Times New Roman" w:hAnsi="Times New Roman" w:cs="Times New Roman"/>
          <w:sz w:val="24"/>
          <w:szCs w:val="24"/>
        </w:rPr>
        <w:t xml:space="preserve"> photosynthetic CO</w:t>
      </w:r>
      <w:r w:rsidR="005F7A38" w:rsidRPr="000F72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7A38" w:rsidRPr="000F72B4">
        <w:rPr>
          <w:rFonts w:ascii="Times New Roman" w:hAnsi="Times New Roman" w:cs="Times New Roman"/>
          <w:sz w:val="24"/>
          <w:szCs w:val="24"/>
        </w:rPr>
        <w:t xml:space="preserve"> uptake </w:t>
      </w:r>
      <w:r w:rsidR="00E41C10">
        <w:rPr>
          <w:rFonts w:ascii="Times New Roman" w:hAnsi="Times New Roman" w:cs="Times New Roman"/>
          <w:sz w:val="24"/>
          <w:szCs w:val="24"/>
        </w:rPr>
        <w:t xml:space="preserve">by </w:t>
      </w:r>
      <w:r w:rsidR="005F7A38" w:rsidRPr="000F72B4">
        <w:rPr>
          <w:rFonts w:ascii="Times New Roman" w:hAnsi="Times New Roman" w:cs="Times New Roman"/>
          <w:sz w:val="24"/>
          <w:szCs w:val="24"/>
        </w:rPr>
        <w:t>reduc</w:t>
      </w:r>
      <w:r w:rsidR="00E41C10">
        <w:rPr>
          <w:rFonts w:ascii="Times New Roman" w:hAnsi="Times New Roman" w:cs="Times New Roman"/>
          <w:sz w:val="24"/>
          <w:szCs w:val="24"/>
        </w:rPr>
        <w:t>ing</w:t>
      </w:r>
      <w:r w:rsidR="005F7A38" w:rsidRPr="000F72B4">
        <w:rPr>
          <w:rFonts w:ascii="Times New Roman" w:hAnsi="Times New Roman" w:cs="Times New Roman"/>
          <w:sz w:val="24"/>
          <w:szCs w:val="24"/>
        </w:rPr>
        <w:t xml:space="preserve"> CO</w:t>
      </w:r>
      <w:r w:rsidR="005F7A38" w:rsidRPr="000F72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F7A38" w:rsidRPr="000F72B4">
        <w:rPr>
          <w:rFonts w:ascii="Times New Roman" w:hAnsi="Times New Roman" w:cs="Times New Roman"/>
          <w:sz w:val="24"/>
          <w:szCs w:val="24"/>
        </w:rPr>
        <w:t xml:space="preserve"> diffusion rates. </w:t>
      </w:r>
      <w:r w:rsidR="00486CDF">
        <w:rPr>
          <w:rFonts w:ascii="Times New Roman" w:hAnsi="Times New Roman" w:cs="Times New Roman"/>
          <w:sz w:val="24"/>
          <w:szCs w:val="24"/>
        </w:rPr>
        <w:t>In theory, m</w:t>
      </w:r>
      <w:r w:rsidR="005F7A38" w:rsidRPr="000F72B4">
        <w:rPr>
          <w:rFonts w:ascii="Times New Roman" w:hAnsi="Times New Roman" w:cs="Times New Roman"/>
          <w:sz w:val="24"/>
          <w:szCs w:val="24"/>
        </w:rPr>
        <w:t>easurement of photosystem II yield in light (</w:t>
      </w:r>
      <w:r w:rsidR="000F72B4" w:rsidRPr="000F72B4">
        <w:rPr>
          <w:rFonts w:ascii="Times New Roman" w:eastAsiaTheme="minorEastAsia" w:hAnsi="Times New Roman" w:cs="Times New Roman"/>
          <w:sz w:val="24"/>
          <w:szCs w:val="24"/>
          <w:lang w:val="nb-NO"/>
        </w:rPr>
        <w:t>Φ</w:t>
      </w:r>
      <w:r w:rsidR="005F7A38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PSII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 xml:space="preserve">) can be used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E41C10">
        <w:rPr>
          <w:rFonts w:ascii="Times New Roman" w:hAnsi="Times New Roman" w:cs="Times New Roman"/>
          <w:sz w:val="24"/>
          <w:szCs w:val="24"/>
          <w:lang w:val="en-US"/>
        </w:rPr>
        <w:t xml:space="preserve">a proxy 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>of photosynthetic CO</w:t>
      </w:r>
      <w:r w:rsidR="0020171F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 xml:space="preserve"> uptake.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Here, t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 xml:space="preserve">halli of </w:t>
      </w:r>
      <w:r w:rsidR="0020171F" w:rsidRPr="000F72B4">
        <w:rPr>
          <w:rFonts w:ascii="Times New Roman" w:hAnsi="Times New Roman" w:cs="Times New Roman"/>
          <w:i/>
          <w:sz w:val="24"/>
          <w:szCs w:val="24"/>
          <w:lang w:val="en-US"/>
        </w:rPr>
        <w:t>Lobaria pulmonaria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0171F" w:rsidRPr="000F72B4">
        <w:rPr>
          <w:rFonts w:ascii="Times New Roman" w:hAnsi="Times New Roman" w:cs="Times New Roman"/>
          <w:i/>
          <w:sz w:val="24"/>
          <w:szCs w:val="24"/>
          <w:lang w:val="en-US"/>
        </w:rPr>
        <w:t>Parmelia sulcata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0171F" w:rsidRPr="000F72B4">
        <w:rPr>
          <w:rFonts w:ascii="Times New Roman" w:hAnsi="Times New Roman" w:cs="Times New Roman"/>
          <w:i/>
          <w:sz w:val="24"/>
          <w:szCs w:val="24"/>
          <w:lang w:val="en-US"/>
        </w:rPr>
        <w:t>Xanthoria aureola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 xml:space="preserve"> were sprayed with excess water and shaken carefully. Photosynthetic CO</w:t>
      </w:r>
      <w:r w:rsidR="0020171F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 xml:space="preserve"> uptake and </w:t>
      </w:r>
      <w:r w:rsidR="000F72B4" w:rsidRPr="000F72B4">
        <w:rPr>
          <w:rFonts w:ascii="Times New Roman" w:eastAsiaTheme="minorEastAsia" w:hAnsi="Times New Roman" w:cs="Times New Roman"/>
          <w:sz w:val="24"/>
          <w:szCs w:val="24"/>
          <w:lang w:val="nb-NO"/>
        </w:rPr>
        <w:t>Φ</w:t>
      </w:r>
      <w:r w:rsidR="0020171F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PSII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 xml:space="preserve"> were then measured simultaneously at 200 µmol photons m</w:t>
      </w:r>
      <w:r w:rsidR="0020171F" w:rsidRPr="000F72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20171F" w:rsidRPr="000F72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while drying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>. Afterwards</w:t>
      </w:r>
      <w:r w:rsidR="00E41C10">
        <w:rPr>
          <w:rFonts w:ascii="Times New Roman" w:hAnsi="Times New Roman" w:cs="Times New Roman"/>
          <w:sz w:val="24"/>
          <w:szCs w:val="24"/>
          <w:lang w:val="en-US"/>
        </w:rPr>
        <w:t>, wet</w:t>
      </w:r>
      <w:r w:rsidR="0020171F" w:rsidRPr="000F72B4">
        <w:rPr>
          <w:rFonts w:ascii="Times New Roman" w:hAnsi="Times New Roman" w:cs="Times New Roman"/>
          <w:sz w:val="24"/>
          <w:szCs w:val="24"/>
          <w:lang w:val="en-US"/>
        </w:rPr>
        <w:t xml:space="preserve"> thalli were dark adapted and Fv/Fm was measured in darkness until dryness.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For all species, p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>hotosynthetic CO</w:t>
      </w:r>
      <w:r w:rsidR="000F72B4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 xml:space="preserve"> uptake was maximal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 xml:space="preserve">a water </w:t>
      </w:r>
      <w:r w:rsidR="00E41C10">
        <w:rPr>
          <w:rFonts w:ascii="Times New Roman" w:hAnsi="Times New Roman" w:cs="Times New Roman"/>
          <w:sz w:val="24"/>
          <w:szCs w:val="24"/>
          <w:lang w:val="en-US"/>
        </w:rPr>
        <w:t xml:space="preserve">holding capacity (WHC) 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>corresponding to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 xml:space="preserve"> WHC</w:t>
      </w:r>
      <w:r w:rsidR="00486CDF" w:rsidRPr="001C0D2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blotting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, i.e., the hydration level achieved after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 xml:space="preserve"> remov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 xml:space="preserve"> external water by blotting paper (</w:t>
      </w:r>
      <w:r w:rsidR="00E41C10">
        <w:rPr>
          <w:rFonts w:ascii="Times New Roman" w:hAnsi="Times New Roman" w:cs="Times New Roman"/>
          <w:sz w:val="24"/>
          <w:szCs w:val="24"/>
          <w:lang w:val="en-US"/>
        </w:rPr>
        <w:t>WHC</w:t>
      </w:r>
      <w:r w:rsidR="00E41C10" w:rsidRPr="001C0D2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blotting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>). CO</w:t>
      </w:r>
      <w:r w:rsidR="000F72B4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 xml:space="preserve"> uptake and </w:t>
      </w:r>
      <w:r w:rsidR="000F72B4" w:rsidRPr="000F72B4">
        <w:rPr>
          <w:rFonts w:ascii="Times New Roman" w:eastAsiaTheme="minorEastAsia" w:hAnsi="Times New Roman" w:cs="Times New Roman"/>
          <w:sz w:val="24"/>
          <w:szCs w:val="24"/>
          <w:lang w:val="nb-NO"/>
        </w:rPr>
        <w:t>Φ</w:t>
      </w:r>
      <w:r w:rsidR="000F72B4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PSII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1C10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>highly correlated (r</w:t>
      </w:r>
      <w:r w:rsidR="000F72B4" w:rsidRPr="00CD756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 xml:space="preserve"> = 0.91-0.97)</w:t>
      </w:r>
      <w:r w:rsidR="00E41C10">
        <w:rPr>
          <w:rFonts w:ascii="Times New Roman" w:hAnsi="Times New Roman" w:cs="Times New Roman"/>
          <w:sz w:val="24"/>
          <w:szCs w:val="24"/>
          <w:lang w:val="en-US"/>
        </w:rPr>
        <w:t xml:space="preserve"> during drying at hydration levels below WHC</w:t>
      </w:r>
      <w:r w:rsidR="00E41C10" w:rsidRPr="001C0D2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blotting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but weakly correlated (r</w:t>
      </w:r>
      <w:r w:rsidR="00486CDF" w:rsidRPr="001C0D2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 xml:space="preserve">= 0.21-0.57) while supra-saturated </w:t>
      </w:r>
      <w:r w:rsidR="000F72B4">
        <w:rPr>
          <w:rFonts w:ascii="Times New Roman" w:hAnsi="Times New Roman" w:cs="Times New Roman"/>
          <w:sz w:val="24"/>
          <w:szCs w:val="24"/>
          <w:lang w:val="en-US"/>
        </w:rPr>
        <w:t xml:space="preserve">above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WHC</w:t>
      </w:r>
      <w:r w:rsidR="000F72B4" w:rsidRPr="001C0D2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blotting</w:t>
      </w:r>
      <w:r w:rsidR="00CD75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639">
        <w:rPr>
          <w:rFonts w:ascii="Times New Roman" w:hAnsi="Times New Roman" w:cs="Times New Roman"/>
          <w:sz w:val="24"/>
          <w:szCs w:val="24"/>
          <w:lang w:val="en-US"/>
        </w:rPr>
        <w:t>The slope of the regression between CO</w:t>
      </w:r>
      <w:r w:rsidR="00015639" w:rsidRPr="0001563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15639">
        <w:rPr>
          <w:rFonts w:ascii="Times New Roman" w:hAnsi="Times New Roman" w:cs="Times New Roman"/>
          <w:sz w:val="24"/>
          <w:szCs w:val="24"/>
          <w:lang w:val="en-US"/>
        </w:rPr>
        <w:t xml:space="preserve"> uptake and </w:t>
      </w:r>
      <w:r w:rsidR="00015639" w:rsidRPr="000F72B4">
        <w:rPr>
          <w:rFonts w:ascii="Times New Roman" w:eastAsiaTheme="minorEastAsia" w:hAnsi="Times New Roman" w:cs="Times New Roman"/>
          <w:sz w:val="24"/>
          <w:szCs w:val="24"/>
          <w:lang w:val="nb-NO"/>
        </w:rPr>
        <w:t>Φ</w:t>
      </w:r>
      <w:r w:rsidR="00015639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PSII</w:t>
      </w:r>
      <w:r w:rsidR="00015639">
        <w:rPr>
          <w:rFonts w:ascii="Times New Roman" w:hAnsi="Times New Roman" w:cs="Times New Roman"/>
          <w:sz w:val="24"/>
          <w:szCs w:val="24"/>
          <w:lang w:val="en-US"/>
        </w:rPr>
        <w:t xml:space="preserve"> was similar for all three lichen species.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023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639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15639">
        <w:rPr>
          <w:rFonts w:ascii="Times New Roman" w:hAnsi="Times New Roman" w:cs="Times New Roman"/>
          <w:sz w:val="24"/>
          <w:szCs w:val="24"/>
          <w:lang w:val="en-US"/>
        </w:rPr>
        <w:t xml:space="preserve"> slope will depend on cortical transmittance, calibration of </w:t>
      </w:r>
      <w:r w:rsidR="00015639" w:rsidRPr="000F72B4">
        <w:rPr>
          <w:rFonts w:ascii="Times New Roman" w:eastAsiaTheme="minorEastAsia" w:hAnsi="Times New Roman" w:cs="Times New Roman"/>
          <w:sz w:val="24"/>
          <w:szCs w:val="24"/>
          <w:lang w:val="nb-NO"/>
        </w:rPr>
        <w:t>Φ</w:t>
      </w:r>
      <w:r w:rsidR="00015639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PSII</w:t>
      </w:r>
      <w:r w:rsidR="00015639">
        <w:rPr>
          <w:rFonts w:ascii="Times New Roman" w:hAnsi="Times New Roman" w:cs="Times New Roman"/>
          <w:sz w:val="24"/>
          <w:szCs w:val="24"/>
          <w:lang w:val="en-US"/>
        </w:rPr>
        <w:t xml:space="preserve"> against CO</w:t>
      </w:r>
      <w:r w:rsidR="00015639" w:rsidRPr="007E38F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15639">
        <w:rPr>
          <w:rFonts w:ascii="Times New Roman" w:hAnsi="Times New Roman" w:cs="Times New Roman"/>
          <w:sz w:val="24"/>
          <w:szCs w:val="24"/>
          <w:lang w:val="en-US"/>
        </w:rPr>
        <w:t xml:space="preserve"> uptake for other lichen species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15639">
        <w:rPr>
          <w:rFonts w:ascii="Times New Roman" w:hAnsi="Times New Roman" w:cs="Times New Roman"/>
          <w:sz w:val="24"/>
          <w:szCs w:val="24"/>
          <w:lang w:val="en-US"/>
        </w:rPr>
        <w:t xml:space="preserve"> necessary. The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 xml:space="preserve">kinetics of the </w:t>
      </w:r>
      <w:r w:rsidR="00015639">
        <w:rPr>
          <w:rFonts w:ascii="Times New Roman" w:hAnsi="Times New Roman" w:cs="Times New Roman"/>
          <w:sz w:val="24"/>
          <w:szCs w:val="24"/>
          <w:lang w:val="en-US"/>
        </w:rPr>
        <w:t xml:space="preserve">spatial distribution of </w:t>
      </w:r>
      <w:r w:rsidR="00015639" w:rsidRPr="000F72B4">
        <w:rPr>
          <w:rFonts w:ascii="Times New Roman" w:eastAsiaTheme="minorEastAsia" w:hAnsi="Times New Roman" w:cs="Times New Roman"/>
          <w:sz w:val="24"/>
          <w:szCs w:val="24"/>
          <w:lang w:val="nb-NO"/>
        </w:rPr>
        <w:t>Φ</w:t>
      </w:r>
      <w:bookmarkStart w:id="0" w:name="_GoBack"/>
      <w:bookmarkEnd w:id="0"/>
      <w:r w:rsidR="00015639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PSII</w:t>
      </w:r>
      <w:r w:rsidR="0001563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CF7976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CF7976" w:rsidRPr="00CF7976">
        <w:rPr>
          <w:rFonts w:ascii="Times New Roman" w:hAnsi="Times New Roman" w:cs="Times New Roman"/>
          <w:i/>
          <w:sz w:val="24"/>
          <w:szCs w:val="24"/>
          <w:lang w:val="en-US"/>
        </w:rPr>
        <w:t>P. sulcata</w:t>
      </w:r>
      <w:r w:rsidR="00C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 xml:space="preserve">during drying </w:t>
      </w:r>
      <w:r w:rsidR="00486CD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initially </w:t>
      </w:r>
      <w:r w:rsidR="00015639">
        <w:rPr>
          <w:rFonts w:ascii="Times New Roman" w:eastAsiaTheme="minorEastAsia" w:hAnsi="Times New Roman" w:cs="Times New Roman"/>
          <w:sz w:val="24"/>
          <w:szCs w:val="24"/>
          <w:lang w:val="en-US"/>
        </w:rPr>
        <w:t>showed an</w:t>
      </w:r>
      <w:r w:rsidR="00CF7976">
        <w:rPr>
          <w:rFonts w:ascii="Times New Roman" w:hAnsi="Times New Roman" w:cs="Times New Roman"/>
          <w:sz w:val="24"/>
          <w:szCs w:val="24"/>
          <w:lang w:val="en-US"/>
        </w:rPr>
        <w:t xml:space="preserve"> increase a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long</w:t>
      </w:r>
      <w:r w:rsidR="00CF7976">
        <w:rPr>
          <w:rFonts w:ascii="Times New Roman" w:hAnsi="Times New Roman" w:cs="Times New Roman"/>
          <w:sz w:val="24"/>
          <w:szCs w:val="24"/>
          <w:lang w:val="en-US"/>
        </w:rPr>
        <w:t xml:space="preserve"> thall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CF7976">
        <w:rPr>
          <w:rFonts w:ascii="Times New Roman" w:hAnsi="Times New Roman" w:cs="Times New Roman"/>
          <w:sz w:val="24"/>
          <w:szCs w:val="24"/>
          <w:lang w:val="en-US"/>
        </w:rPr>
        <w:t xml:space="preserve"> margins before it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 xml:space="preserve"> later</w:t>
      </w:r>
      <w:r w:rsidR="00CF7976">
        <w:rPr>
          <w:rFonts w:ascii="Times New Roman" w:hAnsi="Times New Roman" w:cs="Times New Roman"/>
          <w:sz w:val="24"/>
          <w:szCs w:val="24"/>
          <w:lang w:val="en-US"/>
        </w:rPr>
        <w:t xml:space="preserve"> reached maximum values in centr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al portions</w:t>
      </w:r>
      <w:r w:rsidR="00CF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at WHC</w:t>
      </w:r>
      <w:r w:rsidR="00486CDF" w:rsidRPr="001C0D2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blotting</w:t>
      </w:r>
      <w:r w:rsidR="00CF79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34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5E14">
        <w:rPr>
          <w:rFonts w:ascii="Times New Roman" w:hAnsi="Times New Roman" w:cs="Times New Roman"/>
          <w:sz w:val="24"/>
          <w:szCs w:val="24"/>
          <w:lang w:val="en-US"/>
        </w:rPr>
        <w:t>Maximum PSII efficiency (</w:t>
      </w:r>
      <w:bookmarkStart w:id="1" w:name="_Hlk25244436"/>
      <w:r w:rsidR="00805E14">
        <w:rPr>
          <w:rFonts w:ascii="Times New Roman" w:hAnsi="Times New Roman" w:cs="Times New Roman"/>
          <w:sz w:val="24"/>
          <w:szCs w:val="24"/>
          <w:lang w:val="en-US"/>
        </w:rPr>
        <w:t>Fv/Fm</w:t>
      </w:r>
      <w:bookmarkEnd w:id="1"/>
      <w:r w:rsidR="00805E14">
        <w:rPr>
          <w:rFonts w:ascii="Times New Roman" w:hAnsi="Times New Roman" w:cs="Times New Roman"/>
          <w:sz w:val="24"/>
          <w:szCs w:val="24"/>
          <w:lang w:val="en-US"/>
        </w:rPr>
        <w:t>) showed no decrease at supra</w:t>
      </w:r>
      <w:r w:rsidR="0002341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05E14">
        <w:rPr>
          <w:rFonts w:ascii="Times New Roman" w:hAnsi="Times New Roman" w:cs="Times New Roman"/>
          <w:sz w:val="24"/>
          <w:szCs w:val="24"/>
          <w:lang w:val="en-US"/>
        </w:rPr>
        <w:t xml:space="preserve">saturation probably because Fv/Fm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doe</w:t>
      </w:r>
      <w:r w:rsidR="00805E14">
        <w:rPr>
          <w:rFonts w:ascii="Times New Roman" w:hAnsi="Times New Roman" w:cs="Times New Roman"/>
          <w:sz w:val="24"/>
          <w:szCs w:val="24"/>
          <w:lang w:val="en-US"/>
        </w:rPr>
        <w:t>s not depend on CO</w:t>
      </w:r>
      <w:r w:rsidR="00805E14" w:rsidRPr="00805E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05E14">
        <w:rPr>
          <w:rFonts w:ascii="Times New Roman" w:hAnsi="Times New Roman" w:cs="Times New Roman"/>
          <w:sz w:val="24"/>
          <w:szCs w:val="24"/>
          <w:lang w:val="en-US"/>
        </w:rPr>
        <w:t xml:space="preserve"> diffusion.</w:t>
      </w:r>
      <w:r w:rsidR="007E38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5E14">
        <w:rPr>
          <w:rFonts w:ascii="Times New Roman" w:hAnsi="Times New Roman" w:cs="Times New Roman"/>
          <w:sz w:val="24"/>
          <w:szCs w:val="24"/>
          <w:lang w:val="en-US"/>
        </w:rPr>
        <w:t xml:space="preserve">In conclusion, </w:t>
      </w:r>
      <w:r w:rsidR="00805E14" w:rsidRPr="000F72B4">
        <w:rPr>
          <w:rFonts w:ascii="Times New Roman" w:eastAsiaTheme="minorEastAsia" w:hAnsi="Times New Roman" w:cs="Times New Roman"/>
          <w:sz w:val="24"/>
          <w:szCs w:val="24"/>
          <w:lang w:val="nb-NO"/>
        </w:rPr>
        <w:t>Φ</w:t>
      </w:r>
      <w:r w:rsidR="00805E14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PSII</w:t>
      </w:r>
      <w:r w:rsidR="00805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can be an easily measured proxy of photosynthetic CO</w:t>
      </w:r>
      <w:r w:rsidR="00486C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 xml:space="preserve"> uptake</w:t>
      </w:r>
      <w:r w:rsidR="00805E14">
        <w:rPr>
          <w:rFonts w:ascii="Times New Roman" w:hAnsi="Times New Roman" w:cs="Times New Roman"/>
          <w:sz w:val="24"/>
          <w:szCs w:val="24"/>
          <w:lang w:val="en-US"/>
        </w:rPr>
        <w:t xml:space="preserve"> in thalli without external water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 xml:space="preserve"> pools</w:t>
      </w:r>
      <w:r w:rsidR="00805E14">
        <w:rPr>
          <w:rFonts w:ascii="Times New Roman" w:hAnsi="Times New Roman" w:cs="Times New Roman"/>
          <w:sz w:val="24"/>
          <w:szCs w:val="24"/>
          <w:lang w:val="en-US"/>
        </w:rPr>
        <w:t xml:space="preserve">, whereas </w:t>
      </w:r>
      <w:r w:rsidR="00805E14" w:rsidRPr="000F72B4">
        <w:rPr>
          <w:rFonts w:ascii="Times New Roman" w:eastAsiaTheme="minorEastAsia" w:hAnsi="Times New Roman" w:cs="Times New Roman"/>
          <w:sz w:val="24"/>
          <w:szCs w:val="24"/>
          <w:lang w:val="nb-NO"/>
        </w:rPr>
        <w:t>Φ</w:t>
      </w:r>
      <w:r w:rsidR="00805E14" w:rsidRPr="000F72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PSII</w:t>
      </w:r>
      <w:r w:rsidR="00805E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CDF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805E14">
        <w:rPr>
          <w:rFonts w:ascii="Times New Roman" w:hAnsi="Times New Roman" w:cs="Times New Roman"/>
          <w:sz w:val="24"/>
          <w:szCs w:val="24"/>
          <w:lang w:val="en-US"/>
        </w:rPr>
        <w:t xml:space="preserve"> an inaccurate overestimation of photosynthesis in supra</w:t>
      </w:r>
      <w:r w:rsidR="0002341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05E14">
        <w:rPr>
          <w:rFonts w:ascii="Times New Roman" w:hAnsi="Times New Roman" w:cs="Times New Roman"/>
          <w:sz w:val="24"/>
          <w:szCs w:val="24"/>
          <w:lang w:val="en-US"/>
        </w:rPr>
        <w:t>saturated thalli.</w:t>
      </w:r>
    </w:p>
    <w:sectPr w:rsidR="00805E14" w:rsidRPr="007E38FC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7E4EC" w14:textId="77777777" w:rsidR="000713D9" w:rsidRDefault="000713D9" w:rsidP="000713D9">
      <w:pPr>
        <w:spacing w:after="0" w:line="240" w:lineRule="auto"/>
      </w:pPr>
      <w:r>
        <w:separator/>
      </w:r>
    </w:p>
  </w:endnote>
  <w:endnote w:type="continuationSeparator" w:id="0">
    <w:p w14:paraId="262209AD" w14:textId="77777777" w:rsidR="000713D9" w:rsidRDefault="000713D9" w:rsidP="0007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CB695" w14:textId="77777777" w:rsidR="000713D9" w:rsidRDefault="000713D9" w:rsidP="000713D9">
      <w:pPr>
        <w:spacing w:after="0" w:line="240" w:lineRule="auto"/>
      </w:pPr>
      <w:r>
        <w:separator/>
      </w:r>
    </w:p>
  </w:footnote>
  <w:footnote w:type="continuationSeparator" w:id="0">
    <w:p w14:paraId="6215F4EB" w14:textId="77777777" w:rsidR="000713D9" w:rsidRDefault="000713D9" w:rsidP="00071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2A"/>
    <w:rsid w:val="00015639"/>
    <w:rsid w:val="0002341D"/>
    <w:rsid w:val="00057A19"/>
    <w:rsid w:val="000713D9"/>
    <w:rsid w:val="000920B9"/>
    <w:rsid w:val="000C0216"/>
    <w:rsid w:val="000F146E"/>
    <w:rsid w:val="000F72B4"/>
    <w:rsid w:val="00194208"/>
    <w:rsid w:val="001C0D24"/>
    <w:rsid w:val="00200EAE"/>
    <w:rsid w:val="0020171F"/>
    <w:rsid w:val="0020290A"/>
    <w:rsid w:val="00215F6C"/>
    <w:rsid w:val="00226CB5"/>
    <w:rsid w:val="002416A1"/>
    <w:rsid w:val="00260A60"/>
    <w:rsid w:val="002C5985"/>
    <w:rsid w:val="002F4395"/>
    <w:rsid w:val="003E41D6"/>
    <w:rsid w:val="0041562C"/>
    <w:rsid w:val="00486CDF"/>
    <w:rsid w:val="004C7AAA"/>
    <w:rsid w:val="005F7A38"/>
    <w:rsid w:val="0062477E"/>
    <w:rsid w:val="006C6BAE"/>
    <w:rsid w:val="007E38FC"/>
    <w:rsid w:val="00805E14"/>
    <w:rsid w:val="008267F3"/>
    <w:rsid w:val="00862D83"/>
    <w:rsid w:val="00894CF2"/>
    <w:rsid w:val="009678E0"/>
    <w:rsid w:val="00B63FA9"/>
    <w:rsid w:val="00BD2764"/>
    <w:rsid w:val="00CD7563"/>
    <w:rsid w:val="00CF7976"/>
    <w:rsid w:val="00D22A2A"/>
    <w:rsid w:val="00D33B09"/>
    <w:rsid w:val="00E41C10"/>
    <w:rsid w:val="00E74D8F"/>
    <w:rsid w:val="00E7764D"/>
    <w:rsid w:val="00E836E0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6C2D531E"/>
  <w14:defaultImageDpi w14:val="300"/>
  <w15:docId w15:val="{C6504E8C-95A7-4540-A8F5-9C22114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22A2A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D2764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1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1C10"/>
    <w:rPr>
      <w:rFonts w:ascii="Segoe UI" w:eastAsiaTheme="minorHAns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53BC6BE907849912829589A8B6A8C" ma:contentTypeVersion="8" ma:contentTypeDescription="Create a new document." ma:contentTypeScope="" ma:versionID="adac2e9b9cc3307d90000625b508f8dd">
  <xsd:schema xmlns:xsd="http://www.w3.org/2001/XMLSchema" xmlns:xs="http://www.w3.org/2001/XMLSchema" xmlns:p="http://schemas.microsoft.com/office/2006/metadata/properties" xmlns:ns3="59a926a6-8340-48c0-9040-7072b28eec6e" targetNamespace="http://schemas.microsoft.com/office/2006/metadata/properties" ma:root="true" ma:fieldsID="0683ff15e6700c8fd0bc9de0d97135ae" ns3:_="">
    <xsd:import namespace="59a926a6-8340-48c0-9040-7072b28ee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26a6-8340-48c0-9040-7072b28ee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DDB28-595C-4AAF-9F40-4129E57B0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AD895-0668-480A-8EC7-171A55C8390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a926a6-8340-48c0-9040-7072b28eec6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263BAE-89AD-4BC5-A4D8-EF86E6B05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926a6-8340-48c0-9040-7072b28ee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345</Words>
  <Characters>1833</Characters>
  <Application>Microsoft Office Word</Application>
  <DocSecurity>0</DocSecurity>
  <Lines>15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NMNH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Dal Forno</dc:creator>
  <cp:keywords/>
  <dc:description/>
  <cp:lastModifiedBy>Knut Asbjørn Solhaug</cp:lastModifiedBy>
  <cp:revision>5</cp:revision>
  <dcterms:created xsi:type="dcterms:W3CDTF">2019-11-22T09:23:00Z</dcterms:created>
  <dcterms:modified xsi:type="dcterms:W3CDTF">2019-11-25T10:02:00Z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iteId">
    <vt:lpwstr>eec01f8e-737f-43e3-9ed5-f8a59913bd82</vt:lpwstr>
  </property>
  <property fmtid="{D5CDD505-2E9C-101B-9397-08002B2CF9AE}" pid="4" name="MSIP_Label_d0484126-3486-41a9-802e-7f1e2277276c_Owner">
    <vt:lpwstr>knut.solhaug@nmbu.no</vt:lpwstr>
  </property>
  <property fmtid="{D5CDD505-2E9C-101B-9397-08002B2CF9AE}" pid="5" name="MSIP_Label_d0484126-3486-41a9-802e-7f1e2277276c_SetDate">
    <vt:lpwstr>2019-11-20T16:21:00.9453394Z</vt:lpwstr>
  </property>
  <property fmtid="{D5CDD505-2E9C-101B-9397-08002B2CF9AE}" pid="6" name="MSIP_Label_d0484126-3486-41a9-802e-7f1e2277276c_Name">
    <vt:lpwstr>Internal</vt:lpwstr>
  </property>
  <property fmtid="{D5CDD505-2E9C-101B-9397-08002B2CF9AE}" pid="7" name="MSIP_Label_d0484126-3486-41a9-802e-7f1e2277276c_Application">
    <vt:lpwstr>Microsoft Azure Information Protection</vt:lpwstr>
  </property>
  <property fmtid="{D5CDD505-2E9C-101B-9397-08002B2CF9AE}" pid="8" name="MSIP_Label_d0484126-3486-41a9-802e-7f1e2277276c_ActionId">
    <vt:lpwstr>2fc4a066-f76c-440f-bdf2-8acdd5e5a7cf</vt:lpwstr>
  </property>
  <property fmtid="{D5CDD505-2E9C-101B-9397-08002B2CF9AE}" pid="9" name="MSIP_Label_d0484126-3486-41a9-802e-7f1e2277276c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0x01010056053BC6BE907849912829589A8B6A8C</vt:lpwstr>
  </property>
</Properties>
</file>