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47E0296" w14:textId="14748513" w:rsidR="006D5723" w:rsidRDefault="006D5723" w:rsidP="006D5723">
      <w:pPr>
        <w:jc w:val="center"/>
      </w:pPr>
      <w:r>
        <w:rPr>
          <w:rFonts w:ascii="Arial" w:hAnsi="Arial"/>
          <w:b/>
          <w:sz w:val="28"/>
        </w:rPr>
        <w:t>TRATAMENTO ENDODÔNTICO COMO INTERVENÇÃO NA REABSORÇÃO RADICULAR EXTERNA APICAL: RELATO DE CASO CLÍNICO</w:t>
      </w:r>
    </w:p>
    <w:p w14:paraId="48418277" w14:textId="38259CE4" w:rsidR="00FB252A" w:rsidRDefault="00FB252A" w:rsidP="006D5723">
      <w:pPr>
        <w:jc w:val="center"/>
        <w:rPr>
          <w:rFonts w:ascii="Arial" w:hAnsi="Arial"/>
          <w:b/>
          <w:sz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6D5723">
        <w:rPr>
          <w:rFonts w:ascii="Arial" w:hAnsi="Arial"/>
          <w:b/>
          <w:sz w:val="22"/>
        </w:rPr>
        <w:t>Kauan Clímaco Reis²</w:t>
      </w:r>
    </w:p>
    <w:p w14:paraId="6B605D10" w14:textId="77777777" w:rsidR="00303C22" w:rsidRDefault="00303C22" w:rsidP="00303C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Autor. Estudante do curso de graduação em Odontologia no Centro Universitário Santo Agostinho (UNIFSA)-Teresina-PI</w:t>
      </w:r>
    </w:p>
    <w:p w14:paraId="1436D7B0" w14:textId="2F075055" w:rsidR="00FB252A" w:rsidRPr="00303C22" w:rsidRDefault="00303C22" w:rsidP="00303C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</w:t>
      </w:r>
      <w:r w:rsidRPr="00303C22">
        <w:t xml:space="preserve"> </w:t>
      </w:r>
      <w:r w:rsidRPr="00303C22">
        <w:rPr>
          <w:color w:val="000000"/>
          <w:sz w:val="22"/>
          <w:szCs w:val="22"/>
        </w:rPr>
        <w:t>Kauan.climaco2003@gmail.com</w:t>
      </w:r>
    </w:p>
    <w:p w14:paraId="16FD4738" w14:textId="2B3AFBF1" w:rsidR="00FB252A" w:rsidRDefault="006D5723" w:rsidP="006D572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/>
          <w:b/>
          <w:sz w:val="22"/>
        </w:rPr>
        <w:t>Rômulo Cavalcante Azevedo</w:t>
      </w:r>
      <w:r>
        <w:rPr>
          <w:rFonts w:asciiTheme="minorHAnsi" w:hAnsiTheme="minorHAnsi" w:cstheme="minorHAnsi"/>
          <w:sz w:val="22"/>
          <w:szCs w:val="22"/>
        </w:rPr>
        <w:t>³</w:t>
      </w:r>
    </w:p>
    <w:p w14:paraId="6E3C3997" w14:textId="77777777" w:rsidR="00303C22" w:rsidRDefault="00303C22" w:rsidP="00303C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Autor. Estudante do curso de graduação em Odontologia no Centro Universitário Santo Agostinho (UNIFSA)-Teresina-PI</w:t>
      </w:r>
    </w:p>
    <w:p w14:paraId="0DA1DF60" w14:textId="2468CC08" w:rsidR="00FB252A" w:rsidRPr="00303C22" w:rsidRDefault="00303C22" w:rsidP="00303C22">
      <w:pPr>
        <w:jc w:val="center"/>
      </w:pPr>
      <w:r>
        <w:rPr>
          <w:color w:val="000000"/>
          <w:sz w:val="22"/>
          <w:szCs w:val="22"/>
        </w:rPr>
        <w:t>E-mail:</w:t>
      </w:r>
      <w:r w:rsidRPr="00303C22">
        <w:t xml:space="preserve"> romulocazevedo2013@gmail.com</w:t>
      </w:r>
    </w:p>
    <w:p w14:paraId="1BF7E0F5" w14:textId="77777777" w:rsidR="006D5723" w:rsidRDefault="006D5723" w:rsidP="006D5723">
      <w:pPr>
        <w:jc w:val="center"/>
      </w:pPr>
      <w:proofErr w:type="spellStart"/>
      <w:r>
        <w:rPr>
          <w:rFonts w:ascii="Arial" w:hAnsi="Arial"/>
          <w:b/>
          <w:sz w:val="22"/>
        </w:rPr>
        <w:t>Markelane</w:t>
      </w:r>
      <w:proofErr w:type="spellEnd"/>
      <w:r>
        <w:rPr>
          <w:rFonts w:ascii="Arial" w:hAnsi="Arial"/>
          <w:b/>
          <w:sz w:val="22"/>
        </w:rPr>
        <w:t xml:space="preserve"> Santana⁴</w:t>
      </w:r>
    </w:p>
    <w:p w14:paraId="580C2AFA" w14:textId="2AE057FA" w:rsidR="006D5723" w:rsidRDefault="006D5723" w:rsidP="006D5723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Orientadora. Professora</w:t>
      </w:r>
      <w:r w:rsidR="00624F7E">
        <w:rPr>
          <w:sz w:val="22"/>
          <w:szCs w:val="22"/>
        </w:rPr>
        <w:t>. Mestra</w:t>
      </w:r>
      <w:r>
        <w:rPr>
          <w:sz w:val="22"/>
          <w:szCs w:val="22"/>
        </w:rPr>
        <w:t xml:space="preserve"> do Centro Universitário Santo Agostinho (UNIFSA)-Teresina-PI.</w:t>
      </w:r>
    </w:p>
    <w:p w14:paraId="6923B4D0" w14:textId="3B8DEF4A" w:rsidR="006D5723" w:rsidRPr="00FB252A" w:rsidRDefault="006D5723" w:rsidP="00303C22">
      <w:pPr>
        <w:jc w:val="center"/>
        <w:rPr>
          <w:rFonts w:asciiTheme="minorHAnsi" w:hAnsiTheme="minorHAnsi" w:cstheme="minorHAnsi"/>
        </w:rPr>
      </w:pPr>
      <w:r>
        <w:rPr>
          <w:sz w:val="22"/>
          <w:szCs w:val="22"/>
        </w:rPr>
        <w:t xml:space="preserve">E-mail: </w:t>
      </w:r>
      <w:r w:rsidR="00303C22" w:rsidRPr="00303C22">
        <w:rPr>
          <w:color w:val="000000"/>
          <w:sz w:val="22"/>
          <w:szCs w:val="22"/>
        </w:rPr>
        <w:t>markelanesantana@unifsa.com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13DDBDC7" w14:textId="3ED7E4DC" w:rsidR="006D5723" w:rsidRPr="005463F7" w:rsidRDefault="006D5723" w:rsidP="005463F7">
      <w:pPr>
        <w:spacing w:after="120"/>
        <w:ind w:right="665"/>
        <w:jc w:val="both"/>
      </w:pPr>
      <w:r w:rsidRPr="00303C22">
        <w:rPr>
          <w:rFonts w:ascii="Arial" w:hAnsi="Arial" w:cs="Arial"/>
          <w:b/>
          <w:bCs/>
        </w:rPr>
        <w:t>INTRODUÇÃO</w:t>
      </w:r>
      <w:r>
        <w:t xml:space="preserve">: </w:t>
      </w:r>
      <w:r w:rsidR="005463F7">
        <w:t xml:space="preserve">A reabsorção radicular externa apical é uma condição assintomática e silenciosa, caracterizada pela perda da camada de </w:t>
      </w:r>
      <w:proofErr w:type="spellStart"/>
      <w:r w:rsidR="005463F7">
        <w:t>pré</w:t>
      </w:r>
      <w:proofErr w:type="spellEnd"/>
      <w:r w:rsidR="005463F7">
        <w:t xml:space="preserve">-cemento, expondo a superfície radicular à atividade </w:t>
      </w:r>
      <w:proofErr w:type="spellStart"/>
      <w:r w:rsidR="005463F7">
        <w:t>osteoclástica</w:t>
      </w:r>
      <w:proofErr w:type="spellEnd"/>
      <w:r w:rsidR="005463F7">
        <w:t xml:space="preserve">. Sua etiologia está associada a traumas dentários, movimentações ortodônticas excessivas, presença de cistos ou lesões expansivas. Frequentemente descoberta em exames radiográficos de rotina, pode evoluir para perda dentária se não </w:t>
      </w:r>
      <w:r w:rsidR="005463F7">
        <w:t xml:space="preserve">tratada. </w:t>
      </w:r>
      <w:r w:rsidR="005463F7" w:rsidRPr="005463F7">
        <w:rPr>
          <w:rFonts w:ascii="Arial" w:hAnsi="Arial" w:cs="Arial"/>
          <w:b/>
          <w:bCs/>
        </w:rPr>
        <w:t>OBJETIVO</w:t>
      </w:r>
      <w:r w:rsidR="005463F7">
        <w:t xml:space="preserve">: Relatar um caso clínico de tratamento endodôntico realizado no dente 11 como intervenção frente à reabsorção radicular externa </w:t>
      </w:r>
      <w:r w:rsidR="005463F7">
        <w:t xml:space="preserve">apical. </w:t>
      </w:r>
      <w:r w:rsidR="005463F7" w:rsidRPr="005463F7">
        <w:rPr>
          <w:rFonts w:ascii="Arial" w:hAnsi="Arial" w:cs="Arial"/>
          <w:b/>
          <w:bCs/>
        </w:rPr>
        <w:t>METODOLOGIA</w:t>
      </w:r>
      <w:r w:rsidR="005463F7">
        <w:t xml:space="preserve">: Foi realizado tratamento endodôntico convencional, com acesso coronário, instrumentação química e mecânica, irrigação com hipoclorito de sódio e obturação com cone principal e cimento obturador. O caso foi documentado clínica e </w:t>
      </w:r>
      <w:r w:rsidR="005463F7">
        <w:t xml:space="preserve">radiograficamente. </w:t>
      </w:r>
      <w:r w:rsidR="005463F7" w:rsidRPr="005463F7">
        <w:rPr>
          <w:rFonts w:ascii="Arial" w:hAnsi="Arial" w:cs="Arial"/>
          <w:b/>
          <w:bCs/>
        </w:rPr>
        <w:t>RESULTADOS</w:t>
      </w:r>
      <w:r w:rsidR="005463F7">
        <w:t xml:space="preserve">: </w:t>
      </w:r>
      <w:r w:rsidR="005463F7">
        <w:t xml:space="preserve">O tratamento buscou paralisar o processo </w:t>
      </w:r>
      <w:proofErr w:type="spellStart"/>
      <w:r w:rsidR="005463F7">
        <w:t>reabsortivo</w:t>
      </w:r>
      <w:proofErr w:type="spellEnd"/>
      <w:r w:rsidR="005463F7">
        <w:t xml:space="preserve">, mantendo o elemento dentário funcional. A ausência de sinais e sintomas clínicos após o procedimento e a estabilização da lesão </w:t>
      </w:r>
      <w:proofErr w:type="spellStart"/>
      <w:r w:rsidR="005463F7">
        <w:t>radiolúcida</w:t>
      </w:r>
      <w:proofErr w:type="spellEnd"/>
      <w:r w:rsidR="005463F7">
        <w:t xml:space="preserve"> sugerem resposta inicial </w:t>
      </w:r>
      <w:r w:rsidR="005463F7">
        <w:t>positiva.</w:t>
      </w:r>
      <w:r w:rsidR="005463F7" w:rsidRPr="005463F7">
        <w:rPr>
          <w:rFonts w:ascii="Arial" w:hAnsi="Arial" w:cs="Arial"/>
          <w:b/>
          <w:bCs/>
        </w:rPr>
        <w:t xml:space="preserve"> CONCLUSÃO</w:t>
      </w:r>
      <w:r w:rsidR="005463F7">
        <w:t>: O tratamento endodôntico mostrou-se eficaz no controle da reabsorção radicular. No entanto, o acompanhamento periódico do paciente é fundamental para monitorar a evolução do quadro.</w:t>
      </w:r>
    </w:p>
    <w:p w14:paraId="3D9AA4B4" w14:textId="1CFF18BF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</w:t>
      </w:r>
      <w:r w:rsidR="00303C22">
        <w:rPr>
          <w:rFonts w:asciiTheme="minorHAnsi" w:hAnsiTheme="minorHAnsi" w:cstheme="minorHAnsi"/>
          <w:b/>
        </w:rPr>
        <w:t>ESCRITORES</w:t>
      </w:r>
      <w:r w:rsidRPr="00FB252A">
        <w:rPr>
          <w:rFonts w:asciiTheme="minorHAnsi" w:hAnsiTheme="minorHAnsi" w:cstheme="minorHAnsi"/>
        </w:rPr>
        <w:t>:</w:t>
      </w:r>
      <w:r w:rsidR="00303C22">
        <w:t xml:space="preserve"> Reabsorção Radicular. Endodontia. Dente Anterior. Saúde Bucal. Tratamento Conservador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DFA2" w14:textId="77777777" w:rsidR="00310417" w:rsidRDefault="00310417" w:rsidP="00D479CD">
      <w:r>
        <w:separator/>
      </w:r>
    </w:p>
  </w:endnote>
  <w:endnote w:type="continuationSeparator" w:id="0">
    <w:p w14:paraId="66706F5C" w14:textId="77777777" w:rsidR="00310417" w:rsidRDefault="00310417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8A9C" w14:textId="77777777" w:rsidR="00310417" w:rsidRDefault="00310417" w:rsidP="00D479CD">
      <w:r>
        <w:separator/>
      </w:r>
    </w:p>
  </w:footnote>
  <w:footnote w:type="continuationSeparator" w:id="0">
    <w:p w14:paraId="2960F3E6" w14:textId="77777777" w:rsidR="00310417" w:rsidRDefault="00310417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D4652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3C22"/>
    <w:rsid w:val="00305FCD"/>
    <w:rsid w:val="00307B4A"/>
    <w:rsid w:val="00310417"/>
    <w:rsid w:val="003127E0"/>
    <w:rsid w:val="0031546B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463F7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4F7E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D5723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676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37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lucas reis</cp:lastModifiedBy>
  <cp:revision>6</cp:revision>
  <cp:lastPrinted>2025-05-23T23:03:00Z</cp:lastPrinted>
  <dcterms:created xsi:type="dcterms:W3CDTF">2025-05-14T20:36:00Z</dcterms:created>
  <dcterms:modified xsi:type="dcterms:W3CDTF">2025-05-23T23:15:00Z</dcterms:modified>
</cp:coreProperties>
</file>