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42DE" w14:textId="0F90EEE0" w:rsidR="00CF7E14" w:rsidRPr="00393837" w:rsidRDefault="001A7D53" w:rsidP="00CF7E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INTOXICAÇÃO INFANTIL: ANÁLISE DO PERFIL DE NOTIFICAÇÃO DO BRASIL NOS ANOS DE 2020 E 2022</w:t>
      </w:r>
    </w:p>
    <w:p w14:paraId="0DA53BBC" w14:textId="4B12E2CE" w:rsidR="00334D94" w:rsidRPr="00393837" w:rsidRDefault="00334D94" w:rsidP="00FE04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3837">
        <w:rPr>
          <w:rFonts w:ascii="Times New Roman" w:hAnsi="Times New Roman" w:cs="Times New Roman"/>
          <w:sz w:val="24"/>
          <w:szCs w:val="24"/>
        </w:rPr>
        <w:t>¹</w:t>
      </w:r>
      <w:r w:rsidR="001A7D53" w:rsidRPr="00393837">
        <w:rPr>
          <w:rFonts w:ascii="Times New Roman" w:hAnsi="Times New Roman" w:cs="Times New Roman"/>
          <w:sz w:val="24"/>
          <w:szCs w:val="24"/>
        </w:rPr>
        <w:t xml:space="preserve">Jhennifer </w:t>
      </w:r>
      <w:proofErr w:type="spellStart"/>
      <w:r w:rsidR="001A7D53" w:rsidRPr="00393837">
        <w:rPr>
          <w:rFonts w:ascii="Times New Roman" w:hAnsi="Times New Roman" w:cs="Times New Roman"/>
          <w:sz w:val="24"/>
          <w:szCs w:val="24"/>
        </w:rPr>
        <w:t>Galassi</w:t>
      </w:r>
      <w:proofErr w:type="spellEnd"/>
      <w:r w:rsidR="001A7D53" w:rsidRPr="0039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D53" w:rsidRPr="00393837">
        <w:rPr>
          <w:rFonts w:ascii="Times New Roman" w:hAnsi="Times New Roman" w:cs="Times New Roman"/>
          <w:sz w:val="24"/>
          <w:szCs w:val="24"/>
        </w:rPr>
        <w:t>Bortoloci</w:t>
      </w:r>
      <w:proofErr w:type="spellEnd"/>
      <w:r w:rsidRPr="00393837">
        <w:rPr>
          <w:rFonts w:ascii="Times New Roman" w:hAnsi="Times New Roman" w:cs="Times New Roman"/>
          <w:sz w:val="24"/>
          <w:szCs w:val="24"/>
        </w:rPr>
        <w:t>; ²</w:t>
      </w:r>
      <w:r w:rsidR="00FE048F" w:rsidRPr="00393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36597156"/>
      <w:r w:rsidR="001A7D53" w:rsidRPr="00393837">
        <w:rPr>
          <w:rFonts w:ascii="Times New Roman" w:eastAsia="Times New Roman" w:hAnsi="Times New Roman" w:cs="Times New Roman"/>
          <w:sz w:val="24"/>
          <w:szCs w:val="24"/>
        </w:rPr>
        <w:t xml:space="preserve">Mariane </w:t>
      </w:r>
      <w:proofErr w:type="spellStart"/>
      <w:r w:rsidR="001A7D53" w:rsidRPr="00393837">
        <w:rPr>
          <w:rFonts w:ascii="Times New Roman" w:eastAsia="Times New Roman" w:hAnsi="Times New Roman" w:cs="Times New Roman"/>
          <w:sz w:val="24"/>
          <w:szCs w:val="24"/>
        </w:rPr>
        <w:t>Nayra</w:t>
      </w:r>
      <w:proofErr w:type="spellEnd"/>
      <w:r w:rsidR="001A7D53" w:rsidRPr="00393837">
        <w:rPr>
          <w:rFonts w:ascii="Times New Roman" w:eastAsia="Times New Roman" w:hAnsi="Times New Roman" w:cs="Times New Roman"/>
          <w:sz w:val="24"/>
          <w:szCs w:val="24"/>
        </w:rPr>
        <w:t xml:space="preserve"> Silva Romanini</w:t>
      </w:r>
      <w:bookmarkEnd w:id="0"/>
      <w:r w:rsidRPr="00393837">
        <w:rPr>
          <w:rFonts w:ascii="Times New Roman" w:hAnsi="Times New Roman" w:cs="Times New Roman"/>
          <w:sz w:val="24"/>
          <w:szCs w:val="24"/>
        </w:rPr>
        <w:t>; ³</w:t>
      </w:r>
      <w:r w:rsidR="00FE048F" w:rsidRPr="00393837">
        <w:rPr>
          <w:rStyle w:val="name"/>
          <w:rFonts w:ascii="Times New Roman" w:hAnsi="Times New Roman" w:cs="Times New Roman"/>
          <w:sz w:val="24"/>
          <w:szCs w:val="24"/>
        </w:rPr>
        <w:t xml:space="preserve"> </w:t>
      </w:r>
      <w:r w:rsidR="001A7D53" w:rsidRPr="00393837">
        <w:rPr>
          <w:rFonts w:ascii="Times New Roman" w:eastAsia="Times New Roman" w:hAnsi="Times New Roman" w:cs="Times New Roman"/>
          <w:sz w:val="24"/>
          <w:szCs w:val="24"/>
          <w:lang w:eastAsia="pt-BR"/>
        </w:rPr>
        <w:t>Leticia de Oliveira Piovani Malagutti</w:t>
      </w:r>
      <w:r w:rsidRPr="00393837">
        <w:rPr>
          <w:rFonts w:ascii="Times New Roman" w:hAnsi="Times New Roman" w:cs="Times New Roman"/>
          <w:sz w:val="24"/>
          <w:szCs w:val="24"/>
        </w:rPr>
        <w:t>;</w:t>
      </w:r>
      <w:r w:rsidR="001A7D53" w:rsidRPr="003938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4 </w:t>
      </w:r>
      <w:r w:rsidR="001A7D53" w:rsidRPr="00393837">
        <w:rPr>
          <w:rFonts w:ascii="Times New Roman" w:eastAsia="Times New Roman" w:hAnsi="Times New Roman" w:cs="Times New Roman"/>
          <w:sz w:val="24"/>
          <w:szCs w:val="24"/>
        </w:rPr>
        <w:t xml:space="preserve">Sara </w:t>
      </w:r>
      <w:proofErr w:type="spellStart"/>
      <w:r w:rsidR="001A7D53" w:rsidRPr="00393837">
        <w:rPr>
          <w:rFonts w:ascii="Times New Roman" w:eastAsia="Times New Roman" w:hAnsi="Times New Roman" w:cs="Times New Roman"/>
          <w:sz w:val="24"/>
          <w:szCs w:val="24"/>
        </w:rPr>
        <w:t>Eleotério</w:t>
      </w:r>
      <w:proofErr w:type="spellEnd"/>
      <w:r w:rsidR="001A7D53" w:rsidRPr="00393837">
        <w:rPr>
          <w:rFonts w:ascii="Times New Roman" w:eastAsia="Times New Roman" w:hAnsi="Times New Roman" w:cs="Times New Roman"/>
          <w:sz w:val="24"/>
          <w:szCs w:val="24"/>
        </w:rPr>
        <w:t xml:space="preserve"> Costa</w:t>
      </w:r>
      <w:r w:rsidR="00AB6DB6" w:rsidRPr="0039383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93837">
        <w:rPr>
          <w:rFonts w:ascii="Times New Roman" w:hAnsi="Times New Roman" w:cs="Times New Roman"/>
          <w:sz w:val="24"/>
          <w:szCs w:val="24"/>
        </w:rPr>
        <w:t xml:space="preserve"> </w:t>
      </w:r>
      <w:r w:rsidR="00EB1612" w:rsidRPr="0039383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B6DB6" w:rsidRPr="00393837">
        <w:rPr>
          <w:rFonts w:ascii="Times New Roman" w:hAnsi="Times New Roman" w:cs="Times New Roman"/>
          <w:sz w:val="24"/>
          <w:szCs w:val="24"/>
        </w:rPr>
        <w:t xml:space="preserve">Núbia Fernanda </w:t>
      </w:r>
      <w:proofErr w:type="spellStart"/>
      <w:r w:rsidR="00AB6DB6" w:rsidRPr="00393837">
        <w:rPr>
          <w:rFonts w:ascii="Times New Roman" w:hAnsi="Times New Roman" w:cs="Times New Roman"/>
          <w:sz w:val="24"/>
          <w:szCs w:val="24"/>
        </w:rPr>
        <w:t>Maniero</w:t>
      </w:r>
      <w:proofErr w:type="spellEnd"/>
      <w:r w:rsidR="00AB6DB6" w:rsidRPr="00393837">
        <w:rPr>
          <w:rFonts w:ascii="Times New Roman" w:hAnsi="Times New Roman" w:cs="Times New Roman"/>
          <w:sz w:val="24"/>
          <w:szCs w:val="24"/>
        </w:rPr>
        <w:t xml:space="preserve"> dos Santos</w:t>
      </w:r>
      <w:r w:rsidR="00EB1612" w:rsidRPr="00393837">
        <w:rPr>
          <w:rFonts w:ascii="Times New Roman" w:hAnsi="Times New Roman" w:cs="Times New Roman"/>
          <w:sz w:val="24"/>
          <w:szCs w:val="24"/>
        </w:rPr>
        <w:t xml:space="preserve">; </w:t>
      </w:r>
      <w:r w:rsidR="00EB1612" w:rsidRPr="0039383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A7D53" w:rsidRPr="00393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D53" w:rsidRPr="00393837">
        <w:rPr>
          <w:rFonts w:ascii="Times New Roman" w:hAnsi="Times New Roman" w:cs="Times New Roman"/>
          <w:sz w:val="24"/>
          <w:szCs w:val="24"/>
        </w:rPr>
        <w:t xml:space="preserve">Sueli </w:t>
      </w:r>
      <w:proofErr w:type="spellStart"/>
      <w:r w:rsidR="001A7D53" w:rsidRPr="00393837">
        <w:rPr>
          <w:rFonts w:ascii="Times New Roman" w:hAnsi="Times New Roman" w:cs="Times New Roman"/>
          <w:sz w:val="24"/>
          <w:szCs w:val="24"/>
        </w:rPr>
        <w:t>Mutsumi</w:t>
      </w:r>
      <w:proofErr w:type="spellEnd"/>
      <w:r w:rsidR="001A7D53" w:rsidRPr="0039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D53" w:rsidRPr="00393837">
        <w:rPr>
          <w:rFonts w:ascii="Times New Roman" w:hAnsi="Times New Roman" w:cs="Times New Roman"/>
          <w:sz w:val="24"/>
          <w:szCs w:val="24"/>
        </w:rPr>
        <w:t>Tsukuda</w:t>
      </w:r>
      <w:proofErr w:type="spellEnd"/>
      <w:r w:rsidR="001A7D53" w:rsidRPr="0039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D53" w:rsidRPr="00393837">
        <w:rPr>
          <w:rFonts w:ascii="Times New Roman" w:hAnsi="Times New Roman" w:cs="Times New Roman"/>
          <w:sz w:val="24"/>
          <w:szCs w:val="24"/>
        </w:rPr>
        <w:t>Ichisato</w:t>
      </w:r>
      <w:proofErr w:type="spellEnd"/>
    </w:p>
    <w:p w14:paraId="3B5D7427" w14:textId="63123F1A" w:rsidR="00AB6DB6" w:rsidRPr="00393837" w:rsidRDefault="00361C27" w:rsidP="00AB6DB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3837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="00FE048F" w:rsidRPr="00393837">
        <w:rPr>
          <w:rFonts w:ascii="Times New Roman" w:hAnsi="Times New Roman" w:cs="Times New Roman"/>
          <w:sz w:val="24"/>
          <w:szCs w:val="24"/>
          <w:vertAlign w:val="superscript"/>
        </w:rPr>
        <w:t xml:space="preserve">,4 </w:t>
      </w:r>
      <w:r w:rsidR="00AB6DB6" w:rsidRPr="003938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do Programa de Pós-graduação em Enfermagem, Universidade Estadual de Maringá (UEM), Maringá, Paraná, Brasil; </w:t>
      </w:r>
      <w:r w:rsidR="00AB6DB6" w:rsidRPr="00844F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4,5</w:t>
      </w:r>
      <w:r w:rsidR="00AB6DB6" w:rsidRPr="00844F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Acadêmico </w:t>
      </w:r>
      <w:r w:rsidR="00AB6DB6" w:rsidRPr="003938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Enfermagem, Universidade Estadual de Maringá (UEM), Maringá, Paraná, Brasil; </w:t>
      </w:r>
      <w:r w:rsidR="00AB6DB6" w:rsidRPr="003938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6</w:t>
      </w:r>
      <w:r w:rsidR="00AB6DB6" w:rsidRPr="00393837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 do Programa de Pós-graduação em Enfermagem, do Departamento de Enfermagem da Universidade Estadual de Maringá do Departamento de Enfermagem da Universidade Estadual de Maringá (UEM), Maringá, Paraná, Brasil.</w:t>
      </w:r>
    </w:p>
    <w:p w14:paraId="432E2AAE" w14:textId="11AE9B0E" w:rsidR="00096D2D" w:rsidRPr="00393837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7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393837">
        <w:rPr>
          <w:rFonts w:ascii="Times New Roman" w:hAnsi="Times New Roman" w:cs="Times New Roman"/>
          <w:sz w:val="24"/>
          <w:szCs w:val="24"/>
        </w:rPr>
        <w:t xml:space="preserve"> </w:t>
      </w:r>
      <w:r w:rsidR="00AB6DB6" w:rsidRPr="00393837">
        <w:rPr>
          <w:rFonts w:ascii="Times New Roman" w:eastAsia="Times New Roman" w:hAnsi="Times New Roman" w:cs="Times New Roman"/>
          <w:sz w:val="24"/>
          <w:szCs w:val="24"/>
        </w:rPr>
        <w:t>Saúde da Criança e do Adolescente.</w:t>
      </w:r>
    </w:p>
    <w:p w14:paraId="5D281ECA" w14:textId="1792ABCB" w:rsidR="00334D94" w:rsidRPr="00393837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37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="00AB6DB6" w:rsidRPr="00393837">
        <w:rPr>
          <w:rFonts w:ascii="Times New Roman" w:hAnsi="Times New Roman" w:cs="Times New Roman"/>
          <w:sz w:val="24"/>
          <w:szCs w:val="24"/>
        </w:rPr>
        <w:t xml:space="preserve"> jhennifergbortoloci@outlook.com</w:t>
      </w:r>
    </w:p>
    <w:p w14:paraId="67321375" w14:textId="77777777" w:rsidR="00F14BD7" w:rsidRPr="00393837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3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4D51460" w14:textId="27316FE8" w:rsidR="00AB6DB6" w:rsidRPr="00393837" w:rsidRDefault="00AB6DB6" w:rsidP="00AB6D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>Esse estudo tem como objetivo descrever os tipos de acidentes no Brasil em anos de pandemia. Trata-se de uma pesquisa descritiva de abordagem qua</w:t>
      </w:r>
      <w:r w:rsidR="004F20C2" w:rsidRPr="00393837">
        <w:rPr>
          <w:rFonts w:ascii="Times New Roman" w:eastAsia="Times New Roman" w:hAnsi="Times New Roman" w:cs="Times New Roman"/>
          <w:sz w:val="24"/>
          <w:szCs w:val="24"/>
        </w:rPr>
        <w:t>ntitativa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que utilizou os dados do Sistema de Informações de Agravos de Notificações (Sinan Net) extraídos do sítio eletrônico do Departamento de Informática do Sistema Único de Saúde (</w:t>
      </w:r>
      <w:proofErr w:type="spellStart"/>
      <w:r w:rsidRPr="00393837">
        <w:rPr>
          <w:rFonts w:ascii="Times New Roman" w:eastAsia="Times New Roman" w:hAnsi="Times New Roman" w:cs="Times New Roman"/>
          <w:sz w:val="24"/>
          <w:szCs w:val="24"/>
        </w:rPr>
        <w:t>Datasus</w:t>
      </w:r>
      <w:proofErr w:type="spellEnd"/>
      <w:r w:rsidRPr="00393837">
        <w:rPr>
          <w:rFonts w:ascii="Times New Roman" w:eastAsia="Times New Roman" w:hAnsi="Times New Roman" w:cs="Times New Roman"/>
          <w:sz w:val="24"/>
          <w:szCs w:val="24"/>
        </w:rPr>
        <w:t>) do Ministério da Saúde. Os dados foram coletados do Sinan Net nos anos de 2020 a 2022 de acordo com faixa etária e dos agentes tóxicos e os anos determinados. O registro foi importado para o programa Excel®, onde foram incluídas as notificações de crianças de zero a 14 anos e não foram incluídos os dados com os campos sem preenchimento e ignorados e outras intoxicações não especificadas. Para este estudo a idade foi classificada conforme a faixa etária: menores de um ano, de um ano a quatro, cinco a nove e 10 a 14 anos, separados de acordo com o agente tóxico (medicamentos, agrotóxicos de uso agrícola, agrotóxicos domésticos, agrotóxicos de saúde pública, raticidas, produtos veterinários, produtos de uso domiciliar, cosméticos, produtos químicos, metal, drogas de abuso, plantas tóxicas, alimentos e bebidas). Por tratar-se de uma pesquisa realizada com dados secundários de domínio público, dispensou a autorização do comitê de ética em pesquisa. Como resultado: foram notificados 70.412 casos de intoxicação exógena, sendo a maior parte (41.753) por causas medicamentosas, seguidos de 11.240 notificações por produtos de uso domiciliar, 3.664 por alimentos e bebidas, 2.639 relacionados produtos químicos, 2.417 raticidas e 1.788 associados a drogas de abusos. Conclui-se que a principal causa de intoxicação exógena, foi por medicamentos, em todas as faixas etárias. Pode-se afirmar, que as crianças menores de cinco anos, são mais vulneráveis causando acidentes decorrentes da curiosidade infantil, enquanto, aos da faixa etária de 10 a 14 anos, estão mais relacionados ao acesso de drogas e álcool. Por fim, ressalta-se que a pandemia, trouxe à tona sentimentos negativos podendo gerar tentativa de suicídio.</w:t>
      </w:r>
    </w:p>
    <w:p w14:paraId="7D7B5FF8" w14:textId="77777777" w:rsidR="00AB6DB6" w:rsidRPr="00393837" w:rsidRDefault="00AB6DB6" w:rsidP="00AB6D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Intoxicação Infantil; Saúde da criança; Adolescentes; Educação em saúde, Prevenção de acidentes.</w:t>
      </w:r>
    </w:p>
    <w:p w14:paraId="5ADA643D" w14:textId="1F121190" w:rsidR="007334AB" w:rsidRDefault="007334AB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8911D" w14:textId="7C23CA2B" w:rsidR="00497129" w:rsidRDefault="00497129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BC26" w14:textId="77777777" w:rsidR="00497129" w:rsidRPr="00393837" w:rsidRDefault="00497129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45959" w14:textId="77777777" w:rsidR="00F14BD7" w:rsidRPr="00393837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8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INTRODUÇÃO </w:t>
      </w:r>
    </w:p>
    <w:p w14:paraId="6778265C" w14:textId="77777777" w:rsidR="00AB6DB6" w:rsidRPr="00393837" w:rsidRDefault="00AB6DB6" w:rsidP="00AB6DB6">
      <w:pPr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A intoxicação exógena é caracterizada pelo uso ou contato com uma substância tóxica para o organismo. Pode ser causada por um produto químico ou medicamentos que ocasionam alterações no corpo provocando reações adversas e nocivas, que podem alterar a homeostase do organismo (SILVA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2019; MELO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2021). Essas substâncias tóxicas estão comumente relacionadas a drogas, plantas, produtos químicos e industriais, produtos de uso domésticos, alimentos e bebidas (MELO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2021). Deste modo é um problema de saúde pública.</w:t>
      </w:r>
    </w:p>
    <w:p w14:paraId="07648AAA" w14:textId="2E9ED1CD" w:rsidR="00AB6DB6" w:rsidRPr="00393837" w:rsidRDefault="00AB6DB6" w:rsidP="00AB6DB6">
      <w:pPr>
        <w:keepNext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As intoxicações podem ocorrer por inalação da substância tóxica, serem ingeridas, contato com a pele e absorvidas internamente (BONFIM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2023). Na maioria das vezes transcorre de forma acidental. Estes acidentes são influenciados por fatores econômicos, educacionais e sociais</w:t>
      </w:r>
      <w:r w:rsidR="004F20C2" w:rsidRPr="003938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e o agente causador pode variar de acordo com a idade (LEITE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2022).</w:t>
      </w:r>
    </w:p>
    <w:p w14:paraId="37285D2C" w14:textId="77777777" w:rsidR="00AB6DB6" w:rsidRPr="00393837" w:rsidRDefault="00AB6DB6" w:rsidP="00AB6DB6">
      <w:pPr>
        <w:keepNext/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Em março de 2020 a Organização Mundial da Saúde (OMS) decretou pandemia causado pelo SARS-CoV-2 (OMS, 2020). Nesse cenário, o isolamento social atuou como um catalisador aumentando consideravelmente acidentes na infância, dentre eles, a intoxicação (MARCHETI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2020). O isolamento social promoveu sentimentos negativos, de medo, incertezas, potencializando o aparecimento dos transtornos mentais (GOLBERSTEIN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2019) quadros depressivos e de pensamentos suicidas.</w:t>
      </w:r>
    </w:p>
    <w:p w14:paraId="228B2A6B" w14:textId="77777777" w:rsidR="00AB6DB6" w:rsidRPr="00393837" w:rsidRDefault="00AB6DB6" w:rsidP="00AB6DB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Deste modo, identificar casos de intoxicação exógena torna-se importante para instrumentar os profissionais de saúde na prevenção destes acidentes. Portanto, conhecer os fatores causais e características dos acidentes por ingestão, inalação e contatos com substâncias tóxicas é fundamental para os desenvolvimentos de medidas com intuito de </w:t>
      </w:r>
      <w:bookmarkStart w:id="1" w:name="_Hlk136299943"/>
      <w:r w:rsidRPr="00393837">
        <w:rPr>
          <w:rFonts w:ascii="Times New Roman" w:eastAsia="Times New Roman" w:hAnsi="Times New Roman" w:cs="Times New Roman"/>
          <w:sz w:val="24"/>
          <w:szCs w:val="24"/>
        </w:rPr>
        <w:t>prevenir e reduzir danos.</w:t>
      </w:r>
    </w:p>
    <w:p w14:paraId="6BC3ED7C" w14:textId="5E7D5F9A" w:rsidR="00AB6DB6" w:rsidRDefault="00AB6DB6" w:rsidP="003938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>Considerando que à exposição as intoxicações exógenas são importantes causas de morbidade, em razão da vulnerabilidade de crianças e adolescentes, este estudo objetivou identificar e descrever os tipos de</w:t>
      </w:r>
      <w:r w:rsidRPr="00393837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>intoxicação em crianças e adolescentes no Brasil durante a pandemia (2020 a 2022).</w:t>
      </w:r>
    </w:p>
    <w:p w14:paraId="0AC97DFA" w14:textId="77777777" w:rsidR="00393837" w:rsidRPr="00393837" w:rsidRDefault="00393837" w:rsidP="0039383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8F1FC3A" w14:textId="5F9981B6" w:rsidR="00AB6DB6" w:rsidRPr="00393837" w:rsidRDefault="00AB6DB6" w:rsidP="00AB6DB6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366601B5" w14:textId="77777777" w:rsidR="00AB6DB6" w:rsidRPr="00393837" w:rsidRDefault="00AB6DB6" w:rsidP="00AB6DB6">
      <w:pPr>
        <w:spacing w:line="36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lastRenderedPageBreak/>
        <w:t>Trata-se de um estudo transversal e descritivo. Os dados de 2020 a 2022 foram coletados dos registros do Sistema de Informações de Agravos de Notificações (SINAN Net) do Departamento de Informática do Sistema Único de Saúde (DATASUS) do Ministério da Saúde.</w:t>
      </w:r>
    </w:p>
    <w:p w14:paraId="025C3EEB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O recorte temporal foi definido pelos autores que seria o período pandêmico embasado no primeiro ano (2020) e no último registro das notificações cadastradas no sistema (2022), até a presente data. </w:t>
      </w:r>
    </w:p>
    <w:p w14:paraId="5B218C72" w14:textId="77777777" w:rsidR="008D0588" w:rsidRPr="00393837" w:rsidRDefault="00AB6DB6" w:rsidP="008D058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Os dados de 2020-2022 foram coletados do SINAN Net de acordo com faixa etária das crianças e adolescentes e os agentes tóxicos. </w:t>
      </w:r>
      <w:r w:rsidR="004F20C2" w:rsidRPr="00393837">
        <w:rPr>
          <w:rFonts w:ascii="Times New Roman" w:eastAsia="Times New Roman" w:hAnsi="Times New Roman" w:cs="Times New Roman"/>
          <w:sz w:val="24"/>
          <w:szCs w:val="24"/>
        </w:rPr>
        <w:t>As informações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foram </w:t>
      </w:r>
      <w:r w:rsidR="004F20C2" w:rsidRPr="00393837">
        <w:rPr>
          <w:rFonts w:ascii="Times New Roman" w:eastAsia="Times New Roman" w:hAnsi="Times New Roman" w:cs="Times New Roman"/>
          <w:sz w:val="24"/>
          <w:szCs w:val="24"/>
        </w:rPr>
        <w:t>importadas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para o programa Excel®</w:t>
      </w:r>
      <w:bookmarkStart w:id="2" w:name="_Hlk136299872"/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. Para a investigação, a classificação da faixa etária foi de: menores de um ano, de um ano a quatro, cinco a nove e 10 a 14 anos. Quanto as variáveis dos agentes tóxicos foram </w:t>
      </w:r>
      <w:proofErr w:type="gramStart"/>
      <w:r w:rsidRPr="00393837">
        <w:rPr>
          <w:rFonts w:ascii="Times New Roman" w:eastAsia="Times New Roman" w:hAnsi="Times New Roman" w:cs="Times New Roman"/>
          <w:sz w:val="24"/>
          <w:szCs w:val="24"/>
        </w:rPr>
        <w:t>descritos</w:t>
      </w:r>
      <w:proofErr w:type="gramEnd"/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em: medicamentos; agrotóxicos de uso agrícola; agrotóxicos domésticos; agrotóxicos de saúde pública; raticidas; produtos veterinários; produtos de uso domiciliar; cosméticos; produtos químicos; metal; drogas de abuso; plantas tóxicas; alimentos e bebidas.</w:t>
      </w:r>
    </w:p>
    <w:p w14:paraId="6876C87C" w14:textId="2EDF6483" w:rsidR="00AB6DB6" w:rsidRDefault="00AB6DB6" w:rsidP="0039383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>Para análise utilizou-se análise estatística descritiva (frequências absolutas e relativas).</w:t>
      </w:r>
      <w:bookmarkEnd w:id="2"/>
      <w:r w:rsidR="008D0588" w:rsidRPr="00393837">
        <w:rPr>
          <w:rFonts w:ascii="Times New Roman" w:eastAsia="Times New Roman" w:hAnsi="Times New Roman" w:cs="Times New Roman"/>
          <w:sz w:val="24"/>
          <w:szCs w:val="24"/>
        </w:rPr>
        <w:t xml:space="preserve"> E p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>or tratar-se de uma pesquisa realizada com dados secundários de domínio público, o estudo dispensa a autorização do comitê de ética em pesquisa.</w:t>
      </w:r>
    </w:p>
    <w:p w14:paraId="4B1FC743" w14:textId="77777777" w:rsidR="00393837" w:rsidRPr="00393837" w:rsidRDefault="00393837" w:rsidP="0039383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7BA46" w14:textId="1E7091E3" w:rsidR="00AB6DB6" w:rsidRPr="00393837" w:rsidRDefault="00AB6DB6" w:rsidP="00AB6DB6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3 RESULTADOS E DISCUSSÕES</w:t>
      </w:r>
    </w:p>
    <w:p w14:paraId="5651D63C" w14:textId="77777777" w:rsidR="00AB6DB6" w:rsidRPr="00393837" w:rsidRDefault="00AB6DB6" w:rsidP="00AB6DB6">
      <w:pPr>
        <w:spacing w:line="36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>No período estudado foram notificados 70.412 casos de intoxicação exógena, sendo que 59,3% (41.753) por causas medicamentosas, seguidos de 16% (11.240) notificações por produtos de uso domiciliar; 5,2% (3.664) por alimentos e bebidas; 3,7% (2.639) relacionados aos produtos químicos; 3,4% (2.417) raticidas e 2,5% (1.788) associados a drogas de abusos.</w:t>
      </w:r>
    </w:p>
    <w:p w14:paraId="1C94AE97" w14:textId="78FFB03B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Em relação a idade 56,2% (3.835) dos casos de intoxicação em menores de um ano estava relacionada a medicamentos, seguidos por 12,1% (895) relacionados a acidentes envolvendo produtos de uso domiciliar; 6,9% (474) causadas por drogas de abusos e 6,2% (421) </w:t>
      </w:r>
      <w:r w:rsidR="008D0588" w:rsidRPr="00393837">
        <w:rPr>
          <w:rFonts w:ascii="Times New Roman" w:eastAsia="Times New Roman" w:hAnsi="Times New Roman" w:cs="Times New Roman"/>
          <w:sz w:val="24"/>
          <w:szCs w:val="24"/>
        </w:rPr>
        <w:t>das intoxicações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por alimentos e bebidas. Na faixa etária de um a quatro anos, 44,6% (14.500) das notificações foram por intoxicações por medicamentos; 26,7% (8.677) dos casos por produtos de uso domiciliar; 6,0% (1.937) acidentes com produtos químicos e 5,0% (1.641) por raticidas.</w:t>
      </w:r>
    </w:p>
    <w:p w14:paraId="0EFA94D3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A intoxicação medicamentosa em crianças menores de cinco anos é uma das causas mais frequentes em atendimento de emergências, esta população por estar na fase do crescimento e desenvolvimento infantil, é atraída pelas embalagens, formatos diferentes e sabores agradáveis 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(SILVA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2019). Além do mais, crianças de idade pré-escolar, são mais expostas as intoxicações, por ficarem maior tempo nos domicílios (MELO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2021). Local onde têm grande variedade de agentes tóxicos como: pesticidas, raticidas, plantas, produtos de higiene e limpeza (COSTA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2022). Somado a isso, em contexto pandêmico, os domissanitários e álcool em gel, foram e continuam sendo utilizados para o combate do vírus e as embalagens destes produtos nem sempre são originais e corretamente armazenados (MARCHETI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2020).</w:t>
      </w:r>
    </w:p>
    <w:p w14:paraId="3E2C1E72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>Em nota técnica, o Ministério da Saúde informa que entre janeiro e abril de 2020 os Centros de Informação e Assistência Toxicológicas (</w:t>
      </w:r>
      <w:proofErr w:type="spellStart"/>
      <w:r w:rsidRPr="00393837">
        <w:rPr>
          <w:rFonts w:ascii="Times New Roman" w:eastAsia="Times New Roman" w:hAnsi="Times New Roman" w:cs="Times New Roman"/>
          <w:sz w:val="24"/>
          <w:szCs w:val="24"/>
        </w:rPr>
        <w:t>CIATOx</w:t>
      </w:r>
      <w:proofErr w:type="spellEnd"/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), receberam cerca de 1.940 casos infantis envolvendo intoxicação por uso de saneantes, com um aumento de 23.30% em relação ao mesmo período do ano de 2019 (BRASIL, 2020a), e um aumento de mais de sete vezes com intoxicação por álcool em gel, em 2020 comparados aos anos de 2018 e 2019 (BRASIL, 2020b). </w:t>
      </w:r>
    </w:p>
    <w:p w14:paraId="3D98D34E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Na faixa etária de cinco a nove anos 57,7% (4.779) dos casos envolveram intoxicações medicamentosas; 12,7% (1.049) intoxicação alimentar ou por bebidas; 11,8% (977) pelos produtos de uso doméstico; 4,3% (357) por plantas tóxicas e 3,0% (249) associados a produtos químicos. Assim, como citado anteriormente, o próprio domicílio é local de riscos para as crianças (COSTA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, 2022), pela exposição doméstica aos medicamentos, na aquisição facilitada em drogarias, indicações de terapias medicamentosas por familiares e amigos e o fácil alcance das crianças, são fatores que predispõe as intoxicações endógenos na infância (SILVA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2019). </w:t>
      </w:r>
    </w:p>
    <w:p w14:paraId="2AEF33A6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Além de que pode ser causado por ideias suicidas, na busca de chamar a atenção, no uso em excesso, falhas na administração, confusão, tratamento inadequado e automedicação (COSTA </w:t>
      </w:r>
      <w:r w:rsidRPr="00393837">
        <w:rPr>
          <w:rFonts w:ascii="Times New Roman" w:eastAsia="Times New Roman" w:hAnsi="Times New Roman" w:cs="Times New Roman"/>
          <w:i/>
          <w:iCs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2022). </w:t>
      </w:r>
    </w:p>
    <w:p w14:paraId="359D38C1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Em relação a intoxicação alimentar, pode estar associado ao botulismo, causado pelo </w:t>
      </w:r>
      <w:r w:rsidRPr="003938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Clostridium </w:t>
      </w:r>
      <w:proofErr w:type="spellStart"/>
      <w:r w:rsidRPr="00393837">
        <w:rPr>
          <w:rFonts w:ascii="Times New Roman" w:eastAsia="Times New Roman" w:hAnsi="Times New Roman" w:cs="Times New Roman"/>
          <w:i/>
          <w:iCs/>
          <w:sz w:val="24"/>
          <w:szCs w:val="24"/>
        </w:rPr>
        <w:t>botulinum</w:t>
      </w:r>
      <w:proofErr w:type="spellEnd"/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, no entanto, na maioria dos acidentes, a confirmação por este agente fica inconclusivo pelos sintomas inespecíficos apresentados pela vítima (COSTA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2022)</w:t>
      </w:r>
    </w:p>
    <w:p w14:paraId="6B970898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Na faixa etária de 10 a 14 anos 81,9% (18.639) dos casos foram notificados por medicações; 4,8% (1.098) por alimentos e bebidas; 4,4% (1.012) associados a drogas de abuso; 3,3% (761) por produtos de uso doméstico e 1,3% (306) casos por raticidas. Vale ressaltar, que as intoxicações por medicamentos em crianças acima de 10 anos geralmente estão associadas a tentativa de suicídio (MELO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2021). O suicídio é um fenômeno complexo e multifatorial, envolve fatores, como medo, isolamento, solidão, desesperanças entre outros (REGER; </w:t>
      </w:r>
      <w:proofErr w:type="spellStart"/>
      <w:r w:rsidRPr="00393837">
        <w:rPr>
          <w:rFonts w:ascii="Times New Roman" w:eastAsia="Times New Roman" w:hAnsi="Times New Roman" w:cs="Times New Roman"/>
          <w:sz w:val="24"/>
          <w:szCs w:val="24"/>
        </w:rPr>
        <w:lastRenderedPageBreak/>
        <w:t>STANLEYl</w:t>
      </w:r>
      <w:proofErr w:type="spellEnd"/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; JOINER., 2020). Pode estar associado à depressão, esquizofrenia, relações hostis familiares, questões de gênero e agressões física (COSTA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2022). E no isolamento social em consequência da pandemia, pode ter potencializado transtornos comportamentais (GOLBERSTEIN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14:paraId="1C31B02C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Ademais, evidencia-se que a maioria dos transtornos mentais tem início na infância, o que torna essencial que seja diagnosticado e tratado precocemente (GOLBERSTEIN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14:paraId="394052B0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Por fim, outro fator relevante, é o aumento significativo de consumo de drogas lícitas e ilícitas e álcool, com a falta de fiscalização e influências das mídias, torna-se às crianças vulneráveis causando intoxicações e demandando cuidados de saúde (COSTA </w:t>
      </w:r>
      <w:r w:rsidRPr="00393837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2022) </w:t>
      </w:r>
    </w:p>
    <w:p w14:paraId="73B10772" w14:textId="77777777" w:rsidR="00AB6DB6" w:rsidRPr="00393837" w:rsidRDefault="00AB6DB6" w:rsidP="00AB6DB6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8DB3D7" w14:textId="5EC09DBF" w:rsidR="00AB6DB6" w:rsidRPr="00497129" w:rsidRDefault="00AB6DB6" w:rsidP="00AB6DB6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>4 CONCLUSÃO</w:t>
      </w:r>
    </w:p>
    <w:p w14:paraId="2AA6111B" w14:textId="34B0A496" w:rsidR="00497129" w:rsidRDefault="00AB6DB6" w:rsidP="00497129">
      <w:pPr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A principal causa de intoxicação exógena, foi por medicamentos, em todas as faixas etárias. Pode-se afirmar, que as crianças menores de cinco anos, são mais vulneráveis causando acidentes decorrentes da curiosidade infantil, enquanto, aos da faixa etária de 10 a 14 anos, estão mais relacionados ao acesso de drogas e álcool. Ressalta-se que a pandemia, trouxe à tona sentimentos negativos podendo gerar tentativa de suicídio. </w:t>
      </w:r>
    </w:p>
    <w:p w14:paraId="77A6DD8A" w14:textId="77777777" w:rsidR="00497129" w:rsidRPr="00497129" w:rsidRDefault="00497129" w:rsidP="00497129">
      <w:pPr>
        <w:spacing w:before="240" w:after="24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74C4" w14:textId="102B0DE4" w:rsidR="00393837" w:rsidRPr="00393837" w:rsidRDefault="00AB6DB6" w:rsidP="00AB6DB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B2D957C" w14:textId="77777777" w:rsidR="00AB6DB6" w:rsidRPr="00393837" w:rsidRDefault="00AB6DB6" w:rsidP="003938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BONFIM, R.V.S.; ROCHA, I.P.; PAULA, S.A.; BRITO, S. A.; BASTOS, N.L.M.V.; FREITAS, L.S. MACHADO, C.M. Intoxicação exógena por alimentos em crianças: aspectos </w:t>
      </w:r>
      <w:proofErr w:type="spellStart"/>
      <w:r w:rsidRPr="00393837">
        <w:rPr>
          <w:rFonts w:ascii="Times New Roman" w:eastAsia="Times New Roman" w:hAnsi="Times New Roman" w:cs="Times New Roman"/>
          <w:sz w:val="24"/>
          <w:szCs w:val="24"/>
        </w:rPr>
        <w:t>toxicodinâmicos</w:t>
      </w:r>
      <w:proofErr w:type="spellEnd"/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e toxicocinéticos. </w:t>
      </w: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Revista Eletrônica Acervo Científico,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v. 43, p.1-12, 2022. </w:t>
      </w:r>
      <w:proofErr w:type="spellStart"/>
      <w:r w:rsidRPr="00393837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 w:rsidRPr="00393837">
          <w:rPr>
            <w:rFonts w:ascii="Times New Roman" w:eastAsia="Times New Roman" w:hAnsi="Times New Roman" w:cs="Times New Roman"/>
            <w:sz w:val="24"/>
            <w:szCs w:val="24"/>
          </w:rPr>
          <w:t>10.25248/</w:t>
        </w:r>
        <w:proofErr w:type="gramStart"/>
        <w:r w:rsidRPr="00393837">
          <w:rPr>
            <w:rFonts w:ascii="Times New Roman" w:eastAsia="Times New Roman" w:hAnsi="Times New Roman" w:cs="Times New Roman"/>
            <w:sz w:val="24"/>
            <w:szCs w:val="24"/>
          </w:rPr>
          <w:t>reac.e</w:t>
        </w:r>
        <w:proofErr w:type="gramEnd"/>
        <w:r w:rsidRPr="00393837">
          <w:rPr>
            <w:rFonts w:ascii="Times New Roman" w:eastAsia="Times New Roman" w:hAnsi="Times New Roman" w:cs="Times New Roman"/>
            <w:sz w:val="24"/>
            <w:szCs w:val="24"/>
          </w:rPr>
          <w:t>11241.2023</w:t>
        </w:r>
      </w:hyperlink>
      <w:r w:rsidRPr="00393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CABC2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BRASIL. MINISTÉRIO DA SAÚDE</w:t>
      </w:r>
      <w:r w:rsidRPr="003938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hyperlink r:id="rId9">
        <w:r w:rsidRPr="00393837">
          <w:rPr>
            <w:rStyle w:val="Hyperlink"/>
            <w:rFonts w:ascii="Times New Roman" w:eastAsia="Times New Roman" w:hAnsi="Times New Roman" w:cs="Times New Roman"/>
            <w:b/>
            <w:color w:val="2E74B5" w:themeColor="accent1" w:themeShade="BF"/>
            <w:sz w:val="24"/>
            <w:szCs w:val="24"/>
          </w:rPr>
          <w:t>Monitoramento do Risco Sanitário de Produtos</w:t>
        </w:r>
      </w:hyperlink>
      <w:r w:rsidRPr="00393837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, </w:t>
      </w: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2022a. Disponível em: http://bibliotecadigital.anvisa.ibict.br/jspui/handle/anvisa/419. Acesso em: 29 maio 2023.</w:t>
      </w:r>
    </w:p>
    <w:p w14:paraId="1CE6191B" w14:textId="3DDAA5F6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BRASIL. MINISTÉRIO DA SAÚDE</w:t>
      </w: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hyperlink r:id="rId10">
        <w:r w:rsidRPr="0039383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Monitoramento do Risco Sanitário de Produtos</w:t>
        </w:r>
      </w:hyperlink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, 2022b.  Disponível em: http://bibliotecadigital.anvisa.ibict.br/jspui/handle/anvisa/408. Acesso em: 29 maio 2023.</w:t>
      </w:r>
    </w:p>
    <w:p w14:paraId="330E54F2" w14:textId="734CD89E" w:rsidR="008D0588" w:rsidRPr="00393837" w:rsidRDefault="00183A54" w:rsidP="00393837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D0588" w:rsidRPr="0039383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BRASIL. Ministério da Saúde. Secretaria de Vigilância em Saúde. Departamento de Vigilância Epidemiológica</w:t>
        </w:r>
      </w:hyperlink>
      <w:r w:rsidR="008D0588" w:rsidRPr="00393837">
        <w:rPr>
          <w:rFonts w:ascii="Times New Roman" w:hAnsi="Times New Roman" w:cs="Times New Roman"/>
          <w:sz w:val="24"/>
          <w:szCs w:val="24"/>
        </w:rPr>
        <w:t> . </w:t>
      </w:r>
      <w:hyperlink r:id="rId12" w:history="1">
        <w:r w:rsidR="008D0588" w:rsidRPr="0039383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Sistema de Informação de Agravos de Notificação - Sinan</w:t>
        </w:r>
      </w:hyperlink>
      <w:r w:rsidR="008D0588" w:rsidRPr="00393837">
        <w:rPr>
          <w:rFonts w:ascii="Times New Roman" w:hAnsi="Times New Roman" w:cs="Times New Roman"/>
          <w:sz w:val="24"/>
          <w:szCs w:val="24"/>
        </w:rPr>
        <w:t xml:space="preserve">. </w:t>
      </w:r>
      <w:r w:rsidR="00216120" w:rsidRPr="00393837">
        <w:rPr>
          <w:rFonts w:ascii="Times New Roman" w:hAnsi="Times New Roman" w:cs="Times New Roman"/>
          <w:sz w:val="24"/>
          <w:szCs w:val="24"/>
        </w:rPr>
        <w:t>Disponível em: &lt;</w:t>
      </w:r>
      <w:hyperlink r:id="rId13" w:history="1">
        <w:r w:rsidR="00216120" w:rsidRPr="00393837">
          <w:rPr>
            <w:rStyle w:val="Hyperlink"/>
            <w:rFonts w:ascii="Times New Roman" w:hAnsi="Times New Roman" w:cs="Times New Roman"/>
            <w:sz w:val="24"/>
            <w:szCs w:val="24"/>
          </w:rPr>
          <w:t>http://tabnet.datasus.gov.br/cgi/deftohtm.exe?sinannet/cnv/Intoxbr.def</w:t>
        </w:r>
      </w:hyperlink>
      <w:r w:rsidR="00216120" w:rsidRPr="00393837">
        <w:rPr>
          <w:rFonts w:ascii="Times New Roman" w:hAnsi="Times New Roman" w:cs="Times New Roman"/>
          <w:sz w:val="24"/>
          <w:szCs w:val="24"/>
        </w:rPr>
        <w:t>&gt; Acesso em: 30 de maio 2023.</w:t>
      </w:r>
    </w:p>
    <w:p w14:paraId="425DDC4D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COSTA, A.B.O.; ROCHA, D.C. SOUSA, J.S.P.; LUNA, L.A.S.; SOUZA, S.F.; MACIEL, J.C. Principais causas de intoxicação em crianças: uma revisão integrativa. </w:t>
      </w:r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>e-Acadêmica</w:t>
      </w: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, v.3, n. 1, p.1-18, 2022 DOI:</w:t>
      </w:r>
      <w:hyperlink r:id="rId14">
        <w:r w:rsidRPr="0039383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10.52076/eacad-v3i1.109</w:t>
        </w:r>
      </w:hyperlink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5D9585B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GOLBERSTEIN, E.; WEN, H.; MILLER, B.F. Coronavirus disease 2019 (COVID-19) and mental health for children and adolescents. </w:t>
      </w: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 xml:space="preserve">JAMA </w:t>
      </w:r>
      <w:proofErr w:type="spellStart"/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pediatrics</w:t>
      </w:r>
      <w:proofErr w:type="spellEnd"/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, v.174, n.9, p.819-820, 2020.DOI: 10.1001/jamapediatrics.2020.1456</w:t>
      </w:r>
    </w:p>
    <w:p w14:paraId="1E1F617E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 xml:space="preserve">LEITE, C.E.A.; VASCONCELOS, M.V.G.; FERREIRA, J.A.; VASCONCELOS, T.N.G. Intoxicação exógenas em crianças devido ao uso de medicamentos no Brasil: Avaliação do perfil de notificações. </w:t>
      </w:r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Research, Society and Development,</w:t>
      </w:r>
      <w:r w:rsidRPr="003938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v. 10, n.7, p.1-10, 2021 DOI:10.33448/rsd-v10i7.16647</w:t>
      </w:r>
    </w:p>
    <w:p w14:paraId="34EBEEB9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 xml:space="preserve">MARCHETI MA, LUIZARI MR, MARQUES FR, CAÑEDO MC, MENEZES LF, VOLPE IG. Acidentes na infância em tempo de pandemia pela COVID-19. </w:t>
      </w:r>
      <w:proofErr w:type="spellStart"/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proofErr w:type="spellEnd"/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>Soc</w:t>
      </w:r>
      <w:proofErr w:type="spellEnd"/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393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Ped</w:t>
      </w: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. v. 20, p.16-25, 2020.</w:t>
      </w:r>
    </w:p>
    <w:p w14:paraId="5A3201C7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ORGANIZAÇÃO MUNDIAL DA SAÚDE (OMS). </w:t>
      </w:r>
      <w:r w:rsidRPr="003938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WHO </w:t>
      </w:r>
      <w:r w:rsidRPr="003938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Director-General's opening remarks at the media briefing on COVID-19</w:t>
      </w:r>
      <w:r w:rsidRPr="003938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- 11 March 2020. </w:t>
      </w:r>
      <w:r w:rsidRPr="00393837">
        <w:rPr>
          <w:rFonts w:ascii="Times New Roman" w:eastAsia="Times New Roman" w:hAnsi="Times New Roman" w:cs="Times New Roman"/>
          <w:bCs/>
          <w:sz w:val="24"/>
          <w:szCs w:val="24"/>
        </w:rPr>
        <w:t>2020. Disponível em: &lt;https://www.who.int/director-general/speeches/detail/who-director-general-s-opening-remarks-at-the-media-briefing-on-covid-19---11-march-2020&gt;. Acesso em: 28 maio 2023. </w:t>
      </w:r>
    </w:p>
    <w:p w14:paraId="4B7B0F93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37">
        <w:rPr>
          <w:rFonts w:ascii="Times New Roman" w:hAnsi="Times New Roman" w:cs="Times New Roman"/>
        </w:rPr>
        <w:t xml:space="preserve">SALEM, D. KATRANJI, F. BAKDASH, T. Infecção por COVID-19 em mulheres grávidas: Revisão dos resultados maternos e fetais. </w:t>
      </w:r>
      <w:proofErr w:type="spellStart"/>
      <w:r w:rsidRPr="00393837">
        <w:rPr>
          <w:rFonts w:ascii="Times New Roman" w:hAnsi="Times New Roman" w:cs="Times New Roman"/>
          <w:b/>
        </w:rPr>
        <w:t>Int</w:t>
      </w:r>
      <w:proofErr w:type="spellEnd"/>
      <w:r w:rsidRPr="00393837">
        <w:rPr>
          <w:rFonts w:ascii="Times New Roman" w:hAnsi="Times New Roman" w:cs="Times New Roman"/>
          <w:b/>
        </w:rPr>
        <w:t xml:space="preserve"> J </w:t>
      </w:r>
      <w:proofErr w:type="spellStart"/>
      <w:r w:rsidRPr="00393837">
        <w:rPr>
          <w:rFonts w:ascii="Times New Roman" w:hAnsi="Times New Roman" w:cs="Times New Roman"/>
          <w:b/>
        </w:rPr>
        <w:t>Gynaecol</w:t>
      </w:r>
      <w:proofErr w:type="spellEnd"/>
      <w:r w:rsidRPr="00393837">
        <w:rPr>
          <w:rFonts w:ascii="Times New Roman" w:hAnsi="Times New Roman" w:cs="Times New Roman"/>
          <w:b/>
        </w:rPr>
        <w:t xml:space="preserve"> Obstet.</w:t>
      </w:r>
      <w:r w:rsidRPr="00393837">
        <w:rPr>
          <w:rFonts w:ascii="Times New Roman" w:hAnsi="Times New Roman" w:cs="Times New Roman"/>
        </w:rPr>
        <w:t xml:space="preserve"> Kansas City, KS, USA, v.152, n.3, p. 291-298,2021. doi:10.1002/ijgo.13533</w:t>
      </w:r>
    </w:p>
    <w:p w14:paraId="4B1163E7" w14:textId="77777777" w:rsidR="00AB6DB6" w:rsidRPr="00393837" w:rsidRDefault="00AB6DB6" w:rsidP="0039383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SILVA, A.R.; MOURA, J.M.A.; PIVETTA, L.F.; EDUARDO, A.M.L.N. Intoxicação medicamentosa infantil. </w:t>
      </w:r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 xml:space="preserve">Braz. J. </w:t>
      </w:r>
      <w:proofErr w:type="spellStart"/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Develop</w:t>
      </w:r>
      <w:proofErr w:type="spellEnd"/>
      <w:r w:rsidRPr="00393837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Pr="00393837">
        <w:rPr>
          <w:rFonts w:ascii="Times New Roman" w:eastAsia="Times New Roman" w:hAnsi="Times New Roman" w:cs="Times New Roman"/>
          <w:sz w:val="24"/>
          <w:szCs w:val="24"/>
        </w:rPr>
        <w:t xml:space="preserve"> Curitiba, v. 6, n. 1, p. 5072-5075, 2019. DOI:10.34117/bjdv6n1-366</w:t>
      </w:r>
    </w:p>
    <w:p w14:paraId="412EFE46" w14:textId="7D69C682" w:rsidR="00E60E21" w:rsidRPr="00393837" w:rsidRDefault="00E60E21" w:rsidP="00AA0556">
      <w:pPr>
        <w:spacing w:line="240" w:lineRule="auto"/>
        <w:rPr>
          <w:rFonts w:ascii="Times New Roman" w:hAnsi="Times New Roman" w:cs="Times New Roman"/>
          <w:bCs/>
        </w:rPr>
      </w:pPr>
      <w:bookmarkStart w:id="3" w:name="_x5rnmbdok13m" w:colFirst="0" w:colLast="0"/>
      <w:bookmarkStart w:id="4" w:name="_ooc686mp7wws" w:colFirst="0" w:colLast="0"/>
      <w:bookmarkStart w:id="5" w:name="_2e4yal12o3u8" w:colFirst="0" w:colLast="0"/>
      <w:bookmarkStart w:id="6" w:name="_51i5rfhepdq8" w:colFirst="0" w:colLast="0"/>
      <w:bookmarkStart w:id="7" w:name="_mil1hwo9lwyf" w:colFirst="0" w:colLast="0"/>
      <w:bookmarkEnd w:id="3"/>
      <w:bookmarkEnd w:id="4"/>
      <w:bookmarkEnd w:id="5"/>
      <w:bookmarkEnd w:id="6"/>
      <w:bookmarkEnd w:id="7"/>
    </w:p>
    <w:sectPr w:rsidR="00E60E21" w:rsidRPr="00393837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6959" w14:textId="77777777" w:rsidR="00183A54" w:rsidRDefault="00183A54" w:rsidP="000821FD">
      <w:pPr>
        <w:spacing w:after="0" w:line="240" w:lineRule="auto"/>
      </w:pPr>
      <w:r>
        <w:separator/>
      </w:r>
    </w:p>
  </w:endnote>
  <w:endnote w:type="continuationSeparator" w:id="0">
    <w:p w14:paraId="34D34FC6" w14:textId="77777777" w:rsidR="00183A54" w:rsidRDefault="00183A54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05A9" w14:textId="77777777" w:rsidR="00183A54" w:rsidRDefault="00183A54" w:rsidP="000821FD">
      <w:pPr>
        <w:spacing w:after="0" w:line="240" w:lineRule="auto"/>
      </w:pPr>
      <w:r>
        <w:separator/>
      </w:r>
    </w:p>
  </w:footnote>
  <w:footnote w:type="continuationSeparator" w:id="0">
    <w:p w14:paraId="300DD03A" w14:textId="77777777" w:rsidR="00183A54" w:rsidRDefault="00183A54" w:rsidP="0008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3FD8"/>
    <w:multiLevelType w:val="multilevel"/>
    <w:tmpl w:val="FFA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F1B09"/>
    <w:multiLevelType w:val="multilevel"/>
    <w:tmpl w:val="BFD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35AB"/>
    <w:rsid w:val="00096D2D"/>
    <w:rsid w:val="000A798A"/>
    <w:rsid w:val="000B1C26"/>
    <w:rsid w:val="00150F7A"/>
    <w:rsid w:val="00183A54"/>
    <w:rsid w:val="00195508"/>
    <w:rsid w:val="001A7D53"/>
    <w:rsid w:val="00216120"/>
    <w:rsid w:val="00244199"/>
    <w:rsid w:val="00254D48"/>
    <w:rsid w:val="0029174C"/>
    <w:rsid w:val="00294C87"/>
    <w:rsid w:val="002979AA"/>
    <w:rsid w:val="00334D94"/>
    <w:rsid w:val="00343536"/>
    <w:rsid w:val="00361C27"/>
    <w:rsid w:val="00393837"/>
    <w:rsid w:val="00411B32"/>
    <w:rsid w:val="00456595"/>
    <w:rsid w:val="00472C22"/>
    <w:rsid w:val="00497129"/>
    <w:rsid w:val="004E4FE0"/>
    <w:rsid w:val="004F20C2"/>
    <w:rsid w:val="004F3E1C"/>
    <w:rsid w:val="0055665A"/>
    <w:rsid w:val="005623C3"/>
    <w:rsid w:val="0058491B"/>
    <w:rsid w:val="005E1630"/>
    <w:rsid w:val="00620D03"/>
    <w:rsid w:val="0067031F"/>
    <w:rsid w:val="006B7CB6"/>
    <w:rsid w:val="00725FAF"/>
    <w:rsid w:val="007334AB"/>
    <w:rsid w:val="007528F5"/>
    <w:rsid w:val="007D2BAF"/>
    <w:rsid w:val="007E5B1E"/>
    <w:rsid w:val="008025A1"/>
    <w:rsid w:val="00844F4F"/>
    <w:rsid w:val="008902C1"/>
    <w:rsid w:val="008D0588"/>
    <w:rsid w:val="00904E38"/>
    <w:rsid w:val="009059DC"/>
    <w:rsid w:val="00A04C78"/>
    <w:rsid w:val="00A66AE9"/>
    <w:rsid w:val="00AA0556"/>
    <w:rsid w:val="00AA6C63"/>
    <w:rsid w:val="00AB6DB6"/>
    <w:rsid w:val="00AD2D95"/>
    <w:rsid w:val="00B66070"/>
    <w:rsid w:val="00BA1C3F"/>
    <w:rsid w:val="00CB745F"/>
    <w:rsid w:val="00CC1148"/>
    <w:rsid w:val="00CF7E14"/>
    <w:rsid w:val="00D136B2"/>
    <w:rsid w:val="00D37392"/>
    <w:rsid w:val="00D73973"/>
    <w:rsid w:val="00D74CF1"/>
    <w:rsid w:val="00D818F2"/>
    <w:rsid w:val="00DE3205"/>
    <w:rsid w:val="00DF1841"/>
    <w:rsid w:val="00E344B6"/>
    <w:rsid w:val="00E40F52"/>
    <w:rsid w:val="00E52533"/>
    <w:rsid w:val="00E60E21"/>
    <w:rsid w:val="00E77B4E"/>
    <w:rsid w:val="00EA2330"/>
    <w:rsid w:val="00EB1612"/>
    <w:rsid w:val="00F14BD7"/>
    <w:rsid w:val="00F641ED"/>
    <w:rsid w:val="00F64437"/>
    <w:rsid w:val="00FB1F5E"/>
    <w:rsid w:val="00FE047A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90AF0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0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93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customStyle="1" w:styleId="Ttulo1Char">
    <w:name w:val="Título 1 Char"/>
    <w:basedOn w:val="Fontepargpadro"/>
    <w:link w:val="Ttulo1"/>
    <w:uiPriority w:val="9"/>
    <w:rsid w:val="00FE04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uthorstitle">
    <w:name w:val="authors__title"/>
    <w:basedOn w:val="Normal"/>
    <w:rsid w:val="00FE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0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0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04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04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04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B1E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Fontepargpadro"/>
    <w:rsid w:val="00FE048F"/>
  </w:style>
  <w:style w:type="character" w:customStyle="1" w:styleId="Ttulo2Char">
    <w:name w:val="Título 2 Char"/>
    <w:basedOn w:val="Fontepargpadro"/>
    <w:link w:val="Ttulo2"/>
    <w:uiPriority w:val="9"/>
    <w:rsid w:val="000935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eparator">
    <w:name w:val="_separator"/>
    <w:basedOn w:val="Fontepargpadro"/>
    <w:rsid w:val="000935AB"/>
  </w:style>
  <w:style w:type="character" w:customStyle="1" w:styleId="group-doi">
    <w:name w:val="group-doi"/>
    <w:basedOn w:val="Fontepargpadro"/>
    <w:rsid w:val="000935AB"/>
  </w:style>
  <w:style w:type="character" w:customStyle="1" w:styleId="ref">
    <w:name w:val="ref"/>
    <w:basedOn w:val="Fontepargpadro"/>
    <w:rsid w:val="00F641ED"/>
  </w:style>
  <w:style w:type="character" w:styleId="MenoPendente">
    <w:name w:val="Unresolved Mention"/>
    <w:basedOn w:val="Fontepargpadro"/>
    <w:uiPriority w:val="99"/>
    <w:semiHidden/>
    <w:unhideWhenUsed/>
    <w:rsid w:val="008D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248/reac.e11241.2023" TargetMode="External"/><Relationship Id="rId13" Type="http://schemas.openxmlformats.org/officeDocument/2006/relationships/hyperlink" Target="http://tabnet.datasus.gov.br/cgi/deftohtm.exe?sinannet/cnv/Intoxbr.d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scon.medicina.ufmg.br/biblioteca/pesquisa/simples/Sistema%20de%20Informa%C3%A7%C3%A3o%20de%20Agravos%20de%20Notifica%C3%A7%C3%A3o%20-%20Sinan/10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scon.medicina.ufmg.br/biblioteca/pesquisa/simples/BRASIL.%20Minist%C3%A9rio%20da%20Sa%C3%BAde.%20Secretaria%20de%20Vigil%C3%A2ncia%20em%20Sa%C3%BAde.%20Departamento%20de%20Vigil%C3%A2ncia%20Epidemiol%C3%B3gica/10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uscajuventude.ibict.br:8080/jspui/handle/anvisa/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cajuventude.ibict.br:8080/jspui/handle/anvisa/99" TargetMode="External"/><Relationship Id="rId14" Type="http://schemas.openxmlformats.org/officeDocument/2006/relationships/hyperlink" Target="http://dx.doi.org/10.52076/eacad-v3i1.1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148E-0963-4E40-ADF5-E07E3887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2303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Usuario</cp:lastModifiedBy>
  <cp:revision>2</cp:revision>
  <dcterms:created xsi:type="dcterms:W3CDTF">2023-06-03T01:37:00Z</dcterms:created>
  <dcterms:modified xsi:type="dcterms:W3CDTF">2023-06-03T01:37:00Z</dcterms:modified>
</cp:coreProperties>
</file>