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D846" w14:textId="27039C29" w:rsidR="00D22A2A" w:rsidRPr="00E33F95" w:rsidRDefault="007E3D8D" w:rsidP="00D22A2A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7E3D8D">
        <w:rPr>
          <w:rFonts w:ascii="Times New Roman" w:hAnsi="Times New Roman" w:cs="Times New Roman (Body CS)"/>
          <w:b/>
          <w:caps/>
          <w:sz w:val="28"/>
          <w:szCs w:val="24"/>
          <w:lang w:val="en-US"/>
        </w:rPr>
        <w:t xml:space="preserve">Genomic </w:t>
      </w:r>
      <w:r w:rsidR="00F16052">
        <w:rPr>
          <w:rFonts w:ascii="Times New Roman" w:hAnsi="Times New Roman" w:cs="Times New Roman (Body CS)"/>
          <w:b/>
          <w:caps/>
          <w:sz w:val="28"/>
          <w:szCs w:val="24"/>
          <w:lang w:val="en-US"/>
        </w:rPr>
        <w:t>CONSEQUENCES</w:t>
      </w:r>
      <w:r w:rsidRPr="007E3D8D">
        <w:rPr>
          <w:rFonts w:ascii="Times New Roman" w:hAnsi="Times New Roman" w:cs="Times New Roman (Body CS)"/>
          <w:b/>
          <w:caps/>
          <w:sz w:val="28"/>
          <w:szCs w:val="24"/>
          <w:lang w:val="en-US"/>
        </w:rPr>
        <w:t xml:space="preserve"> </w:t>
      </w:r>
      <w:r w:rsidR="00F16052">
        <w:rPr>
          <w:rFonts w:ascii="Times New Roman" w:hAnsi="Times New Roman" w:cs="Times New Roman (Body CS)"/>
          <w:b/>
          <w:caps/>
          <w:sz w:val="28"/>
          <w:szCs w:val="24"/>
          <w:lang w:val="en-US"/>
        </w:rPr>
        <w:t>OF HYBRIDIZATION</w:t>
      </w:r>
      <w:r w:rsidRPr="007E3D8D">
        <w:rPr>
          <w:rFonts w:ascii="Times New Roman" w:hAnsi="Times New Roman" w:cs="Times New Roman (Body CS)"/>
          <w:b/>
          <w:caps/>
          <w:sz w:val="28"/>
          <w:szCs w:val="24"/>
          <w:lang w:val="en-US"/>
        </w:rPr>
        <w:t xml:space="preserve"> </w:t>
      </w:r>
      <w:r w:rsidR="00F16052">
        <w:rPr>
          <w:rFonts w:ascii="Times New Roman" w:hAnsi="Times New Roman" w:cs="Times New Roman (Body CS)"/>
          <w:b/>
          <w:caps/>
          <w:sz w:val="28"/>
          <w:szCs w:val="24"/>
          <w:lang w:val="en-US"/>
        </w:rPr>
        <w:t xml:space="preserve">IN </w:t>
      </w:r>
      <w:r w:rsidRPr="007E3D8D">
        <w:rPr>
          <w:rFonts w:ascii="Times New Roman" w:hAnsi="Times New Roman" w:cs="Times New Roman (Body CS)"/>
          <w:b/>
          <w:caps/>
          <w:sz w:val="28"/>
          <w:szCs w:val="24"/>
          <w:lang w:val="en-US"/>
        </w:rPr>
        <w:t>an open species complex. The saxicol</w:t>
      </w:r>
      <w:bookmarkStart w:id="0" w:name="_GoBack"/>
      <w:bookmarkEnd w:id="0"/>
      <w:r w:rsidRPr="007E3D8D">
        <w:rPr>
          <w:rFonts w:ascii="Times New Roman" w:hAnsi="Times New Roman" w:cs="Times New Roman (Body CS)"/>
          <w:b/>
          <w:caps/>
          <w:sz w:val="28"/>
          <w:szCs w:val="24"/>
          <w:lang w:val="en-US"/>
        </w:rPr>
        <w:t>ous</w:t>
      </w:r>
      <w:r w:rsidRPr="007E3D8D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Pr="007E3D8D">
        <w:rPr>
          <w:rFonts w:ascii="Times New Roman" w:hAnsi="Times New Roman"/>
          <w:b/>
          <w:i/>
          <w:sz w:val="28"/>
          <w:szCs w:val="24"/>
          <w:lang w:val="en-US"/>
        </w:rPr>
        <w:t>Pyrenodesmia</w:t>
      </w:r>
      <w:proofErr w:type="spellEnd"/>
      <w:r w:rsidRPr="007E3D8D">
        <w:rPr>
          <w:rFonts w:ascii="Times New Roman" w:hAnsi="Times New Roman"/>
          <w:b/>
          <w:sz w:val="28"/>
          <w:szCs w:val="24"/>
          <w:lang w:val="en-US"/>
        </w:rPr>
        <w:t xml:space="preserve"> (</w:t>
      </w:r>
      <w:proofErr w:type="spellStart"/>
      <w:r w:rsidRPr="007E3D8D">
        <w:rPr>
          <w:rFonts w:ascii="Times New Roman" w:hAnsi="Times New Roman"/>
          <w:b/>
          <w:sz w:val="28"/>
          <w:szCs w:val="24"/>
          <w:lang w:val="en-US"/>
        </w:rPr>
        <w:t>Teloschistaceae</w:t>
      </w:r>
      <w:proofErr w:type="spellEnd"/>
      <w:r w:rsidRPr="007E3D8D">
        <w:rPr>
          <w:rFonts w:ascii="Times New Roman" w:hAnsi="Times New Roman"/>
          <w:b/>
          <w:sz w:val="28"/>
          <w:szCs w:val="24"/>
          <w:lang w:val="en-US"/>
        </w:rPr>
        <w:t xml:space="preserve">) </w:t>
      </w:r>
      <w:r w:rsidRPr="007E3D8D">
        <w:rPr>
          <w:rFonts w:ascii="Times New Roman" w:hAnsi="Times New Roman" w:cs="Times New Roman (Body CS)"/>
          <w:b/>
          <w:caps/>
          <w:sz w:val="28"/>
          <w:szCs w:val="24"/>
          <w:lang w:val="en-US"/>
        </w:rPr>
        <w:t>in Eurasia</w:t>
      </w:r>
    </w:p>
    <w:p w14:paraId="2EE6A3BD" w14:textId="06E16252" w:rsidR="00D22A2A" w:rsidRPr="00E33F95" w:rsidRDefault="007E3D8D" w:rsidP="00D22A2A">
      <w:pPr>
        <w:spacing w:after="12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7E3D8D">
        <w:rPr>
          <w:rFonts w:ascii="Times New Roman" w:hAnsi="Times New Roman"/>
          <w:sz w:val="24"/>
          <w:szCs w:val="24"/>
          <w:lang w:val="en-US"/>
        </w:rPr>
        <w:t>Fernando Fernandez-Mendoza</w:t>
      </w: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1*</w:t>
      </w:r>
      <w:r>
        <w:rPr>
          <w:rFonts w:ascii="Times New Roman" w:hAnsi="Times New Roman"/>
          <w:sz w:val="24"/>
          <w:szCs w:val="24"/>
          <w:lang w:val="en-US"/>
        </w:rPr>
        <w:t>;</w:t>
      </w:r>
      <w:r w:rsidRPr="007E3D8D">
        <w:rPr>
          <w:rFonts w:ascii="Times New Roman" w:hAnsi="Times New Roman"/>
          <w:sz w:val="24"/>
          <w:szCs w:val="24"/>
          <w:lang w:val="en-US"/>
        </w:rPr>
        <w:t xml:space="preserve"> Eva Strasser</w:t>
      </w: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;</w:t>
      </w:r>
      <w:r w:rsidRPr="007E3D8D">
        <w:rPr>
          <w:rFonts w:ascii="Times New Roman" w:hAnsi="Times New Roman"/>
          <w:sz w:val="24"/>
          <w:szCs w:val="24"/>
          <w:lang w:val="en-US"/>
        </w:rPr>
        <w:t xml:space="preserve"> Jan Vondrak</w:t>
      </w: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E3D8D">
        <w:rPr>
          <w:rFonts w:ascii="Times New Roman" w:hAnsi="Times New Roman"/>
          <w:sz w:val="24"/>
          <w:szCs w:val="24"/>
          <w:lang w:val="en-US"/>
        </w:rPr>
        <w:t>Ivan Frolov</w:t>
      </w: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E3D8D">
        <w:rPr>
          <w:rFonts w:ascii="Times New Roman" w:hAnsi="Times New Roman"/>
          <w:sz w:val="24"/>
          <w:szCs w:val="24"/>
          <w:lang w:val="en-US"/>
        </w:rPr>
        <w:t>Lucia Muggia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E3D8D">
        <w:rPr>
          <w:rFonts w:ascii="Times New Roman" w:hAnsi="Times New Roman"/>
          <w:sz w:val="24"/>
          <w:szCs w:val="24"/>
          <w:lang w:val="en-US"/>
        </w:rPr>
        <w:t>Ester Gaya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E33F95">
        <w:rPr>
          <w:rFonts w:ascii="Times New Roman" w:hAnsi="Times New Roman"/>
          <w:sz w:val="24"/>
          <w:szCs w:val="24"/>
          <w:lang w:val="en-US"/>
        </w:rPr>
        <w:t>;</w:t>
      </w:r>
      <w:r w:rsidRPr="007E3D8D">
        <w:rPr>
          <w:rFonts w:ascii="Times New Roman" w:hAnsi="Times New Roman"/>
          <w:sz w:val="24"/>
          <w:szCs w:val="24"/>
          <w:lang w:val="en-US"/>
        </w:rPr>
        <w:t xml:space="preserve"> Helmut Mayrhofer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E3D8D">
        <w:rPr>
          <w:rFonts w:ascii="Times New Roman" w:hAnsi="Times New Roman"/>
          <w:sz w:val="24"/>
          <w:szCs w:val="24"/>
          <w:lang w:val="en-US"/>
        </w:rPr>
        <w:t>Martin Grube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14:paraId="612446E0" w14:textId="5160A2B3" w:rsidR="00D22A2A" w:rsidRPr="00E33F95" w:rsidRDefault="00D22A2A" w:rsidP="00D22A2A">
      <w:pPr>
        <w:jc w:val="center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</w:pP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41562C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>Institute of Biology, Karl-</w:t>
      </w:r>
      <w:proofErr w:type="spellStart"/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>Franzens</w:t>
      </w:r>
      <w:proofErr w:type="spellEnd"/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>-University of Graz, Austria</w:t>
      </w:r>
      <w:r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Institute of Botany, Academy of Sciences of the Czech Republic, </w:t>
      </w:r>
      <w:proofErr w:type="spellStart"/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>Průhonice</w:t>
      </w:r>
      <w:proofErr w:type="spellEnd"/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>, Czech Republic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3 </w:t>
      </w:r>
      <w:proofErr w:type="spellStart"/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>Universita</w:t>
      </w:r>
      <w:proofErr w:type="spellEnd"/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>degli</w:t>
      </w:r>
      <w:proofErr w:type="spellEnd"/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>Studi</w:t>
      </w:r>
      <w:proofErr w:type="spellEnd"/>
      <w:r w:rsidR="007E3D8D" w:rsidRP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de Trieste, Italy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4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Royal Botanic gardens, Kew, Surrey, UK</w:t>
      </w:r>
      <w:r w:rsid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*</w:t>
      </w:r>
      <w:proofErr w:type="spellStart"/>
      <w:proofErr w:type="gramStart"/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>E-mail:</w:t>
      </w:r>
      <w:r w:rsidR="007E3D8D">
        <w:rPr>
          <w:rFonts w:ascii="Times New Roman" w:hAnsi="Times New Roman"/>
          <w:color w:val="000000" w:themeColor="text1"/>
          <w:sz w:val="24"/>
          <w:szCs w:val="24"/>
          <w:lang w:val="en-US"/>
        </w:rPr>
        <w:t>fernadf@uni-graz.at</w:t>
      </w:r>
      <w:proofErr w:type="spellEnd"/>
      <w:proofErr w:type="gramEnd"/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2C25BACD" w14:textId="77777777" w:rsidR="007E3D8D" w:rsidRDefault="007E3D8D" w:rsidP="007E3D8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p w14:paraId="222237E6" w14:textId="63286FA2" w:rsidR="00EC46A8" w:rsidRDefault="007E3D8D" w:rsidP="004039D6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 idea that </w:t>
      </w:r>
      <w:r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species constitute a natural unit of biological organization has remained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 central dogma </w:t>
      </w:r>
      <w:r w:rsidR="001A71C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in</w:t>
      </w:r>
      <w:r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evolutionary biology. </w:t>
      </w:r>
      <w:r w:rsidR="008A18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While s</w:t>
      </w:r>
      <w:r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peciation is a major outcome </w:t>
      </w:r>
      <w:r w:rsidR="000D264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of </w:t>
      </w:r>
      <w:r w:rsidR="008A18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evolution</w:t>
      </w:r>
      <w:r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, it</w:t>
      </w:r>
      <w:r w:rsidR="002D4BF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does not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necessarily </w:t>
      </w:r>
      <w:r w:rsidR="002D4BF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result in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 segmentation of life into discrete categories, but </w:t>
      </w:r>
      <w:r w:rsidR="002D4BF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in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 </w:t>
      </w:r>
      <w:r w:rsidR="002D4BF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more </w:t>
      </w:r>
      <w:r w:rsidR="000D264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continuous landscape of diversification</w:t>
      </w:r>
      <w:r w:rsidR="008A18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Extrinsic reproductive boundaries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between species </w:t>
      </w:r>
      <w:r w:rsidR="008A18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may fluctuat</w:t>
      </w:r>
      <w:r w:rsidR="00D9307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 as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their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D9307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ranges develop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2D4BF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</w:t>
      </w:r>
      <w:r w:rsidR="004039D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="00D9307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the absence of intrinsic boundaries, species may remain </w:t>
      </w:r>
      <w:r w:rsidR="00D767E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reproductively </w:t>
      </w:r>
      <w:r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compatib</w:t>
      </w:r>
      <w:r w:rsidR="00D9307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le.</w:t>
      </w:r>
    </w:p>
    <w:p w14:paraId="7D8944C2" w14:textId="64D26887" w:rsidR="004039D6" w:rsidRDefault="002D4BF3" w:rsidP="004039D6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In this survey, w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 </w:t>
      </w:r>
      <w:r w:rsidR="00D767E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hypothesize that m</w:t>
      </w:r>
      <w:r w:rsidR="00D9307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aintain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ing</w:t>
      </w:r>
      <w:r w:rsidR="00D9307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open reproductive boundaries</w:t>
      </w:r>
      <w:r w:rsidR="00D767E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is an evolutionary strategy common in lichen fungi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and that it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may be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enabled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by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strong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fungal 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DNA-repair pathways</w:t>
      </w:r>
      <w:r w:rsidR="004039D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3D7C63B4" w14:textId="67A24069" w:rsidR="007E3D8D" w:rsidRPr="007E3D8D" w:rsidRDefault="004039D6" w:rsidP="007E3D8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Th</w:t>
      </w:r>
      <w:r w:rsidR="00D767E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genus </w:t>
      </w:r>
      <w:proofErr w:type="spellStart"/>
      <w:r w:rsidR="00D767E6" w:rsidRPr="00D767E6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val="en-US"/>
        </w:rPr>
        <w:t>Pyrenodesmia</w:t>
      </w:r>
      <w:proofErr w:type="spellEnd"/>
      <w:r w:rsidR="00D767E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comprises a </w:t>
      </w:r>
      <w:r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morphological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ly</w:t>
      </w:r>
      <w:r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divers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clade of </w:t>
      </w:r>
      <w:proofErr w:type="spellStart"/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Caloplacoid</w:t>
      </w:r>
      <w:proofErr w:type="spellEnd"/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species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Its taxonomic treatment is hampered by t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he instability of diagnostic characters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and by its </w:t>
      </w:r>
      <w:r w:rsidR="0002680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high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genetic diversity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which has </w:t>
      </w:r>
      <w:r w:rsidR="0002680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been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used to coin new </w:t>
      </w:r>
      <w:r w:rsidR="007E3D8D" w:rsidRPr="007E3D8D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binomina</w:t>
      </w:r>
      <w:r w:rsidR="0002680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with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little </w:t>
      </w:r>
      <w:r w:rsidR="00EF7EC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evidence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beyond phylogenetic tre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es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The study of a</w:t>
      </w:r>
      <w:r w:rsidR="0002680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broad 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phylogenetic </w:t>
      </w:r>
      <w:r w:rsidR="0002680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dataset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rendered contrasting results. While 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pecies </w:t>
      </w:r>
      <w:r w:rsidR="0002680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delimitation 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methods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identif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ied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ca. 100 species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in </w:t>
      </w:r>
      <w:r w:rsidR="00EC46A8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western Eurasia</w:t>
      </w:r>
      <w:r w:rsidR="00D767E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naly</w:t>
      </w:r>
      <w:r w:rsidR="0002680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ses of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population stratification</w:t>
      </w:r>
      <w:r w:rsidR="00D767E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only identify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10 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strongly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admixed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demographic entities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A92E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Pairing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of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MAT loci,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shows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that </w:t>
      </w:r>
      <w:r w:rsidR="00D767E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most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European morphospecies form a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single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interbre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d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network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, in which individual species retain their ecological uniqueness, but are connected through gene flow.</w:t>
      </w:r>
    </w:p>
    <w:p w14:paraId="12CB70DB" w14:textId="1FF6F1FA" w:rsidR="007E3D8D" w:rsidRPr="007E3D8D" w:rsidRDefault="00D767E6" w:rsidP="007E3D8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To understand </w:t>
      </w:r>
      <w:proofErr w:type="spellStart"/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pan</w:t>
      </w:r>
      <w:r w:rsidR="00CC164A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geno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m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ic</w:t>
      </w:r>
      <w:proofErr w:type="spellEnd"/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signature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of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EC46A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an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open species complex,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 assembled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 comparative dataset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consisting of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2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3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genomes of saxicolous </w:t>
      </w:r>
      <w:proofErr w:type="spellStart"/>
      <w:r w:rsidR="00CC164A" w:rsidRPr="007E3D8D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Pyrenodesmia</w:t>
      </w:r>
      <w:proofErr w:type="spellEnd"/>
      <w:r w:rsidR="00CC164A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specimens. 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We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compared 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 genomes in 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terms of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gene content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functional structure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4C5472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identified candidate genes under positive selection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. We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C164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focused on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MAT and HET loci </w:t>
      </w:r>
      <w:r w:rsidR="00CC164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implicated in sexual and self-recognition 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="00CC164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in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genes implicated in DNA repai</w:t>
      </w:r>
      <w:r w:rsidR="00CC164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r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pathways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O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rthologous 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genes were </w:t>
      </w:r>
      <w:r w:rsidR="00CC164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used to understand overall genomic tendencies, </w:t>
      </w:r>
      <w:r w:rsidR="00497D9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="00CC164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to</w:t>
      </w:r>
      <w:r w:rsidR="00CC164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trac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</w:t>
      </w:r>
      <w:r w:rsidR="00CC164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phylogenomic baseline. </w:t>
      </w:r>
      <w:r w:rsidR="00CC164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ntergenic spacers were identified within syntenic blocks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and used 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to estimate the 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interference of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DNA repair mechanisms across different parts</w:t>
      </w:r>
      <w:r w:rsidR="004C547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of the genome</w:t>
      </w:r>
      <w:r w:rsidR="007E3D8D" w:rsidRPr="007E3D8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1348DDA8" w14:textId="695FE0FF" w:rsidR="00260A60" w:rsidRPr="00E33F95" w:rsidRDefault="00260A60" w:rsidP="000C0216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260A60" w:rsidRPr="00E33F95" w:rsidSect="00E3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2680D"/>
    <w:rsid w:val="000B061D"/>
    <w:rsid w:val="000C0216"/>
    <w:rsid w:val="000D264B"/>
    <w:rsid w:val="000F146E"/>
    <w:rsid w:val="001A71CC"/>
    <w:rsid w:val="00200EAE"/>
    <w:rsid w:val="00215F6C"/>
    <w:rsid w:val="00226CB5"/>
    <w:rsid w:val="002416A1"/>
    <w:rsid w:val="00260A60"/>
    <w:rsid w:val="002D4BF3"/>
    <w:rsid w:val="002F4395"/>
    <w:rsid w:val="004039D6"/>
    <w:rsid w:val="0041562C"/>
    <w:rsid w:val="00495D7A"/>
    <w:rsid w:val="00497D9E"/>
    <w:rsid w:val="004C5472"/>
    <w:rsid w:val="0062477E"/>
    <w:rsid w:val="006C6BAE"/>
    <w:rsid w:val="007E3D8D"/>
    <w:rsid w:val="00894CF2"/>
    <w:rsid w:val="008A18E0"/>
    <w:rsid w:val="00A92ED0"/>
    <w:rsid w:val="00AE743A"/>
    <w:rsid w:val="00B63FA9"/>
    <w:rsid w:val="00BD2764"/>
    <w:rsid w:val="00CC164A"/>
    <w:rsid w:val="00D22A2A"/>
    <w:rsid w:val="00D33B09"/>
    <w:rsid w:val="00D767E6"/>
    <w:rsid w:val="00D93070"/>
    <w:rsid w:val="00E33F95"/>
    <w:rsid w:val="00E74D8F"/>
    <w:rsid w:val="00E7764D"/>
    <w:rsid w:val="00EC46A8"/>
    <w:rsid w:val="00EF7ECD"/>
    <w:rsid w:val="00F16052"/>
    <w:rsid w:val="00F44110"/>
    <w:rsid w:val="00F86A30"/>
    <w:rsid w:val="00FB4266"/>
    <w:rsid w:val="00F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69E52BFF-3A56-4577-BD90-DD4D0FB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Adm</cp:lastModifiedBy>
  <cp:revision>2</cp:revision>
  <dcterms:created xsi:type="dcterms:W3CDTF">2021-05-11T18:43:00Z</dcterms:created>
  <dcterms:modified xsi:type="dcterms:W3CDTF">2021-05-11T18:43:00Z</dcterms:modified>
</cp:coreProperties>
</file>