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0E0C" w14:textId="77777777" w:rsidR="009B4014" w:rsidRDefault="00E64BAF">
      <w:r>
        <w:rPr>
          <w:noProof/>
          <w:lang w:eastAsia="pt-BR"/>
        </w:rPr>
        <w:drawing>
          <wp:inline distT="0" distB="0" distL="0" distR="0" wp14:anchorId="6F5577BD" wp14:editId="3CDF7EBA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2A02C" w14:textId="3121532A" w:rsidR="00342DF4" w:rsidRDefault="00EC4A7A" w:rsidP="00EC4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C4A7A">
        <w:rPr>
          <w:rFonts w:ascii="Times New Roman" w:hAnsi="Times New Roman" w:cs="Times New Roman"/>
          <w:b/>
          <w:sz w:val="24"/>
          <w:szCs w:val="24"/>
        </w:rPr>
        <w:t>PERFORMANCE E MEMÓRIAS COLETIVAS NAS NARRATIVAS DAS MULHERES D</w:t>
      </w:r>
      <w:r>
        <w:rPr>
          <w:rFonts w:ascii="Times New Roman" w:hAnsi="Times New Roman" w:cs="Times New Roman"/>
          <w:b/>
          <w:sz w:val="24"/>
          <w:szCs w:val="24"/>
        </w:rPr>
        <w:t>A COMUNIDADE DO</w:t>
      </w:r>
      <w:r w:rsidRPr="00EC4A7A">
        <w:rPr>
          <w:rFonts w:ascii="Times New Roman" w:hAnsi="Times New Roman" w:cs="Times New Roman"/>
          <w:b/>
          <w:sz w:val="24"/>
          <w:szCs w:val="24"/>
        </w:rPr>
        <w:t xml:space="preserve"> BOM JESUS</w:t>
      </w:r>
      <w:r>
        <w:rPr>
          <w:rFonts w:ascii="Times New Roman" w:hAnsi="Times New Roman" w:cs="Times New Roman"/>
          <w:b/>
          <w:sz w:val="24"/>
          <w:szCs w:val="24"/>
        </w:rPr>
        <w:t xml:space="preserve"> MUNICIPIO DE PORTERINHA-MG</w:t>
      </w:r>
    </w:p>
    <w:p w14:paraId="56B7B291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04A5BCF" w14:textId="7900F7E5" w:rsidR="00342DF4" w:rsidRDefault="00EC4A7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Hélen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Fernandes Santos</w:t>
      </w:r>
    </w:p>
    <w:p w14:paraId="1FB10D10" w14:textId="220A7B44" w:rsidR="00342DF4" w:rsidRDefault="00EC4A7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664ED1C3" w14:textId="30FFC681" w:rsidR="00342DF4" w:rsidRDefault="00EC4A7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Hellenfs17@gmail.com</w:t>
      </w:r>
    </w:p>
    <w:p w14:paraId="0D299F46" w14:textId="770F7884" w:rsidR="00342DF4" w:rsidRPr="008A6789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8A67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EC4A7A" w:rsidRPr="008A6789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 do Campo, Indígena e Quilombola: saberes, territórios e direitos</w:t>
      </w:r>
    </w:p>
    <w:p w14:paraId="10CFFAF4" w14:textId="1EA4FBA5" w:rsidR="00342DF4" w:rsidRPr="008A6789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EC4A7A" w:rsidRPr="008A67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Narrativas, Mulheres, Campo.</w:t>
      </w:r>
    </w:p>
    <w:p w14:paraId="15DB10CD" w14:textId="77777777" w:rsidR="00342DF4" w:rsidRDefault="00342DF4"/>
    <w:p w14:paraId="3F07B231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54BDBCB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6A3BB3FD" w14:textId="712EC675" w:rsidR="00342DF4" w:rsidRPr="00482FD1" w:rsidRDefault="008A6789" w:rsidP="00482FD1">
      <w:pPr>
        <w:widowControl w:val="0"/>
        <w:spacing w:before="240" w:after="240" w:line="360" w:lineRule="auto"/>
        <w:ind w:firstLine="720"/>
        <w:jc w:val="both"/>
        <w:rPr>
          <w:rFonts w:ascii="Verdana" w:eastAsia="Verdana" w:hAnsi="Verdana" w:cs="Verdana"/>
          <w:highlight w:val="white"/>
        </w:rPr>
      </w:pPr>
      <w:r>
        <w:t>O colonialismo se manifestou de maneira mais violenta com a chegada dos europeus à América, evento político que só terminou aproximadamente no início do século XX. Para (</w:t>
      </w:r>
      <w:proofErr w:type="spellStart"/>
      <w:r>
        <w:t>Quijano</w:t>
      </w:r>
      <w:proofErr w:type="spellEnd"/>
      <w:r>
        <w:t>, 2007)</w:t>
      </w:r>
      <w:r>
        <w:rPr>
          <w:highlight w:val="white"/>
        </w:rPr>
        <w:t xml:space="preserve"> O colonialismo significa a chegada de um povo, com uma identidade X (os colonizadores/as), a um território de outro povo, com uma identidade Y (os/as colonizados/as) e, pela força política e/ou militar, subjuga essa população para garantir a exploração das riquezas e do trabalho da colônia em benefício dos colonizadores, ficando a soberania do povo colonizado sob os interesses do povo que coloniza</w:t>
      </w:r>
      <w:r>
        <w:rPr>
          <w:rFonts w:ascii="Verdana" w:eastAsia="Verdana" w:hAnsi="Verdana" w:cs="Verdana"/>
          <w:highlight w:val="white"/>
        </w:rPr>
        <w:t>.</w:t>
      </w:r>
      <w:r>
        <w:t xml:space="preserve"> Ramón </w:t>
      </w:r>
      <w:proofErr w:type="spellStart"/>
      <w:r>
        <w:t>Grosfoguel</w:t>
      </w:r>
      <w:proofErr w:type="spellEnd"/>
      <w:r>
        <w:t xml:space="preserve">, argumenta que, mesmo após essa independência, a colonialidade não foi totalmente erradicada, pois as relações coloniais continuam a ser reproduzidas até os dias de hoje, principalmente em suas três formas principais: a colonialidade do poder, do saber e do ser </w:t>
      </w:r>
      <w:proofErr w:type="gramStart"/>
      <w:r>
        <w:t xml:space="preserve">( </w:t>
      </w:r>
      <w:proofErr w:type="spellStart"/>
      <w:r>
        <w:t>Anibál</w:t>
      </w:r>
      <w:proofErr w:type="spellEnd"/>
      <w:proofErr w:type="gramEnd"/>
      <w:r>
        <w:t xml:space="preserve"> </w:t>
      </w:r>
      <w:proofErr w:type="spellStart"/>
      <w:r>
        <w:t>Quijano</w:t>
      </w:r>
      <w:proofErr w:type="spellEnd"/>
      <w:r>
        <w:t xml:space="preserve">). Para </w:t>
      </w:r>
      <w:r>
        <w:rPr>
          <w:highlight w:val="white"/>
        </w:rPr>
        <w:t>Restrepo e Rojas (2012)</w:t>
      </w:r>
      <w:r>
        <w:rPr>
          <w:rFonts w:ascii="Verdana" w:eastAsia="Verdana" w:hAnsi="Verdana" w:cs="Verdana"/>
          <w:highlight w:val="white"/>
        </w:rPr>
        <w:t>,</w:t>
      </w:r>
      <w:r>
        <w:rPr>
          <w:highlight w:val="white"/>
        </w:rPr>
        <w:t xml:space="preserve"> ambos definem como um fenômeno histórico complexo que se estende para além do colonialismo, referindo-se a um padrão de relações de poder que opera pela naturalização de hierarquias territoriais, raciais, culturais, de gênero e epistêmicas</w:t>
      </w:r>
      <w:r>
        <w:rPr>
          <w:rFonts w:ascii="Verdana" w:eastAsia="Verdana" w:hAnsi="Verdana" w:cs="Verdana"/>
          <w:highlight w:val="white"/>
        </w:rPr>
        <w:t xml:space="preserve">. </w:t>
      </w:r>
    </w:p>
    <w:p w14:paraId="0F74E86D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7EF3F84F" w14:textId="3F30D4BF" w:rsidR="008A6789" w:rsidRPr="008A6789" w:rsidRDefault="008A6789" w:rsidP="008A6789">
      <w:pPr>
        <w:widowControl w:val="0"/>
        <w:spacing w:before="240" w:after="12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As narrativas colhidas na Comunidade do Bom Jesus vão além da palavra falada. Nelas, a oralitura se revela como um ato total,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onde os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gestos, as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pausas e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o silêncio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são carregados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de significados. Cada entrevista é uma performance onde o corpo inteiro se torna arquivo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vivo de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saberes que a escrita não consegue capturar. Com a imersão na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lastRenderedPageBreak/>
        <w:t xml:space="preserve">comunidade e a participação das festas tradicionais, como, a Festa do Senhor Bom Jesus, que acontece todo ano nos dias 28 de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julho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a 6 de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agosto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, que se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inicia com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uma alvorada na madrugada do dia 28, caminhando pelas ruas da comunidade, com uma performance de avisar a população o início da festa tradicional, rompendo o silêncio matinal, com cantorias, foguetes,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e finalizando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com um café da manhã na praça. Essa tradição não é apenas uma comemoração, mas um veículo de transmissão de histórias e valores.</w:t>
      </w:r>
    </w:p>
    <w:p w14:paraId="7089E2B0" w14:textId="77777777" w:rsidR="008A6789" w:rsidRPr="008A6789" w:rsidRDefault="008A6789" w:rsidP="008A6789">
      <w:pPr>
        <w:widowControl w:val="0"/>
        <w:spacing w:before="240" w:after="120" w:line="360" w:lineRule="auto"/>
        <w:ind w:left="2267"/>
        <w:jc w:val="both"/>
        <w:rPr>
          <w:rFonts w:ascii="Times New Roman" w:hAnsi="Times New Roman" w:cs="Times New Roman"/>
          <w:b/>
        </w:rPr>
      </w:pPr>
      <w:r w:rsidRPr="008A6789">
        <w:rPr>
          <w:rFonts w:ascii="Times New Roman" w:hAnsi="Times New Roman" w:cs="Times New Roman"/>
        </w:rPr>
        <w:t>A festa popular é o grande e fecundo momento a nos ensinar que a arte de viver e de compreender a vida que nos envolve está na perfeita integração entre o velho e o novo. Sem o novo, paramos no tempo. Mas sem o velho nos apresentamos ao presente e ao futuro de mãos vazias. (PESSOA, 2009, p. 44).</w:t>
      </w:r>
    </w:p>
    <w:p w14:paraId="74CA5AAB" w14:textId="1450B3C6" w:rsidR="008A6789" w:rsidRPr="008A6789" w:rsidRDefault="008A6789" w:rsidP="008A6789">
      <w:pPr>
        <w:widowControl w:val="0"/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789">
        <w:rPr>
          <w:rFonts w:ascii="Times New Roman" w:hAnsi="Times New Roman" w:cs="Times New Roman"/>
          <w:sz w:val="24"/>
          <w:szCs w:val="24"/>
        </w:rPr>
        <w:t xml:space="preserve">Leda Martins, enfatiza que a oralitura se estende no corpo e no movimento, para a autora </w:t>
      </w:r>
      <w:r w:rsidR="00482FD1" w:rsidRPr="008A6789">
        <w:rPr>
          <w:rFonts w:ascii="Times New Roman" w:hAnsi="Times New Roman" w:cs="Times New Roman"/>
          <w:sz w:val="24"/>
          <w:szCs w:val="24"/>
        </w:rPr>
        <w:t>a “</w:t>
      </w:r>
      <w:r w:rsidRPr="008A6789">
        <w:rPr>
          <w:rFonts w:ascii="Times New Roman" w:hAnsi="Times New Roman" w:cs="Times New Roman"/>
          <w:sz w:val="24"/>
          <w:szCs w:val="24"/>
        </w:rPr>
        <w:t xml:space="preserve">performance indica a presença de um traço cultural estilístico, mnemônico, significante e constitutivo, inscrito na grafia do corpo em movimento e na velocidade (MARTINS, 2001, p. 84). Logo após </w:t>
      </w:r>
      <w:r w:rsidRPr="008A6789">
        <w:rPr>
          <w:rFonts w:ascii="Times New Roman" w:hAnsi="Times New Roman" w:cs="Times New Roman"/>
          <w:sz w:val="24"/>
          <w:szCs w:val="24"/>
        </w:rPr>
        <w:t>a alvorada</w:t>
      </w:r>
      <w:r w:rsidRPr="008A6789">
        <w:rPr>
          <w:rFonts w:ascii="Times New Roman" w:hAnsi="Times New Roman" w:cs="Times New Roman"/>
          <w:sz w:val="24"/>
          <w:szCs w:val="24"/>
        </w:rPr>
        <w:t xml:space="preserve">, inicia-se a novena, 9 dias antes do levantamento </w:t>
      </w:r>
      <w:r w:rsidRPr="008A6789">
        <w:rPr>
          <w:rFonts w:ascii="Times New Roman" w:hAnsi="Times New Roman" w:cs="Times New Roman"/>
          <w:sz w:val="24"/>
          <w:szCs w:val="24"/>
        </w:rPr>
        <w:t>da bandeira</w:t>
      </w:r>
      <w:r w:rsidRPr="008A6789">
        <w:rPr>
          <w:rFonts w:ascii="Times New Roman" w:hAnsi="Times New Roman" w:cs="Times New Roman"/>
          <w:sz w:val="24"/>
          <w:szCs w:val="24"/>
        </w:rPr>
        <w:t xml:space="preserve">, outra forma de ato político, simbólico e </w:t>
      </w:r>
      <w:r w:rsidRPr="008A6789">
        <w:rPr>
          <w:rFonts w:ascii="Times New Roman" w:hAnsi="Times New Roman" w:cs="Times New Roman"/>
          <w:sz w:val="24"/>
          <w:szCs w:val="24"/>
        </w:rPr>
        <w:t>performático. As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festas populares emergem como manifestações plenas de oralitura, onde a palavra, o corpo e a memória se entrelaçam em performances coletivas, sendo assim,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um processo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criativo que integra gestos, ritmos e espaços como formas de inscrição cultural. </w:t>
      </w:r>
    </w:p>
    <w:p w14:paraId="12053F25" w14:textId="77777777" w:rsidR="008A6789" w:rsidRPr="008A6789" w:rsidRDefault="008A6789" w:rsidP="008A6789">
      <w:pPr>
        <w:widowControl w:val="0"/>
        <w:spacing w:before="240" w:after="120" w:line="360" w:lineRule="auto"/>
        <w:ind w:left="2267"/>
        <w:jc w:val="both"/>
        <w:rPr>
          <w:rFonts w:ascii="Times New Roman" w:hAnsi="Times New Roman" w:cs="Times New Roman"/>
        </w:rPr>
      </w:pPr>
      <w:r w:rsidRPr="008A6789">
        <w:rPr>
          <w:rFonts w:ascii="Times New Roman" w:hAnsi="Times New Roman" w:cs="Times New Roman"/>
        </w:rPr>
        <w:t>O espaço da encruzilhada, ou como estamos denominando, o espaço da festa como o próprio corpo, poderá ser conceituado como “lugar radial de centramento e descentramento, intersecções e desvios, textos e tradução, confluências e alterações, influências e divergências, fusões e rupturas, multiplicidade e convergência, unidade e pluralidade, origem e disseminação.  Martins (1997, p. 28)</w:t>
      </w:r>
    </w:p>
    <w:p w14:paraId="6E542D01" w14:textId="77777777" w:rsidR="008A6789" w:rsidRPr="00482FD1" w:rsidRDefault="008A6789" w:rsidP="008A6789">
      <w:pPr>
        <w:widowControl w:val="0"/>
        <w:spacing w:before="200" w:line="4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789">
        <w:rPr>
          <w:rFonts w:ascii="Times New Roman" w:hAnsi="Times New Roman" w:cs="Times New Roman"/>
          <w:b/>
          <w:color w:val="404040"/>
        </w:rPr>
        <w:t xml:space="preserve"> </w:t>
      </w:r>
      <w:r w:rsidRPr="008A6789">
        <w:rPr>
          <w:rFonts w:ascii="Times New Roman" w:hAnsi="Times New Roman" w:cs="Times New Roman"/>
          <w:b/>
        </w:rPr>
        <w:tab/>
      </w:r>
      <w:r w:rsidRPr="00482FD1">
        <w:rPr>
          <w:rFonts w:ascii="Times New Roman" w:hAnsi="Times New Roman" w:cs="Times New Roman"/>
          <w:sz w:val="24"/>
          <w:szCs w:val="24"/>
        </w:rPr>
        <w:t xml:space="preserve">Nas celebrações na festa do Senhor Bom Jesus, observa-se essa natureza paradoxal, onde gestos que centram a memória dando significado a cada geração. o corpo que é festa, festeja, traz memórias e tradições, e histórias. </w:t>
      </w:r>
    </w:p>
    <w:p w14:paraId="2E4F72E7" w14:textId="77777777" w:rsidR="008A6789" w:rsidRPr="008A6789" w:rsidRDefault="008A6789" w:rsidP="008A6789">
      <w:pPr>
        <w:widowControl w:val="0"/>
        <w:spacing w:before="240" w:after="120" w:line="360" w:lineRule="auto"/>
        <w:ind w:left="2267"/>
        <w:jc w:val="both"/>
        <w:rPr>
          <w:rFonts w:ascii="Times New Roman" w:hAnsi="Times New Roman" w:cs="Times New Roman"/>
        </w:rPr>
      </w:pPr>
      <w:r w:rsidRPr="008A6789">
        <w:rPr>
          <w:rFonts w:ascii="Times New Roman" w:hAnsi="Times New Roman" w:cs="Times New Roman"/>
        </w:rPr>
        <w:t xml:space="preserve">A festa é formada por experiências históricas; é fruto das movimentações e interconexões dos corpos-culturais que constituem uma das formas mais reveladoras do modo de ser de um grupo, de uma cidade e de um país e nesse espaço ‘intervalar’, que ficam suspensas </w:t>
      </w:r>
      <w:r w:rsidRPr="008A6789">
        <w:rPr>
          <w:rFonts w:ascii="Times New Roman" w:hAnsi="Times New Roman" w:cs="Times New Roman"/>
        </w:rPr>
        <w:lastRenderedPageBreak/>
        <w:t>algumas normas sociais, e outas são invertidas. (CASTRO JÚNIOR, 2014, p. 26-27).</w:t>
      </w:r>
    </w:p>
    <w:p w14:paraId="38F7E55B" w14:textId="1E5961F8" w:rsidR="008A6789" w:rsidRPr="00482FD1" w:rsidRDefault="008A6789" w:rsidP="00482FD1">
      <w:pPr>
        <w:widowControl w:val="0"/>
        <w:spacing w:before="240" w:after="120" w:line="360" w:lineRule="auto"/>
        <w:jc w:val="both"/>
        <w:rPr>
          <w:rFonts w:ascii="Times New Roman" w:eastAsia="Roboto" w:hAnsi="Times New Roman" w:cs="Times New Roman"/>
          <w:color w:val="404040"/>
          <w:sz w:val="24"/>
          <w:szCs w:val="24"/>
          <w:highlight w:val="white"/>
        </w:rPr>
      </w:pPr>
      <w:r w:rsidRPr="00482FD1">
        <w:rPr>
          <w:rFonts w:ascii="Times New Roman" w:hAnsi="Times New Roman" w:cs="Times New Roman"/>
          <w:sz w:val="24"/>
          <w:szCs w:val="24"/>
        </w:rPr>
        <w:t xml:space="preserve">Para o acontecimento da festa da comunidade, os sujeitos se </w:t>
      </w:r>
      <w:r w:rsidRPr="00482FD1">
        <w:rPr>
          <w:rFonts w:ascii="Times New Roman" w:hAnsi="Times New Roman" w:cs="Times New Roman"/>
          <w:sz w:val="24"/>
          <w:szCs w:val="24"/>
          <w:highlight w:val="white"/>
        </w:rPr>
        <w:t xml:space="preserve">mobilizam como um corpo único com </w:t>
      </w:r>
      <w:r w:rsidR="00482FD1" w:rsidRPr="00482FD1">
        <w:rPr>
          <w:rFonts w:ascii="Times New Roman" w:hAnsi="Times New Roman" w:cs="Times New Roman"/>
          <w:sz w:val="24"/>
          <w:szCs w:val="24"/>
          <w:highlight w:val="white"/>
        </w:rPr>
        <w:t>os mais</w:t>
      </w:r>
      <w:r w:rsidRPr="00482FD1">
        <w:rPr>
          <w:rFonts w:ascii="Times New Roman" w:hAnsi="Times New Roman" w:cs="Times New Roman"/>
          <w:sz w:val="24"/>
          <w:szCs w:val="24"/>
          <w:highlight w:val="white"/>
        </w:rPr>
        <w:t xml:space="preserve"> velhos transmitindo os saberes do ritual, os jovens reinventando suas formas, e todos unidos no propósito de manter viva a tradição. Essa sinergia manifesta-se em escolhas, como a recusa a barraquinhas comerciais externas, na qual privilegia a culinária local e os saberes tradicionais em prol da tradição. O levantamento da bandeira, que é ato central da festa, converte-se em performance total da oralitura, onde todo ano, algum sujeito rouba a bandeira, de forma que ninguém descubra, sem dizer nada, mas deixando o silêncio e os gestos </w:t>
      </w:r>
      <w:r w:rsidR="00482FD1" w:rsidRPr="00482FD1">
        <w:rPr>
          <w:rFonts w:ascii="Times New Roman" w:hAnsi="Times New Roman" w:cs="Times New Roman"/>
          <w:sz w:val="24"/>
          <w:szCs w:val="24"/>
          <w:highlight w:val="white"/>
        </w:rPr>
        <w:t>falarem, e</w:t>
      </w:r>
      <w:r w:rsidRPr="00482FD1">
        <w:rPr>
          <w:rFonts w:ascii="Times New Roman" w:hAnsi="Times New Roman" w:cs="Times New Roman"/>
          <w:sz w:val="24"/>
          <w:szCs w:val="24"/>
          <w:highlight w:val="white"/>
        </w:rPr>
        <w:t xml:space="preserve"> a pessoa fica responsável de guardá-la, ornamentá-la e devolvê-la no ano seguinte, ajudando a comunidade a realizar novamente a tradição. quem rouba a bandeira, torna-se guardião temporário da memória daquele dia, assegurando que a comunidade se reúne no ano seguinte, para refazer o ciclo. E mesmo ninguém revelando a ação do roubo, todos sabem que ele acontece, e essa ação silenciosa e sem registro, fazem essas narrativas serem além de uma tradição oral.</w:t>
      </w:r>
    </w:p>
    <w:p w14:paraId="13054636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C634A53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7E1027B4" w14:textId="07555F1E" w:rsidR="00342DF4" w:rsidRPr="00482FD1" w:rsidRDefault="008A6789" w:rsidP="00482FD1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789">
        <w:rPr>
          <w:rFonts w:ascii="Times New Roman" w:hAnsi="Times New Roman" w:cs="Times New Roman"/>
          <w:sz w:val="24"/>
          <w:szCs w:val="24"/>
        </w:rPr>
        <w:t xml:space="preserve">A metodologia adotada para a realização dessa pesquisa foi </w:t>
      </w:r>
      <w:r w:rsidRPr="008A6789">
        <w:rPr>
          <w:rFonts w:ascii="Times New Roman" w:hAnsi="Times New Roman" w:cs="Times New Roman"/>
          <w:sz w:val="24"/>
          <w:szCs w:val="24"/>
        </w:rPr>
        <w:t>a de</w:t>
      </w:r>
      <w:r w:rsidRPr="008A6789">
        <w:rPr>
          <w:rFonts w:ascii="Times New Roman" w:hAnsi="Times New Roman" w:cs="Times New Roman"/>
          <w:sz w:val="24"/>
          <w:szCs w:val="24"/>
        </w:rPr>
        <w:t xml:space="preserve"> natureza qualitativa, orientada pelo Feminismo Decolonial e baseada na etnografia para investigar os impactos do colonialismo nas mulheres da comunidade tradicional de Bom Jesus, Porteirinha/MG, com ênfase nas narrativas orais (oralitura) como forma de resistência. Para </w:t>
      </w:r>
      <w:proofErr w:type="spellStart"/>
      <w:r w:rsidRPr="008A6789">
        <w:rPr>
          <w:rFonts w:ascii="Times New Roman" w:hAnsi="Times New Roman" w:cs="Times New Roman"/>
          <w:sz w:val="24"/>
          <w:szCs w:val="24"/>
        </w:rPr>
        <w:t>Minayo</w:t>
      </w:r>
      <w:proofErr w:type="spellEnd"/>
      <w:r w:rsidRPr="008A6789">
        <w:rPr>
          <w:rFonts w:ascii="Times New Roman" w:hAnsi="Times New Roman" w:cs="Times New Roman"/>
          <w:sz w:val="24"/>
          <w:szCs w:val="24"/>
        </w:rPr>
        <w:t xml:space="preserve"> (1994),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a pesquisa qualitativa investiga temas particulares no campo das ciências sociais, dedicando-se a dimensões da realidade que não podem ser expressas em números, e são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voltados para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o universo dos significados, 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intenções, perspectivas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, dos comportamentos. </w:t>
      </w:r>
      <w:r w:rsidRPr="008A6789">
        <w:rPr>
          <w:rFonts w:ascii="Times New Roman" w:hAnsi="Times New Roman" w:cs="Times New Roman"/>
          <w:sz w:val="24"/>
          <w:szCs w:val="24"/>
        </w:rPr>
        <w:t xml:space="preserve">Os procedimentos realizados para a coleta de dados foram: Revisão literária, Imersão na Comunidade, Observação, caderno de campo, e entrevistas e análise. O local explorado para as entrevistas foi a associação dos pequenos produtores rurais da comunidade. </w:t>
      </w:r>
    </w:p>
    <w:p w14:paraId="4CD01229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64993E1F" w14:textId="76DF70D6" w:rsidR="008A6789" w:rsidRPr="008A6789" w:rsidRDefault="008A6789" w:rsidP="008A6789">
      <w:pPr>
        <w:widowControl w:val="0"/>
        <w:shd w:val="clear" w:color="auto" w:fill="FFFFFF"/>
        <w:spacing w:before="200" w:after="20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6789">
        <w:rPr>
          <w:rFonts w:ascii="Times New Roman" w:hAnsi="Times New Roman" w:cs="Times New Roman"/>
          <w:sz w:val="24"/>
          <w:szCs w:val="24"/>
        </w:rPr>
        <w:t xml:space="preserve">Este trabalho traçou, através da oralitura das mulheres do Bom Jesus, um mapa </w:t>
      </w:r>
      <w:r w:rsidRPr="008A6789">
        <w:rPr>
          <w:rFonts w:ascii="Times New Roman" w:hAnsi="Times New Roman" w:cs="Times New Roman"/>
          <w:sz w:val="24"/>
          <w:szCs w:val="24"/>
        </w:rPr>
        <w:t>performático</w:t>
      </w:r>
      <w:r w:rsidRPr="008A6789">
        <w:rPr>
          <w:rFonts w:ascii="Times New Roman" w:hAnsi="Times New Roman" w:cs="Times New Roman"/>
          <w:sz w:val="24"/>
          <w:szCs w:val="24"/>
        </w:rPr>
        <w:t xml:space="preserve"> onde memória, colonialidade e gênero se entrelaçam em performances cotidianas de resistência. Partindo do conceito de Leda Martins, sobre o corpo como </w:t>
      </w:r>
      <w:r w:rsidRPr="008A6789">
        <w:rPr>
          <w:rFonts w:ascii="Times New Roman" w:hAnsi="Times New Roman" w:cs="Times New Roman"/>
          <w:sz w:val="24"/>
          <w:szCs w:val="24"/>
        </w:rPr>
        <w:lastRenderedPageBreak/>
        <w:t xml:space="preserve">arquivo vivo, demonstramos como, a festa do Senhor Bom Jesus é um palco de contradições decoloniais, e como mulheres </w:t>
      </w:r>
      <w:r w:rsidRPr="008A6789">
        <w:rPr>
          <w:rFonts w:ascii="Times New Roman" w:hAnsi="Times New Roman" w:cs="Times New Roman"/>
          <w:sz w:val="24"/>
          <w:szCs w:val="24"/>
        </w:rPr>
        <w:t>como ressignificam</w:t>
      </w:r>
      <w:r w:rsidRPr="008A6789">
        <w:rPr>
          <w:rFonts w:ascii="Times New Roman" w:hAnsi="Times New Roman" w:cs="Times New Roman"/>
          <w:sz w:val="24"/>
          <w:szCs w:val="24"/>
        </w:rPr>
        <w:t xml:space="preserve"> espaços antes masculinos, e os </w:t>
      </w:r>
      <w:r w:rsidRPr="008A6789">
        <w:rPr>
          <w:rFonts w:ascii="Times New Roman" w:hAnsi="Times New Roman" w:cs="Times New Roman"/>
          <w:sz w:val="24"/>
          <w:szCs w:val="24"/>
        </w:rPr>
        <w:t>jovens negociam a</w:t>
      </w:r>
      <w:r w:rsidRPr="008A6789">
        <w:rPr>
          <w:rFonts w:ascii="Times New Roman" w:hAnsi="Times New Roman" w:cs="Times New Roman"/>
          <w:sz w:val="24"/>
          <w:szCs w:val="24"/>
        </w:rPr>
        <w:t xml:space="preserve"> modernidade e a tradição.  Outro ponto, foram os silêncios que revelaram mais que </w:t>
      </w:r>
      <w:r w:rsidRPr="008A6789">
        <w:rPr>
          <w:rFonts w:ascii="Times New Roman" w:hAnsi="Times New Roman" w:cs="Times New Roman"/>
          <w:sz w:val="24"/>
          <w:szCs w:val="24"/>
        </w:rPr>
        <w:t>as palavras,</w:t>
      </w:r>
      <w:r w:rsidRPr="008A6789">
        <w:rPr>
          <w:rFonts w:ascii="Times New Roman" w:hAnsi="Times New Roman" w:cs="Times New Roman"/>
          <w:sz w:val="24"/>
          <w:szCs w:val="24"/>
        </w:rPr>
        <w:t xml:space="preserve"> as pausas no discurso mostraram que a emancipação </w:t>
      </w:r>
      <w:r w:rsidRPr="008A6789">
        <w:rPr>
          <w:rFonts w:ascii="Times New Roman" w:hAnsi="Times New Roman" w:cs="Times New Roman"/>
          <w:sz w:val="24"/>
          <w:szCs w:val="24"/>
        </w:rPr>
        <w:t>feminina ainda</w:t>
      </w:r>
      <w:r w:rsidRPr="008A6789">
        <w:rPr>
          <w:rFonts w:ascii="Times New Roman" w:hAnsi="Times New Roman" w:cs="Times New Roman"/>
          <w:sz w:val="24"/>
          <w:szCs w:val="24"/>
        </w:rPr>
        <w:t xml:space="preserve"> segue sendo território de </w:t>
      </w:r>
      <w:r w:rsidRPr="008A6789">
        <w:rPr>
          <w:rFonts w:ascii="Times New Roman" w:hAnsi="Times New Roman" w:cs="Times New Roman"/>
          <w:sz w:val="24"/>
          <w:szCs w:val="24"/>
        </w:rPr>
        <w:t>disputa. Por</w:t>
      </w:r>
      <w:r w:rsidRPr="008A6789">
        <w:rPr>
          <w:rFonts w:ascii="Times New Roman" w:hAnsi="Times New Roman" w:cs="Times New Roman"/>
          <w:sz w:val="24"/>
          <w:szCs w:val="24"/>
        </w:rPr>
        <w:t xml:space="preserve"> fim, A oralitura mostrou-se não apenas método de pesquisa, mas prática decolonial em dá voz através, </w:t>
      </w:r>
      <w:r w:rsidRPr="008A6789">
        <w:rPr>
          <w:rFonts w:ascii="Times New Roman" w:hAnsi="Times New Roman" w:cs="Times New Roman"/>
          <w:sz w:val="24"/>
          <w:szCs w:val="24"/>
        </w:rPr>
        <w:t>das palavras</w:t>
      </w:r>
      <w:r w:rsidRPr="008A6789">
        <w:rPr>
          <w:rFonts w:ascii="Times New Roman" w:hAnsi="Times New Roman" w:cs="Times New Roman"/>
          <w:sz w:val="24"/>
          <w:szCs w:val="24"/>
        </w:rPr>
        <w:t>, dos gestos e do corpo para essas narrativas.</w:t>
      </w:r>
    </w:p>
    <w:p w14:paraId="7F0E0A93" w14:textId="5B312495" w:rsidR="00342DF4" w:rsidRDefault="008A6789" w:rsidP="00482FD1">
      <w:pPr>
        <w:widowControl w:val="0"/>
        <w:shd w:val="clear" w:color="auto" w:fill="FFFFFF"/>
        <w:spacing w:before="200" w:after="20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6789">
        <w:rPr>
          <w:rFonts w:ascii="Times New Roman" w:hAnsi="Times New Roman" w:cs="Times New Roman"/>
          <w:sz w:val="24"/>
          <w:szCs w:val="24"/>
        </w:rPr>
        <w:t>Contudo, a seguinte pesquisa não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estabelece juízos sobre o que é "certo" ou "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errado “diante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das narrativas das mulheres pesquisadas, mas trazer informações </w:t>
      </w:r>
      <w:proofErr w:type="gramStart"/>
      <w:r w:rsidRPr="008A6789">
        <w:rPr>
          <w:rFonts w:ascii="Times New Roman" w:hAnsi="Times New Roman" w:cs="Times New Roman"/>
          <w:sz w:val="24"/>
          <w:szCs w:val="24"/>
          <w:highlight w:val="white"/>
        </w:rPr>
        <w:t>de  como</w:t>
      </w:r>
      <w:proofErr w:type="gramEnd"/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gênero e colonialidade se entrelaçam nos rituais de oralitura da comunidade. </w:t>
      </w:r>
      <w:r w:rsidRPr="008A67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D63EB9" w14:textId="77777777" w:rsidR="00482FD1" w:rsidRPr="00482FD1" w:rsidRDefault="00482FD1" w:rsidP="00482FD1">
      <w:pPr>
        <w:widowControl w:val="0"/>
        <w:shd w:val="clear" w:color="auto" w:fill="FFFFFF"/>
        <w:spacing w:before="200" w:after="20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B8B238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6B9CDF9D" w14:textId="31FDDE21" w:rsidR="008A6789" w:rsidRPr="008A6789" w:rsidRDefault="008A6789" w:rsidP="008A6789">
      <w:pPr>
        <w:widowControl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155">
        <w:rPr>
          <w:rFonts w:ascii="Times New Roman" w:hAnsi="Times New Roman" w:cs="Times New Roman"/>
          <w:b/>
          <w:bCs/>
          <w:sz w:val="24"/>
          <w:szCs w:val="24"/>
        </w:rPr>
        <w:t>A memória coletiva Maurice</w:t>
      </w:r>
      <w:r w:rsidRPr="008A6789">
        <w:rPr>
          <w:rFonts w:ascii="Times New Roman" w:hAnsi="Times New Roman" w:cs="Times New Roman"/>
          <w:sz w:val="24"/>
          <w:szCs w:val="24"/>
        </w:rPr>
        <w:t xml:space="preserve"> HALBWACHS A memória coletiva: Centauro, São Paulo, 2006.</w:t>
      </w:r>
    </w:p>
    <w:p w14:paraId="114A6DE5" w14:textId="733F7891" w:rsidR="008A6789" w:rsidRPr="008A6789" w:rsidRDefault="008A6789" w:rsidP="008A6789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BARBOSA, Jorge Luiz. </w:t>
      </w:r>
      <w:r w:rsidRPr="00C97155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Cultura e... território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. Rio de Janeiro: </w:t>
      </w:r>
      <w:proofErr w:type="spellStart"/>
      <w:r w:rsidRPr="008A6789">
        <w:rPr>
          <w:rFonts w:ascii="Times New Roman" w:hAnsi="Times New Roman" w:cs="Times New Roman"/>
          <w:sz w:val="24"/>
          <w:szCs w:val="24"/>
          <w:highlight w:val="white"/>
        </w:rPr>
        <w:t>Lumen</w:t>
      </w:r>
      <w:proofErr w:type="spellEnd"/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Juris, 2017.</w:t>
      </w:r>
    </w:p>
    <w:p w14:paraId="51399E15" w14:textId="6501580C" w:rsidR="008A6789" w:rsidRDefault="008A6789" w:rsidP="008A6789">
      <w:pPr>
        <w:widowControl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A6789">
        <w:rPr>
          <w:rFonts w:ascii="Times New Roman" w:hAnsi="Times New Roman" w:cs="Times New Roman"/>
          <w:sz w:val="24"/>
          <w:szCs w:val="24"/>
          <w:highlight w:val="white"/>
        </w:rPr>
        <w:t>BIROLI, Flávia</w:t>
      </w:r>
      <w:r w:rsidRPr="00C97155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. Gênero e desigualdades: limites da democracia no Brasil.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São Paulo: Boitempo Editorial, 2018.</w:t>
      </w:r>
    </w:p>
    <w:p w14:paraId="68192A04" w14:textId="77777777" w:rsidR="00C97155" w:rsidRPr="008A6789" w:rsidRDefault="00C97155" w:rsidP="008A6789">
      <w:pPr>
        <w:widowControl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27A74F5" w14:textId="7F9BAA7C" w:rsidR="008A6789" w:rsidRPr="008A6789" w:rsidRDefault="008A6789" w:rsidP="008A6789">
      <w:pPr>
        <w:widowControl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BUTLER, Judith. </w:t>
      </w:r>
      <w:r w:rsidRPr="00C97155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Atos performáticos e a formação dos gêneros: um ensaio sobre fenomenologia e teoria feminista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>. In: HOLLANDA, Heloisa Buarque. (Org.). Pensamento feminista: Conceitos fundamentais. Rio de Janeiro: Bazar do Tempo, 2019, p. 213-230.</w:t>
      </w:r>
    </w:p>
    <w:p w14:paraId="409A0242" w14:textId="4FBA2A48" w:rsidR="00342DF4" w:rsidRPr="00482FD1" w:rsidRDefault="008A6789" w:rsidP="00482FD1">
      <w:pPr>
        <w:widowControl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Fraser, N. (2001). </w:t>
      </w:r>
      <w:r w:rsidRPr="00C97155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Da redistribuição ao reconhecimento? Dilemas da justiça na era “pós-socialista”</w:t>
      </w:r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. In J. </w:t>
      </w:r>
      <w:proofErr w:type="spellStart"/>
      <w:r w:rsidRPr="008A6789">
        <w:rPr>
          <w:rFonts w:ascii="Times New Roman" w:hAnsi="Times New Roman" w:cs="Times New Roman"/>
          <w:sz w:val="24"/>
          <w:szCs w:val="24"/>
          <w:highlight w:val="white"/>
        </w:rPr>
        <w:t>Souza.Democracia</w:t>
      </w:r>
      <w:proofErr w:type="spellEnd"/>
      <w:r w:rsidRPr="008A6789">
        <w:rPr>
          <w:rFonts w:ascii="Times New Roman" w:hAnsi="Times New Roman" w:cs="Times New Roman"/>
          <w:sz w:val="24"/>
          <w:szCs w:val="24"/>
          <w:highlight w:val="white"/>
        </w:rPr>
        <w:t xml:space="preserve"> hoje: novos desafios para a teoria contemporânea democrática (pp. 245-282). Brasília: UNB</w:t>
      </w:r>
    </w:p>
    <w:sectPr w:rsidR="00342DF4" w:rsidRPr="00482F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D2178"/>
    <w:rsid w:val="00342DF4"/>
    <w:rsid w:val="003B3E13"/>
    <w:rsid w:val="00482FD1"/>
    <w:rsid w:val="00660186"/>
    <w:rsid w:val="00773D54"/>
    <w:rsid w:val="008A6789"/>
    <w:rsid w:val="00941F25"/>
    <w:rsid w:val="009B4014"/>
    <w:rsid w:val="00B81360"/>
    <w:rsid w:val="00C97155"/>
    <w:rsid w:val="00DC79A8"/>
    <w:rsid w:val="00E64BAF"/>
    <w:rsid w:val="00EC4A7A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D6AC9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1254</Words>
  <Characters>6774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Usuário</cp:lastModifiedBy>
  <cp:revision>2</cp:revision>
  <dcterms:created xsi:type="dcterms:W3CDTF">2025-08-27T17:55:00Z</dcterms:created>
  <dcterms:modified xsi:type="dcterms:W3CDTF">2025-08-27T17:55:00Z</dcterms:modified>
</cp:coreProperties>
</file>