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840" w:rsidRDefault="00E125C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DINÂMICA DO CRÉDITO RURAL EM S</w:t>
      </w:r>
      <w:r w:rsidRPr="00BA3C74">
        <w:rPr>
          <w:rFonts w:ascii="Times New Roman" w:eastAsia="Times New Roman" w:hAnsi="Times New Roman" w:cs="Times New Roman"/>
          <w:b/>
          <w:sz w:val="24"/>
          <w:szCs w:val="24"/>
        </w:rPr>
        <w:t xml:space="preserve">ANTA </w:t>
      </w:r>
      <w:r>
        <w:rPr>
          <w:rFonts w:ascii="Times New Roman" w:eastAsia="Times New Roman" w:hAnsi="Times New Roman" w:cs="Times New Roman"/>
          <w:b/>
          <w:sz w:val="24"/>
          <w:szCs w:val="24"/>
        </w:rPr>
        <w:t>C</w:t>
      </w:r>
      <w:r w:rsidRPr="00BA3C74">
        <w:rPr>
          <w:rFonts w:ascii="Times New Roman" w:eastAsia="Times New Roman" w:hAnsi="Times New Roman" w:cs="Times New Roman"/>
          <w:b/>
          <w:sz w:val="24"/>
          <w:szCs w:val="24"/>
        </w:rPr>
        <w:t xml:space="preserve">ATARINA: </w:t>
      </w:r>
      <w:r>
        <w:rPr>
          <w:rFonts w:ascii="Times New Roman" w:eastAsia="Times New Roman" w:hAnsi="Times New Roman" w:cs="Times New Roman"/>
          <w:b/>
          <w:sz w:val="24"/>
          <w:szCs w:val="24"/>
        </w:rPr>
        <w:t>EVOLUÇÃO E</w:t>
      </w:r>
      <w:r w:rsidRPr="00BA3C74">
        <w:rPr>
          <w:rFonts w:ascii="Times New Roman" w:eastAsia="Times New Roman" w:hAnsi="Times New Roman" w:cs="Times New Roman"/>
          <w:b/>
          <w:sz w:val="24"/>
          <w:szCs w:val="24"/>
        </w:rPr>
        <w:t xml:space="preserve"> TENDÊNCIAS NAS </w:t>
      </w:r>
      <w:r>
        <w:rPr>
          <w:rFonts w:ascii="Times New Roman" w:eastAsia="Times New Roman" w:hAnsi="Times New Roman" w:cs="Times New Roman"/>
          <w:b/>
          <w:sz w:val="24"/>
          <w:szCs w:val="24"/>
        </w:rPr>
        <w:t xml:space="preserve">PRINCIPAIS </w:t>
      </w:r>
      <w:r w:rsidRPr="00BA3C74">
        <w:rPr>
          <w:rFonts w:ascii="Times New Roman" w:eastAsia="Times New Roman" w:hAnsi="Times New Roman" w:cs="Times New Roman"/>
          <w:b/>
          <w:sz w:val="24"/>
          <w:szCs w:val="24"/>
        </w:rPr>
        <w:t>CADEIAS PRO</w:t>
      </w:r>
      <w:r>
        <w:rPr>
          <w:rFonts w:ascii="Times New Roman" w:eastAsia="Times New Roman" w:hAnsi="Times New Roman" w:cs="Times New Roman"/>
          <w:b/>
          <w:sz w:val="24"/>
          <w:szCs w:val="24"/>
        </w:rPr>
        <w:t>D</w:t>
      </w:r>
      <w:r w:rsidRPr="00BA3C74">
        <w:rPr>
          <w:rFonts w:ascii="Times New Roman" w:eastAsia="Times New Roman" w:hAnsi="Times New Roman" w:cs="Times New Roman"/>
          <w:b/>
          <w:sz w:val="24"/>
          <w:szCs w:val="24"/>
        </w:rPr>
        <w:t xml:space="preserve">UTIVAS </w:t>
      </w:r>
      <w:r>
        <w:rPr>
          <w:rFonts w:ascii="Times New Roman" w:eastAsia="Times New Roman" w:hAnsi="Times New Roman" w:cs="Times New Roman"/>
          <w:b/>
          <w:sz w:val="24"/>
          <w:szCs w:val="24"/>
        </w:rPr>
        <w:t xml:space="preserve">DA </w:t>
      </w:r>
      <w:r w:rsidRPr="00BA3C74">
        <w:rPr>
          <w:rFonts w:ascii="Times New Roman" w:eastAsia="Times New Roman" w:hAnsi="Times New Roman" w:cs="Times New Roman"/>
          <w:b/>
          <w:sz w:val="24"/>
          <w:szCs w:val="24"/>
        </w:rPr>
        <w:t>PECUÁRIA</w:t>
      </w:r>
      <w:r>
        <w:rPr>
          <w:rFonts w:ascii="Times New Roman" w:eastAsia="Times New Roman" w:hAnsi="Times New Roman" w:cs="Times New Roman"/>
          <w:b/>
          <w:sz w:val="24"/>
          <w:szCs w:val="24"/>
        </w:rPr>
        <w:t xml:space="preserve"> (2013-2024)</w:t>
      </w:r>
    </w:p>
    <w:p w:rsidR="00750840" w:rsidRDefault="00750840">
      <w:pPr>
        <w:spacing w:after="0" w:line="240" w:lineRule="auto"/>
        <w:jc w:val="center"/>
        <w:rPr>
          <w:rFonts w:ascii="Times New Roman" w:eastAsia="Times New Roman" w:hAnsi="Times New Roman" w:cs="Times New Roman"/>
          <w:b/>
          <w:sz w:val="24"/>
          <w:szCs w:val="24"/>
        </w:rPr>
      </w:pPr>
    </w:p>
    <w:p w:rsidR="00750840" w:rsidRDefault="00CA309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Alexandre Luís Giehl; Epagri/Cepa; </w:t>
      </w:r>
      <w:hyperlink r:id="rId8">
        <w:r>
          <w:rPr>
            <w:rFonts w:ascii="Times New Roman" w:eastAsia="Times New Roman" w:hAnsi="Times New Roman" w:cs="Times New Roman"/>
            <w:color w:val="0000FF"/>
            <w:sz w:val="24"/>
            <w:szCs w:val="24"/>
            <w:u w:val="single"/>
          </w:rPr>
          <w:t>alexandregiehl@epagri.sc.gov.br</w:t>
        </w:r>
      </w:hyperlink>
      <w:r>
        <w:rPr>
          <w:rFonts w:ascii="Times New Roman" w:eastAsia="Times New Roman" w:hAnsi="Times New Roman" w:cs="Times New Roman"/>
          <w:color w:val="000000"/>
          <w:sz w:val="24"/>
          <w:szCs w:val="24"/>
        </w:rPr>
        <w:t xml:space="preserve"> </w:t>
      </w:r>
    </w:p>
    <w:p w:rsidR="00750840" w:rsidRDefault="00750840">
      <w:pPr>
        <w:spacing w:after="0" w:line="480" w:lineRule="auto"/>
        <w:jc w:val="right"/>
        <w:rPr>
          <w:rFonts w:ascii="Times New Roman" w:eastAsia="Times New Roman" w:hAnsi="Times New Roman" w:cs="Times New Roman"/>
          <w:sz w:val="24"/>
          <w:szCs w:val="24"/>
        </w:rPr>
      </w:pPr>
    </w:p>
    <w:p w:rsidR="00750840" w:rsidRDefault="00CA30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Área Temática 8: </w:t>
      </w:r>
      <w:r>
        <w:rPr>
          <w:rFonts w:ascii="Times New Roman" w:eastAsia="Times New Roman" w:hAnsi="Times New Roman" w:cs="Times New Roman"/>
          <w:b/>
          <w:sz w:val="24"/>
          <w:szCs w:val="24"/>
        </w:rPr>
        <w:t>Desenvolvimento rural e agricultura familiar.</w:t>
      </w:r>
    </w:p>
    <w:p w:rsidR="00750840" w:rsidRDefault="00750840">
      <w:pPr>
        <w:spacing w:after="0" w:line="480" w:lineRule="auto"/>
        <w:jc w:val="both"/>
        <w:rPr>
          <w:rFonts w:ascii="Times New Roman" w:eastAsia="Times New Roman" w:hAnsi="Times New Roman" w:cs="Times New Roman"/>
          <w:b/>
          <w:sz w:val="24"/>
          <w:szCs w:val="24"/>
        </w:rPr>
      </w:pPr>
    </w:p>
    <w:p w:rsidR="00750840" w:rsidRDefault="00CA309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rsidR="00BA3C74" w:rsidRDefault="00BA3C74" w:rsidP="008C27BA">
      <w:pPr>
        <w:spacing w:after="0" w:line="240" w:lineRule="auto"/>
        <w:jc w:val="both"/>
        <w:rPr>
          <w:rFonts w:ascii="Times New Roman" w:eastAsia="Times New Roman" w:hAnsi="Times New Roman" w:cs="Times New Roman"/>
          <w:sz w:val="24"/>
          <w:szCs w:val="24"/>
        </w:rPr>
      </w:pPr>
    </w:p>
    <w:p w:rsidR="00750840" w:rsidRDefault="008C27BA" w:rsidP="008C27BA">
      <w:pPr>
        <w:spacing w:after="0" w:line="240" w:lineRule="auto"/>
        <w:jc w:val="both"/>
        <w:rPr>
          <w:rFonts w:ascii="Times New Roman" w:eastAsia="Times New Roman" w:hAnsi="Times New Roman" w:cs="Times New Roman"/>
          <w:color w:val="FF0000"/>
          <w:sz w:val="24"/>
          <w:szCs w:val="24"/>
        </w:rPr>
      </w:pPr>
      <w:r w:rsidRPr="00BA3C74">
        <w:rPr>
          <w:rFonts w:ascii="Times New Roman" w:eastAsia="Times New Roman" w:hAnsi="Times New Roman" w:cs="Times New Roman"/>
          <w:sz w:val="24"/>
          <w:szCs w:val="24"/>
        </w:rPr>
        <w:t xml:space="preserve">Entre 2013 e 2024, o crédito rural em Santa Catarina passou por transformações significativas. O número de contratos caiu 32,4%, de 214,7 mil para 145,1 mil, enquanto o valor financiado aumentou 130,4%, atingindo R$ 20,89 bilhões em 2024. Esse crescimento reflete uma concentração de recursos em contratos de maior valor, especialmente na agricultura, cujo valor médio dos contratos subiu 421,6%, contra 91,3% na pecuária. A pecuária manteve relevância, representando 49,5% do valor financiado em 2024, próximo aos 50,8% de 2013, com a bovinocultura liderando (52,9% do valor em 2024), seguida pela avicultura (13,9%) e suinocultura (12,7%). O sistema de integração predominante na avicultura e suinocultura reduziu a dependência do crédito rural, já que as agroindústrias assumem grande parte dos custos. Na avicultura, 79,1% dos recursos foram para custeio, enquanto na suinocultura, 72,9% destinaram-se ao custeio, com participação crescente da industrialização (50,2% em 2024). Já a bovinocultura, menos integrada, demandou mais crédito para custeio e investimentos, especialmente na cadeia do leite. A análise também revelou limitações nos dados, que dificultam a distinção entre atividades específicas, como bovinocultura de corte e leite, ou avicultura de corte e postura. Recomenda-se </w:t>
      </w:r>
      <w:r w:rsidR="00BA3C74" w:rsidRPr="00BA3C74">
        <w:rPr>
          <w:rFonts w:ascii="Times New Roman" w:eastAsia="Times New Roman" w:hAnsi="Times New Roman" w:cs="Times New Roman"/>
          <w:sz w:val="24"/>
          <w:szCs w:val="24"/>
        </w:rPr>
        <w:t xml:space="preserve">a realização de novas análises, utilizando fontes complementares de dados, de forma a tornar as conclusões </w:t>
      </w:r>
      <w:r w:rsidRPr="00BA3C74">
        <w:rPr>
          <w:rFonts w:ascii="Times New Roman" w:eastAsia="Times New Roman" w:hAnsi="Times New Roman" w:cs="Times New Roman"/>
          <w:sz w:val="24"/>
          <w:szCs w:val="24"/>
        </w:rPr>
        <w:t>mais precisas.</w:t>
      </w:r>
    </w:p>
    <w:p w:rsidR="00750840" w:rsidRDefault="00750840">
      <w:pPr>
        <w:rPr>
          <w:rFonts w:ascii="Times New Roman" w:eastAsia="Times New Roman" w:hAnsi="Times New Roman" w:cs="Times New Roman"/>
          <w:sz w:val="24"/>
          <w:szCs w:val="24"/>
        </w:rPr>
      </w:pPr>
    </w:p>
    <w:p w:rsidR="00750840" w:rsidRDefault="00CA30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r w:rsidR="00BA3C74">
        <w:rPr>
          <w:rFonts w:ascii="Times New Roman" w:eastAsia="Times New Roman" w:hAnsi="Times New Roman" w:cs="Times New Roman"/>
          <w:sz w:val="24"/>
          <w:szCs w:val="24"/>
        </w:rPr>
        <w:t>crédito rural; pecuária</w:t>
      </w:r>
      <w:r>
        <w:rPr>
          <w:rFonts w:ascii="Times New Roman" w:eastAsia="Times New Roman" w:hAnsi="Times New Roman" w:cs="Times New Roman"/>
          <w:sz w:val="24"/>
          <w:szCs w:val="24"/>
        </w:rPr>
        <w:t>;</w:t>
      </w:r>
      <w:r w:rsidR="00BA3C74">
        <w:rPr>
          <w:rFonts w:ascii="Times New Roman" w:eastAsia="Times New Roman" w:hAnsi="Times New Roman" w:cs="Times New Roman"/>
          <w:sz w:val="24"/>
          <w:szCs w:val="24"/>
        </w:rPr>
        <w:t xml:space="preserve"> financiamento</w:t>
      </w:r>
      <w:r>
        <w:rPr>
          <w:rFonts w:ascii="Times New Roman" w:eastAsia="Times New Roman" w:hAnsi="Times New Roman" w:cs="Times New Roman"/>
          <w:sz w:val="24"/>
          <w:szCs w:val="24"/>
        </w:rPr>
        <w:t xml:space="preserve">. </w:t>
      </w:r>
    </w:p>
    <w:p w:rsidR="00750840" w:rsidRDefault="00750840">
      <w:pPr>
        <w:spacing w:after="0" w:line="480" w:lineRule="auto"/>
        <w:jc w:val="both"/>
        <w:rPr>
          <w:rFonts w:ascii="Times New Roman" w:eastAsia="Times New Roman" w:hAnsi="Times New Roman" w:cs="Times New Roman"/>
          <w:b/>
          <w:sz w:val="24"/>
          <w:szCs w:val="24"/>
        </w:rPr>
      </w:pPr>
    </w:p>
    <w:p w:rsidR="00750840" w:rsidRDefault="00CA309A" w:rsidP="005F335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0"/>
          <w:sz w:val="24"/>
          <w:szCs w:val="24"/>
        </w:rPr>
        <w:t xml:space="preserve">É praticamente consensual que, do ponto de vista produtivo, o desempenho da agropecuária brasileira nas últimas décadas foi excelente, com crescimento da produção e da produtividade em praticamente todos os segmentos. Um exemplo disso são as lavouras de grãos. De acordo com os dados da Pesquisa Agrícola Municipal – PAM (IBGE, 2025a), entre 1988 e 2023 a área cultivada com grãos registrou expansão de 89,4%, enquanto a produção cresceu 388,2% no mesmo período.  Da mesma forma, a pecuária também tem apresentado números expressivos. Entre 1997 e 2023, o abate anual de bovinos cresceu 129,1%, embora o rebanho tenha se expandido somente 47,8% nesse período, o que foi possível graças à melhoria nas taxas de usufruto (IBGE, 2025b; IBGE, 2025c). Os suínos e frangos apresentaram resultados ainda </w:t>
      </w:r>
      <w:r>
        <w:rPr>
          <w:rFonts w:ascii="Times New Roman" w:eastAsia="Times New Roman" w:hAnsi="Times New Roman" w:cs="Times New Roman"/>
          <w:color w:val="000000"/>
          <w:sz w:val="24"/>
          <w:szCs w:val="24"/>
        </w:rPr>
        <w:lastRenderedPageBreak/>
        <w:t>mais impressionantes, com variação no número de animais abatidos de 319,7% e 191,9%, respectivamente, entre 1997 e 2023.</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relação a esses crescimentos expressivos, Belik (2015) nos apresenta uma reflexão sobre os motores desse processo. Segundo o autor, o processo de modernização da agropecuária brasileira foi montado sobre um conjunto de políticas públicas que visavam a adoção de insumos modernos e mecanização das atividades, com um viés de especialização. Ainda de acordo com Belik, o elemento unificador deste pacote foi o crédito, institucionalizado no Brasil em 1965, quando foi criado o Sistema Nacional de Crédito Rural (SNCR). Não por coincidência, é nesse período que se inicia a fase mais intensa do processo de modernização da agropecuária brasileira, denominado por diversos autores de “revolução verde”, processo que só foi possível graças ao aporte de volumes significativos de crédito, com juros altamente subsidiados.</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 as décadas de 1960 e 1970, o SNCR funcionou de maneira a subsidiar o crédito disponibilizado aos produtores rurais, funcionando, inclusive, com taxas de juros negativas. Como resultado, nesse período houve intensa modernização da agricultura e o desenvolvimento das atividades agroindustriais. Por outro lado, nos anos, com um cenário externo desfavorável, somado à crise fiscal brasileira e a aceleração da inflação, observou-se forte redução dos recursos destinados ao SNCR, o que resultou no desmantelamento do sistema (Dornelas, 2020).</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Fruto desse processo de desmonte, em 1996, o crédito rural atingiu seu valor real mais baixo desde 1966 (Ninaut, Matos, Caiado, 2009). Nos anos seguintes, contudo, observou-se uma retomada na tendência de crescimento do volume de crédito.</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Segundo Bacha e Silva (2005), o crédito rural é composto pelos recursos oferecidos pelo sistema bancário à agropecuária e parte expressiva desses recursos segue as normas fixadas pelo SNCR. </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crédito rural desempenha um papel fundamental para a produção agropecuária, sendo um dos principais instrumentos de política agrícola e de desenvolvimento rural. O crédito rural foi indispensável para o financiamento da agricultura brasileira e continua tendo um papel de abso</w:t>
      </w:r>
      <w:bookmarkStart w:id="0" w:name="_GoBack"/>
      <w:bookmarkEnd w:id="0"/>
      <w:r>
        <w:rPr>
          <w:rFonts w:ascii="Times New Roman" w:eastAsia="Times New Roman" w:hAnsi="Times New Roman" w:cs="Times New Roman"/>
          <w:color w:val="000000"/>
          <w:sz w:val="24"/>
          <w:szCs w:val="24"/>
        </w:rPr>
        <w:t>luta relevância para o setor (Pintor, Silva e Piacentini, 2015).</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Macedo (2006), ao analisar a importância do crédito rural na modernização da pecuária de corte no Brasil, enfatiza que a melhoria nos indicadores zootécnicos da atividade registrados ao longo das décadas de 1980 a 2000, foi acompanhada pela ampliação no acesso a recursos de crédito rural por parte dos produtores.</w:t>
      </w:r>
    </w:p>
    <w:p w:rsidR="00750840" w:rsidRDefault="00750840">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Também não se pode deixar de reconhecer a importância da pecuária para a economia catarinense. Essa é uma das principais atividades econômicas do estado, com destaque para a produção de carne de frango, suína e bovina, além do leite. </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Não obstante o reconhecimento da importância do crédito para o desenvolvimento da agricultura brasileira de forma geral e a relevância da produção pecuária para a economia catarinense, há carência de análises mais aprofundadas acerca da relação entre a evolução da pecuária catarinense e os recursos do crédito, uma vez que a maioria das pesquisas priorizam análises mais abrangentes sobre o sistema de crédito rural, ao invés de um olhar direcionado a esse segmento específico.</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O presente trabalho analisa a evolução do crédito rural destinado à pecuária em Santa Catarina nos últimos doze anos, buscando compreender a dinâmica desse instrumento e sua relação com o desenvolvimento das atividades desse segmento no estado.</w:t>
      </w:r>
      <w:r>
        <w:rPr>
          <w:rFonts w:ascii="Times New Roman" w:eastAsia="Times New Roman" w:hAnsi="Times New Roman" w:cs="Times New Roman"/>
          <w:color w:val="FF0000"/>
          <w:sz w:val="24"/>
          <w:szCs w:val="24"/>
        </w:rPr>
        <w:t xml:space="preserve"> </w:t>
      </w:r>
    </w:p>
    <w:p w:rsidR="00750840" w:rsidRDefault="00CA309A" w:rsidP="005F3350">
      <w:pPr>
        <w:pBdr>
          <w:top w:val="nil"/>
          <w:left w:val="nil"/>
          <w:bottom w:val="nil"/>
          <w:right w:val="nil"/>
          <w:between w:val="nil"/>
        </w:pBdr>
        <w:spacing w:before="360" w:after="240" w:line="360" w:lineRule="auto"/>
        <w:ind w:right="-11"/>
        <w:jc w:val="both"/>
        <w:rPr>
          <w:rFonts w:ascii="Times New Roman" w:eastAsia="Times New Roman" w:hAnsi="Times New Roman" w:cs="Times New Roman"/>
          <w:b/>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t>2. METODOLOGIA</w:t>
      </w:r>
    </w:p>
    <w:p w:rsidR="001329F6" w:rsidRDefault="001329F6">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sidRPr="001329F6">
        <w:rPr>
          <w:rFonts w:ascii="Times New Roman" w:eastAsia="Times New Roman" w:hAnsi="Times New Roman" w:cs="Times New Roman"/>
          <w:color w:val="000000"/>
          <w:sz w:val="24"/>
          <w:szCs w:val="24"/>
        </w:rPr>
        <w:t>O artigo adota uma abordagem quantitativa e descritiva,</w:t>
      </w:r>
      <w:r>
        <w:rPr>
          <w:rFonts w:ascii="Times New Roman" w:eastAsia="Times New Roman" w:hAnsi="Times New Roman" w:cs="Times New Roman"/>
          <w:color w:val="000000"/>
          <w:sz w:val="24"/>
          <w:szCs w:val="24"/>
        </w:rPr>
        <w:t xml:space="preserve"> de caráter exploratório, </w:t>
      </w:r>
      <w:r w:rsidRPr="001329F6">
        <w:rPr>
          <w:rFonts w:ascii="Times New Roman" w:eastAsia="Times New Roman" w:hAnsi="Times New Roman" w:cs="Times New Roman"/>
          <w:color w:val="000000"/>
          <w:sz w:val="24"/>
          <w:szCs w:val="24"/>
        </w:rPr>
        <w:t>baseada na análise de dados secundários fornecidos pelo Banco Central do Brasil (BCB) e por outras fontes, como a Epagri/Cepa.</w:t>
      </w:r>
    </w:p>
    <w:p w:rsidR="001329F6" w:rsidRPr="001329F6" w:rsidRDefault="001329F6" w:rsidP="001329F6">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sidRPr="001329F6">
        <w:rPr>
          <w:rFonts w:ascii="Times New Roman" w:eastAsia="Times New Roman" w:hAnsi="Times New Roman" w:cs="Times New Roman"/>
          <w:color w:val="000000"/>
          <w:sz w:val="24"/>
          <w:szCs w:val="24"/>
        </w:rPr>
        <w:t xml:space="preserve">Foram utilizados dados anuais de crédito rural em Santa Catarina, abrangendo </w:t>
      </w:r>
      <w:r w:rsidR="00D20EA7">
        <w:rPr>
          <w:rFonts w:ascii="Times New Roman" w:eastAsia="Times New Roman" w:hAnsi="Times New Roman" w:cs="Times New Roman"/>
          <w:color w:val="000000"/>
          <w:sz w:val="24"/>
          <w:szCs w:val="24"/>
        </w:rPr>
        <w:t>o</w:t>
      </w:r>
      <w:r w:rsidR="00222DD0">
        <w:rPr>
          <w:rFonts w:ascii="Times New Roman" w:eastAsia="Times New Roman" w:hAnsi="Times New Roman" w:cs="Times New Roman"/>
          <w:color w:val="000000"/>
          <w:sz w:val="24"/>
          <w:szCs w:val="24"/>
        </w:rPr>
        <w:t>s anos</w:t>
      </w:r>
      <w:r w:rsidRPr="001329F6">
        <w:rPr>
          <w:rFonts w:ascii="Times New Roman" w:eastAsia="Times New Roman" w:hAnsi="Times New Roman" w:cs="Times New Roman"/>
          <w:color w:val="000000"/>
          <w:sz w:val="24"/>
          <w:szCs w:val="24"/>
        </w:rPr>
        <w:t xml:space="preserve"> de 2013 a 2024</w:t>
      </w:r>
      <w:r w:rsidR="00222DD0">
        <w:rPr>
          <w:rFonts w:ascii="Times New Roman" w:eastAsia="Times New Roman" w:hAnsi="Times New Roman" w:cs="Times New Roman"/>
          <w:color w:val="000000"/>
          <w:sz w:val="24"/>
          <w:szCs w:val="24"/>
        </w:rPr>
        <w:t>, período em que os dados são disponibilizados pelo BCB</w:t>
      </w:r>
      <w:r w:rsidRPr="001329F6">
        <w:rPr>
          <w:rFonts w:ascii="Times New Roman" w:eastAsia="Times New Roman" w:hAnsi="Times New Roman" w:cs="Times New Roman"/>
          <w:color w:val="000000"/>
          <w:sz w:val="24"/>
          <w:szCs w:val="24"/>
        </w:rPr>
        <w:t>. As informações incluem o número de contratos, valores financiados, distribuição por atividades (agrícola e pecuária) e finalidades (custeio, investimento, industrialização e comercialização). Além disso, foram considerados dados sobre o Valor da Produção Agropecuária (VPA) para contextualizar a relevância do crédito rural no setor.</w:t>
      </w:r>
    </w:p>
    <w:p w:rsidR="001329F6" w:rsidRDefault="001329F6" w:rsidP="001329F6">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sidRPr="001329F6">
        <w:rPr>
          <w:rFonts w:ascii="Times New Roman" w:eastAsia="Times New Roman" w:hAnsi="Times New Roman" w:cs="Times New Roman"/>
          <w:color w:val="000000"/>
          <w:sz w:val="24"/>
          <w:szCs w:val="24"/>
        </w:rPr>
        <w:t>Foram identificadas tendências e oscilações no volume de crédito e no número de contratos ao longo do período estudado, com destaque para o crescimento do valor financiado e a redução no número de contratos.</w:t>
      </w:r>
    </w:p>
    <w:p w:rsidR="001329F6" w:rsidRDefault="001329F6" w:rsidP="001329F6">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sidRPr="001329F6">
        <w:rPr>
          <w:rFonts w:ascii="Times New Roman" w:eastAsia="Times New Roman" w:hAnsi="Times New Roman" w:cs="Times New Roman"/>
          <w:color w:val="000000"/>
          <w:sz w:val="24"/>
          <w:szCs w:val="24"/>
        </w:rPr>
        <w:t>Os dados foram divididos entre agricultura e pecuária, com foco na evolução do crédito para cada atividade, especialmente na bovinocultura, avicultura e suinocultura.</w:t>
      </w:r>
      <w:r>
        <w:rPr>
          <w:rFonts w:ascii="Times New Roman" w:eastAsia="Times New Roman" w:hAnsi="Times New Roman" w:cs="Times New Roman"/>
          <w:color w:val="000000"/>
          <w:sz w:val="24"/>
          <w:szCs w:val="24"/>
        </w:rPr>
        <w:t xml:space="preserve"> </w:t>
      </w:r>
    </w:p>
    <w:p w:rsidR="001329F6" w:rsidRDefault="001329F6" w:rsidP="001329F6">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sidRPr="001329F6">
        <w:rPr>
          <w:rFonts w:ascii="Times New Roman" w:eastAsia="Times New Roman" w:hAnsi="Times New Roman" w:cs="Times New Roman"/>
          <w:color w:val="000000"/>
          <w:sz w:val="24"/>
          <w:szCs w:val="24"/>
        </w:rPr>
        <w:t>O artigo reconhece limitações metodológicas, como a falta de detalhamento nos dados do BCB, que dificultam a distinção entre atividades específicas (ex.: bovinocultura de corte vs. leite) e a identificação precisa dos produtos financiados</w:t>
      </w:r>
      <w:r>
        <w:rPr>
          <w:rFonts w:ascii="Times New Roman" w:eastAsia="Times New Roman" w:hAnsi="Times New Roman" w:cs="Times New Roman"/>
          <w:color w:val="000000"/>
          <w:sz w:val="24"/>
          <w:szCs w:val="24"/>
        </w:rPr>
        <w:t xml:space="preserve">. </w:t>
      </w:r>
    </w:p>
    <w:p w:rsidR="001329F6" w:rsidRDefault="001329F6" w:rsidP="001329F6">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dados do BCB estão estruturados por ano, atividade (Agrícola ou Pecuária), finalidade ((Investimento, Custeio, Industrialização e Comercialização) e produto</w:t>
      </w:r>
      <w:r w:rsidR="00F2121C">
        <w:rPr>
          <w:rFonts w:ascii="Times New Roman" w:eastAsia="Times New Roman" w:hAnsi="Times New Roman" w:cs="Times New Roman"/>
          <w:color w:val="000000"/>
          <w:sz w:val="24"/>
          <w:szCs w:val="24"/>
        </w:rPr>
        <w:t xml:space="preserve"> (quase uma centena de </w:t>
      </w:r>
      <w:r w:rsidR="00F2121C">
        <w:rPr>
          <w:rFonts w:ascii="Times New Roman" w:eastAsia="Times New Roman" w:hAnsi="Times New Roman" w:cs="Times New Roman"/>
          <w:color w:val="000000"/>
          <w:sz w:val="24"/>
          <w:szCs w:val="24"/>
        </w:rPr>
        <w:lastRenderedPageBreak/>
        <w:t>itens sob essa denominação). Para facilitar a análise, os produtos foram agrupados em categorias, denominadas de “Atividades Agropecuárias” (que não devem ser confundidas com a categoria “Atividade” originária do próprio bando de dados do BCB). Destas, três mereceram atenção especial, por sua relevância econômica para o estado: Avicultura, Suinocultura e Bovinocultura.</w:t>
      </w:r>
    </w:p>
    <w:p w:rsidR="001329F6" w:rsidRPr="001329F6" w:rsidRDefault="001329F6" w:rsidP="001329F6">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1329F6">
        <w:rPr>
          <w:rFonts w:ascii="Times New Roman" w:eastAsia="Times New Roman" w:hAnsi="Times New Roman" w:cs="Times New Roman"/>
          <w:color w:val="000000"/>
          <w:sz w:val="24"/>
          <w:szCs w:val="24"/>
        </w:rPr>
        <w:t xml:space="preserve"> metodologia combina análise estatística descritiva, segmentação de dados e contextualização econômica, com foco em identificar padrões e tendências no crédito rural catarinense.</w:t>
      </w:r>
    </w:p>
    <w:p w:rsidR="00750840" w:rsidRDefault="00CA309A" w:rsidP="005F3350">
      <w:pPr>
        <w:pBdr>
          <w:top w:val="nil"/>
          <w:left w:val="nil"/>
          <w:bottom w:val="nil"/>
          <w:right w:val="nil"/>
          <w:between w:val="nil"/>
        </w:pBdr>
        <w:spacing w:before="360" w:after="240" w:line="36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RESULTADOS E DISCUSSÃO</w:t>
      </w:r>
      <w:r>
        <w:rPr>
          <w:rFonts w:ascii="Times New Roman" w:eastAsia="Times New Roman" w:hAnsi="Times New Roman" w:cs="Times New Roman"/>
          <w:color w:val="000000"/>
          <w:sz w:val="24"/>
          <w:szCs w:val="24"/>
        </w:rPr>
        <w:t xml:space="preserve"> </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2013, foram celebrados 214,7 mil contratos de crédito rural em Santa Catarina, com valor financiado de R$ 9,07 bilhões. Em 2024, o número de contratos celebrados caiu para 145,1 mil (-32,4% em relação a 2013), enquanto o valor financiado atingiu R$ 20,89 bilhões (crescimento de 130,4%). </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análise dos dados demonstra oscilações nos montantes de crédito acessados entre 2013 e 2019. A partir de 2020, observa-se tendência de crescimento constante no total de recursos. O número de contratos, por sua vez, também oscila no período analisado. Contudo, há uma tendência predominante de queda entre 2013 e 2022. Nos anos de 2023 e 2024, registram-se novamente crescimentos, no que pode vir a se constituir na inversão da tendência anterior (Figura 1).</w:t>
      </w:r>
    </w:p>
    <w:p w:rsidR="00750840" w:rsidRDefault="00CA309A">
      <w:pPr>
        <w:pBdr>
          <w:top w:val="nil"/>
          <w:left w:val="nil"/>
          <w:bottom w:val="nil"/>
          <w:right w:val="nil"/>
          <w:between w:val="nil"/>
        </w:pBdr>
        <w:spacing w:before="240" w:after="0" w:line="36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Figura 1</w:t>
      </w:r>
      <w:r>
        <w:rPr>
          <w:rFonts w:ascii="Times New Roman" w:eastAsia="Times New Roman" w:hAnsi="Times New Roman" w:cs="Times New Roman"/>
          <w:color w:val="000000"/>
          <w:sz w:val="24"/>
          <w:szCs w:val="24"/>
        </w:rPr>
        <w:t xml:space="preserve"> – Evolução do crédito rural em Santa Catarina – Valor e n</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 xml:space="preserve"> de contratos</w:t>
      </w:r>
    </w:p>
    <w:p w:rsidR="00750840" w:rsidRDefault="00CA309A">
      <w:pPr>
        <w:pBdr>
          <w:top w:val="nil"/>
          <w:left w:val="nil"/>
          <w:bottom w:val="nil"/>
          <w:right w:val="nil"/>
          <w:between w:val="nil"/>
        </w:pBdr>
        <w:spacing w:after="0" w:line="360" w:lineRule="auto"/>
        <w:ind w:right="-11"/>
        <w:jc w:val="both"/>
        <w:rPr>
          <w:rFonts w:ascii="Times New Roman" w:eastAsia="Times New Roman" w:hAnsi="Times New Roman" w:cs="Times New Roman"/>
          <w:color w:val="FF0000"/>
          <w:sz w:val="24"/>
          <w:szCs w:val="24"/>
        </w:rPr>
      </w:pPr>
      <w:r>
        <w:rPr>
          <w:rFonts w:ascii="Cambria" w:eastAsia="Cambria" w:hAnsi="Cambria" w:cs="Cambria"/>
          <w:noProof/>
          <w:color w:val="00000A"/>
          <w:sz w:val="24"/>
          <w:szCs w:val="24"/>
        </w:rPr>
        <w:drawing>
          <wp:inline distT="0" distB="0" distL="0" distR="0">
            <wp:extent cx="5619750" cy="28575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50840" w:rsidRDefault="00CA309A">
      <w:pPr>
        <w:pBdr>
          <w:top w:val="nil"/>
          <w:left w:val="nil"/>
          <w:bottom w:val="nil"/>
          <w:right w:val="nil"/>
          <w:between w:val="nil"/>
        </w:pBdr>
        <w:spacing w:after="240" w:line="36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Fonte: BCB (2025), adaptado pelo autor.</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Ao analisar somente os contratos destinados à atividade pecuária, também foram observadas variações significativas no período analisado. Em 2013, foram celebrados 66,3 mil contratos com essa finalidade, com valor financiado de R$ 4,60 bilhões. Em 2024, o número de contratos subiu para 77,8 mil e o valor financiado atingiu R$ 10,34 bilhões, altas de 17,4% e 124,5%, respectivamente. A pecuária respondeu por 49,5% do valor financiado em 2024, participação muito semelhante àquela registrada em 2013, quando o segmento foi responsável por 50,8% do crédito acessado pelos produtores catarinenses. Com exceção de 2018 a 2022, quando a participação da pecuária chegou a atingir o patamar de 33,8%, no restante do período analisado a distribuição dos valores manteve-se relativamente equilibrada entre o crédito agrícola e o pecuário, como evidencia a tabela 1.</w:t>
      </w:r>
    </w:p>
    <w:p w:rsidR="00750840" w:rsidRDefault="00CA309A">
      <w:pPr>
        <w:pBdr>
          <w:top w:val="nil"/>
          <w:left w:val="nil"/>
          <w:bottom w:val="nil"/>
          <w:right w:val="nil"/>
          <w:between w:val="nil"/>
        </w:pBdr>
        <w:spacing w:before="240" w:after="0" w:line="36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Tabela 1</w:t>
      </w:r>
      <w:r>
        <w:rPr>
          <w:rFonts w:ascii="Times New Roman" w:eastAsia="Times New Roman" w:hAnsi="Times New Roman" w:cs="Times New Roman"/>
          <w:color w:val="000000"/>
          <w:sz w:val="24"/>
          <w:szCs w:val="24"/>
        </w:rPr>
        <w:t xml:space="preserve"> – Evolução do crédito rural em Santa Catarina de acordo com a atividade</w:t>
      </w:r>
    </w:p>
    <w:tbl>
      <w:tblPr>
        <w:tblStyle w:val="a2"/>
        <w:tblW w:w="9120" w:type="dxa"/>
        <w:tblInd w:w="-15" w:type="dxa"/>
        <w:tblLayout w:type="fixed"/>
        <w:tblLook w:val="0400" w:firstRow="0" w:lastRow="0" w:firstColumn="0" w:lastColumn="0" w:noHBand="0" w:noVBand="1"/>
      </w:tblPr>
      <w:tblGrid>
        <w:gridCol w:w="724"/>
        <w:gridCol w:w="2552"/>
        <w:gridCol w:w="2524"/>
        <w:gridCol w:w="1613"/>
        <w:gridCol w:w="1707"/>
      </w:tblGrid>
      <w:tr w:rsidR="00750840" w:rsidTr="007A261D">
        <w:trPr>
          <w:trHeight w:val="300"/>
        </w:trPr>
        <w:tc>
          <w:tcPr>
            <w:tcW w:w="724" w:type="dxa"/>
            <w:vMerge w:val="restart"/>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750840" w:rsidRDefault="00CA30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Ano</w:t>
            </w:r>
          </w:p>
        </w:tc>
        <w:tc>
          <w:tcPr>
            <w:tcW w:w="5076"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750840" w:rsidRDefault="00CA30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Valor financiado (R$)</w:t>
            </w:r>
          </w:p>
        </w:tc>
        <w:tc>
          <w:tcPr>
            <w:tcW w:w="3320"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rsidR="00750840" w:rsidRDefault="00CA30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Número de contratos</w:t>
            </w:r>
          </w:p>
        </w:tc>
      </w:tr>
      <w:tr w:rsidR="00750840" w:rsidTr="007A261D">
        <w:trPr>
          <w:trHeight w:val="300"/>
        </w:trPr>
        <w:tc>
          <w:tcPr>
            <w:tcW w:w="724" w:type="dxa"/>
            <w:vMerge/>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750840" w:rsidRDefault="00750840">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2552" w:type="dxa"/>
            <w:tcBorders>
              <w:top w:val="nil"/>
              <w:left w:val="nil"/>
              <w:bottom w:val="single" w:sz="4" w:space="0" w:color="000000"/>
              <w:right w:val="single" w:sz="4" w:space="0" w:color="000000"/>
            </w:tcBorders>
            <w:shd w:val="clear" w:color="auto" w:fill="D9D9D9" w:themeFill="background1" w:themeFillShade="D9"/>
            <w:vAlign w:val="center"/>
          </w:tcPr>
          <w:p w:rsidR="00750840" w:rsidRDefault="00CA30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Agrícola</w:t>
            </w:r>
          </w:p>
        </w:tc>
        <w:tc>
          <w:tcPr>
            <w:tcW w:w="2524" w:type="dxa"/>
            <w:tcBorders>
              <w:top w:val="nil"/>
              <w:left w:val="nil"/>
              <w:bottom w:val="single" w:sz="4" w:space="0" w:color="000000"/>
              <w:right w:val="single" w:sz="4" w:space="0" w:color="000000"/>
            </w:tcBorders>
            <w:shd w:val="clear" w:color="auto" w:fill="D9D9D9" w:themeFill="background1" w:themeFillShade="D9"/>
            <w:vAlign w:val="center"/>
          </w:tcPr>
          <w:p w:rsidR="00750840" w:rsidRDefault="00CA30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Pecuária</w:t>
            </w:r>
          </w:p>
        </w:tc>
        <w:tc>
          <w:tcPr>
            <w:tcW w:w="161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750840" w:rsidRDefault="00CA30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Agrícola</w:t>
            </w:r>
          </w:p>
        </w:tc>
        <w:tc>
          <w:tcPr>
            <w:tcW w:w="1707" w:type="dxa"/>
            <w:tcBorders>
              <w:top w:val="single" w:sz="4" w:space="0" w:color="000000"/>
              <w:left w:val="nil"/>
              <w:bottom w:val="single" w:sz="4" w:space="0" w:color="000000"/>
              <w:right w:val="nil"/>
            </w:tcBorders>
            <w:shd w:val="clear" w:color="auto" w:fill="D9D9D9" w:themeFill="background1" w:themeFillShade="D9"/>
            <w:vAlign w:val="center"/>
          </w:tcPr>
          <w:p w:rsidR="00750840" w:rsidRDefault="00CA30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Pecuária</w:t>
            </w:r>
          </w:p>
        </w:tc>
      </w:tr>
      <w:tr w:rsidR="00750840">
        <w:trPr>
          <w:trHeight w:val="290"/>
        </w:trPr>
        <w:tc>
          <w:tcPr>
            <w:tcW w:w="724" w:type="dxa"/>
            <w:tcBorders>
              <w:top w:val="nil"/>
              <w:left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2013</w:t>
            </w:r>
          </w:p>
        </w:tc>
        <w:tc>
          <w:tcPr>
            <w:tcW w:w="2552" w:type="dxa"/>
            <w:tcBorders>
              <w:top w:val="nil"/>
              <w:left w:val="nil"/>
              <w:bottom w:val="nil"/>
              <w:right w:val="nil"/>
            </w:tcBorders>
            <w:shd w:val="clear" w:color="auto" w:fill="auto"/>
            <w:vAlign w:val="center"/>
          </w:tcPr>
          <w:p w:rsidR="00750840" w:rsidRDefault="00CA309A">
            <w:pPr>
              <w:spacing w:after="0" w:line="240" w:lineRule="auto"/>
              <w:ind w:left="-70" w:right="21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4.465.700.259,67</w:t>
            </w:r>
          </w:p>
        </w:tc>
        <w:tc>
          <w:tcPr>
            <w:tcW w:w="2524" w:type="dxa"/>
            <w:tcBorders>
              <w:top w:val="nil"/>
              <w:left w:val="nil"/>
              <w:bottom w:val="nil"/>
              <w:right w:val="nil"/>
            </w:tcBorders>
            <w:shd w:val="clear" w:color="auto" w:fill="auto"/>
            <w:vAlign w:val="center"/>
          </w:tcPr>
          <w:p w:rsidR="00750840" w:rsidRDefault="00CA309A">
            <w:pPr>
              <w:spacing w:after="0" w:line="240" w:lineRule="auto"/>
              <w:ind w:left="-70" w:right="18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4.604.944.918,83</w:t>
            </w:r>
          </w:p>
        </w:tc>
        <w:tc>
          <w:tcPr>
            <w:tcW w:w="1613" w:type="dxa"/>
            <w:tcBorders>
              <w:top w:val="nil"/>
              <w:left w:val="single" w:sz="4" w:space="0" w:color="000000"/>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148.404</w:t>
            </w:r>
          </w:p>
        </w:tc>
        <w:tc>
          <w:tcPr>
            <w:tcW w:w="1707" w:type="dxa"/>
            <w:tcBorders>
              <w:top w:val="nil"/>
              <w:left w:val="nil"/>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66.298</w:t>
            </w:r>
          </w:p>
        </w:tc>
      </w:tr>
      <w:tr w:rsidR="00750840">
        <w:trPr>
          <w:trHeight w:val="290"/>
        </w:trPr>
        <w:tc>
          <w:tcPr>
            <w:tcW w:w="724" w:type="dxa"/>
            <w:tcBorders>
              <w:top w:val="nil"/>
              <w:left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2014</w:t>
            </w:r>
          </w:p>
        </w:tc>
        <w:tc>
          <w:tcPr>
            <w:tcW w:w="2552" w:type="dxa"/>
            <w:tcBorders>
              <w:top w:val="nil"/>
              <w:left w:val="nil"/>
              <w:bottom w:val="nil"/>
              <w:right w:val="nil"/>
            </w:tcBorders>
            <w:shd w:val="clear" w:color="auto" w:fill="auto"/>
            <w:vAlign w:val="center"/>
          </w:tcPr>
          <w:p w:rsidR="00750840" w:rsidRDefault="00CA309A">
            <w:pPr>
              <w:spacing w:after="0" w:line="240" w:lineRule="auto"/>
              <w:ind w:left="-70" w:right="21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5.269.997.297,46</w:t>
            </w:r>
          </w:p>
        </w:tc>
        <w:tc>
          <w:tcPr>
            <w:tcW w:w="2524" w:type="dxa"/>
            <w:tcBorders>
              <w:top w:val="nil"/>
              <w:left w:val="nil"/>
              <w:bottom w:val="nil"/>
              <w:right w:val="nil"/>
            </w:tcBorders>
            <w:shd w:val="clear" w:color="auto" w:fill="auto"/>
            <w:vAlign w:val="center"/>
          </w:tcPr>
          <w:p w:rsidR="00750840" w:rsidRDefault="00CA309A">
            <w:pPr>
              <w:spacing w:after="0" w:line="240" w:lineRule="auto"/>
              <w:ind w:left="-70" w:right="18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5.561.549.841,19</w:t>
            </w:r>
          </w:p>
        </w:tc>
        <w:tc>
          <w:tcPr>
            <w:tcW w:w="1613" w:type="dxa"/>
            <w:tcBorders>
              <w:top w:val="nil"/>
              <w:left w:val="single" w:sz="4" w:space="0" w:color="000000"/>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129.543</w:t>
            </w:r>
          </w:p>
        </w:tc>
        <w:tc>
          <w:tcPr>
            <w:tcW w:w="1707" w:type="dxa"/>
            <w:tcBorders>
              <w:top w:val="nil"/>
              <w:left w:val="nil"/>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57.551</w:t>
            </w:r>
          </w:p>
        </w:tc>
      </w:tr>
      <w:tr w:rsidR="00750840">
        <w:trPr>
          <w:trHeight w:val="290"/>
        </w:trPr>
        <w:tc>
          <w:tcPr>
            <w:tcW w:w="724" w:type="dxa"/>
            <w:tcBorders>
              <w:top w:val="nil"/>
              <w:left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2015</w:t>
            </w:r>
          </w:p>
        </w:tc>
        <w:tc>
          <w:tcPr>
            <w:tcW w:w="2552" w:type="dxa"/>
            <w:tcBorders>
              <w:top w:val="nil"/>
              <w:left w:val="nil"/>
              <w:bottom w:val="nil"/>
              <w:right w:val="nil"/>
            </w:tcBorders>
            <w:shd w:val="clear" w:color="auto" w:fill="auto"/>
            <w:vAlign w:val="center"/>
          </w:tcPr>
          <w:p w:rsidR="00750840" w:rsidRDefault="00CA309A">
            <w:pPr>
              <w:spacing w:after="0" w:line="240" w:lineRule="auto"/>
              <w:ind w:left="-70" w:right="21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4.911.939.688,10</w:t>
            </w:r>
          </w:p>
        </w:tc>
        <w:tc>
          <w:tcPr>
            <w:tcW w:w="2524" w:type="dxa"/>
            <w:tcBorders>
              <w:top w:val="nil"/>
              <w:left w:val="nil"/>
              <w:bottom w:val="nil"/>
              <w:right w:val="nil"/>
            </w:tcBorders>
            <w:shd w:val="clear" w:color="auto" w:fill="auto"/>
            <w:vAlign w:val="center"/>
          </w:tcPr>
          <w:p w:rsidR="00750840" w:rsidRDefault="00CA309A">
            <w:pPr>
              <w:spacing w:after="0" w:line="240" w:lineRule="auto"/>
              <w:ind w:left="-70" w:right="18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4.180.205.489,19</w:t>
            </w:r>
          </w:p>
        </w:tc>
        <w:tc>
          <w:tcPr>
            <w:tcW w:w="1613" w:type="dxa"/>
            <w:tcBorders>
              <w:top w:val="nil"/>
              <w:left w:val="single" w:sz="4" w:space="0" w:color="000000"/>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96.617</w:t>
            </w:r>
          </w:p>
        </w:tc>
        <w:tc>
          <w:tcPr>
            <w:tcW w:w="1707" w:type="dxa"/>
            <w:tcBorders>
              <w:top w:val="nil"/>
              <w:left w:val="nil"/>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49.613</w:t>
            </w:r>
          </w:p>
        </w:tc>
      </w:tr>
      <w:tr w:rsidR="00750840">
        <w:trPr>
          <w:trHeight w:val="290"/>
        </w:trPr>
        <w:tc>
          <w:tcPr>
            <w:tcW w:w="724" w:type="dxa"/>
            <w:tcBorders>
              <w:top w:val="nil"/>
              <w:left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2016</w:t>
            </w:r>
          </w:p>
        </w:tc>
        <w:tc>
          <w:tcPr>
            <w:tcW w:w="2552" w:type="dxa"/>
            <w:tcBorders>
              <w:top w:val="nil"/>
              <w:left w:val="nil"/>
              <w:bottom w:val="nil"/>
              <w:right w:val="nil"/>
            </w:tcBorders>
            <w:shd w:val="clear" w:color="auto" w:fill="auto"/>
            <w:vAlign w:val="center"/>
          </w:tcPr>
          <w:p w:rsidR="00750840" w:rsidRDefault="00CA309A">
            <w:pPr>
              <w:spacing w:after="0" w:line="240" w:lineRule="auto"/>
              <w:ind w:left="-70" w:right="21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4.125.171.754,45</w:t>
            </w:r>
          </w:p>
        </w:tc>
        <w:tc>
          <w:tcPr>
            <w:tcW w:w="2524" w:type="dxa"/>
            <w:tcBorders>
              <w:top w:val="nil"/>
              <w:left w:val="nil"/>
              <w:bottom w:val="nil"/>
              <w:right w:val="nil"/>
            </w:tcBorders>
            <w:shd w:val="clear" w:color="auto" w:fill="auto"/>
            <w:vAlign w:val="center"/>
          </w:tcPr>
          <w:p w:rsidR="00750840" w:rsidRDefault="00CA309A">
            <w:pPr>
              <w:spacing w:after="0" w:line="240" w:lineRule="auto"/>
              <w:ind w:left="-70" w:right="18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3.457.076.694,03</w:t>
            </w:r>
          </w:p>
        </w:tc>
        <w:tc>
          <w:tcPr>
            <w:tcW w:w="1613" w:type="dxa"/>
            <w:tcBorders>
              <w:top w:val="nil"/>
              <w:left w:val="single" w:sz="4" w:space="0" w:color="000000"/>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78.696</w:t>
            </w:r>
          </w:p>
        </w:tc>
        <w:tc>
          <w:tcPr>
            <w:tcW w:w="1707" w:type="dxa"/>
            <w:tcBorders>
              <w:top w:val="nil"/>
              <w:left w:val="nil"/>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35.519</w:t>
            </w:r>
          </w:p>
        </w:tc>
      </w:tr>
      <w:tr w:rsidR="00750840">
        <w:trPr>
          <w:trHeight w:val="290"/>
        </w:trPr>
        <w:tc>
          <w:tcPr>
            <w:tcW w:w="724" w:type="dxa"/>
            <w:tcBorders>
              <w:top w:val="nil"/>
              <w:left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2017</w:t>
            </w:r>
          </w:p>
        </w:tc>
        <w:tc>
          <w:tcPr>
            <w:tcW w:w="2552" w:type="dxa"/>
            <w:tcBorders>
              <w:top w:val="nil"/>
              <w:left w:val="nil"/>
              <w:bottom w:val="nil"/>
              <w:right w:val="nil"/>
            </w:tcBorders>
            <w:shd w:val="clear" w:color="auto" w:fill="auto"/>
            <w:vAlign w:val="center"/>
          </w:tcPr>
          <w:p w:rsidR="00750840" w:rsidRDefault="00CA309A">
            <w:pPr>
              <w:spacing w:after="0" w:line="240" w:lineRule="auto"/>
              <w:ind w:left="-70" w:right="21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5.753.209.722,66</w:t>
            </w:r>
          </w:p>
        </w:tc>
        <w:tc>
          <w:tcPr>
            <w:tcW w:w="2524" w:type="dxa"/>
            <w:tcBorders>
              <w:top w:val="nil"/>
              <w:left w:val="nil"/>
              <w:bottom w:val="nil"/>
              <w:right w:val="nil"/>
            </w:tcBorders>
            <w:shd w:val="clear" w:color="auto" w:fill="auto"/>
            <w:vAlign w:val="center"/>
          </w:tcPr>
          <w:p w:rsidR="00750840" w:rsidRDefault="00CA309A">
            <w:pPr>
              <w:spacing w:after="0" w:line="240" w:lineRule="auto"/>
              <w:ind w:left="-70" w:right="18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5.131.588.240,28</w:t>
            </w:r>
          </w:p>
        </w:tc>
        <w:tc>
          <w:tcPr>
            <w:tcW w:w="1613" w:type="dxa"/>
            <w:tcBorders>
              <w:top w:val="nil"/>
              <w:left w:val="single" w:sz="4" w:space="0" w:color="000000"/>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84.176</w:t>
            </w:r>
          </w:p>
        </w:tc>
        <w:tc>
          <w:tcPr>
            <w:tcW w:w="1707" w:type="dxa"/>
            <w:tcBorders>
              <w:top w:val="nil"/>
              <w:left w:val="nil"/>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51.349</w:t>
            </w:r>
          </w:p>
        </w:tc>
      </w:tr>
      <w:tr w:rsidR="00750840">
        <w:trPr>
          <w:trHeight w:val="290"/>
        </w:trPr>
        <w:tc>
          <w:tcPr>
            <w:tcW w:w="724" w:type="dxa"/>
            <w:tcBorders>
              <w:top w:val="nil"/>
              <w:left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2018</w:t>
            </w:r>
          </w:p>
        </w:tc>
        <w:tc>
          <w:tcPr>
            <w:tcW w:w="2552" w:type="dxa"/>
            <w:tcBorders>
              <w:top w:val="nil"/>
              <w:left w:val="nil"/>
              <w:bottom w:val="nil"/>
              <w:right w:val="nil"/>
            </w:tcBorders>
            <w:shd w:val="clear" w:color="auto" w:fill="auto"/>
            <w:vAlign w:val="center"/>
          </w:tcPr>
          <w:p w:rsidR="00750840" w:rsidRDefault="00CA309A">
            <w:pPr>
              <w:spacing w:after="0" w:line="240" w:lineRule="auto"/>
              <w:ind w:left="-70" w:right="21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8.135.784.718,49</w:t>
            </w:r>
          </w:p>
        </w:tc>
        <w:tc>
          <w:tcPr>
            <w:tcW w:w="2524" w:type="dxa"/>
            <w:tcBorders>
              <w:top w:val="nil"/>
              <w:left w:val="nil"/>
              <w:bottom w:val="nil"/>
              <w:right w:val="nil"/>
            </w:tcBorders>
            <w:shd w:val="clear" w:color="auto" w:fill="auto"/>
            <w:vAlign w:val="center"/>
          </w:tcPr>
          <w:p w:rsidR="00750840" w:rsidRDefault="00CA309A">
            <w:pPr>
              <w:spacing w:after="0" w:line="240" w:lineRule="auto"/>
              <w:ind w:left="-70" w:right="18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4.156.533.686,77</w:t>
            </w:r>
          </w:p>
        </w:tc>
        <w:tc>
          <w:tcPr>
            <w:tcW w:w="1613" w:type="dxa"/>
            <w:tcBorders>
              <w:top w:val="nil"/>
              <w:left w:val="single" w:sz="4" w:space="0" w:color="000000"/>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81.910</w:t>
            </w:r>
          </w:p>
        </w:tc>
        <w:tc>
          <w:tcPr>
            <w:tcW w:w="1707" w:type="dxa"/>
            <w:tcBorders>
              <w:top w:val="nil"/>
              <w:left w:val="nil"/>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53.512</w:t>
            </w:r>
          </w:p>
        </w:tc>
      </w:tr>
      <w:tr w:rsidR="00750840">
        <w:trPr>
          <w:trHeight w:val="290"/>
        </w:trPr>
        <w:tc>
          <w:tcPr>
            <w:tcW w:w="724" w:type="dxa"/>
            <w:tcBorders>
              <w:top w:val="nil"/>
              <w:left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2019</w:t>
            </w:r>
          </w:p>
        </w:tc>
        <w:tc>
          <w:tcPr>
            <w:tcW w:w="2552" w:type="dxa"/>
            <w:tcBorders>
              <w:top w:val="nil"/>
              <w:left w:val="nil"/>
              <w:bottom w:val="nil"/>
              <w:right w:val="nil"/>
            </w:tcBorders>
            <w:shd w:val="clear" w:color="auto" w:fill="auto"/>
            <w:vAlign w:val="center"/>
          </w:tcPr>
          <w:p w:rsidR="00750840" w:rsidRDefault="00CA309A">
            <w:pPr>
              <w:spacing w:after="0" w:line="240" w:lineRule="auto"/>
              <w:ind w:left="-70" w:right="21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5.137.376.374,12</w:t>
            </w:r>
          </w:p>
        </w:tc>
        <w:tc>
          <w:tcPr>
            <w:tcW w:w="2524" w:type="dxa"/>
            <w:tcBorders>
              <w:top w:val="nil"/>
              <w:left w:val="nil"/>
              <w:bottom w:val="nil"/>
              <w:right w:val="nil"/>
            </w:tcBorders>
            <w:shd w:val="clear" w:color="auto" w:fill="auto"/>
            <w:vAlign w:val="center"/>
          </w:tcPr>
          <w:p w:rsidR="00750840" w:rsidRDefault="00CA309A">
            <w:pPr>
              <w:spacing w:after="0" w:line="240" w:lineRule="auto"/>
              <w:ind w:left="-70" w:right="18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3.750.949.316,82</w:t>
            </w:r>
          </w:p>
        </w:tc>
        <w:tc>
          <w:tcPr>
            <w:tcW w:w="1613" w:type="dxa"/>
            <w:tcBorders>
              <w:top w:val="nil"/>
              <w:left w:val="single" w:sz="4" w:space="0" w:color="000000"/>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66.247</w:t>
            </w:r>
          </w:p>
        </w:tc>
        <w:tc>
          <w:tcPr>
            <w:tcW w:w="1707" w:type="dxa"/>
            <w:tcBorders>
              <w:top w:val="nil"/>
              <w:left w:val="nil"/>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52.460</w:t>
            </w:r>
          </w:p>
        </w:tc>
      </w:tr>
      <w:tr w:rsidR="00750840">
        <w:trPr>
          <w:trHeight w:val="290"/>
        </w:trPr>
        <w:tc>
          <w:tcPr>
            <w:tcW w:w="724" w:type="dxa"/>
            <w:tcBorders>
              <w:top w:val="nil"/>
              <w:left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2020</w:t>
            </w:r>
          </w:p>
        </w:tc>
        <w:tc>
          <w:tcPr>
            <w:tcW w:w="2552" w:type="dxa"/>
            <w:tcBorders>
              <w:top w:val="nil"/>
              <w:left w:val="nil"/>
              <w:bottom w:val="nil"/>
              <w:right w:val="nil"/>
            </w:tcBorders>
            <w:shd w:val="clear" w:color="auto" w:fill="auto"/>
            <w:vAlign w:val="center"/>
          </w:tcPr>
          <w:p w:rsidR="00750840" w:rsidRDefault="00CA309A">
            <w:pPr>
              <w:spacing w:after="0" w:line="240" w:lineRule="auto"/>
              <w:ind w:left="-70" w:right="21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6.390.522.629,25</w:t>
            </w:r>
          </w:p>
        </w:tc>
        <w:tc>
          <w:tcPr>
            <w:tcW w:w="2524" w:type="dxa"/>
            <w:tcBorders>
              <w:top w:val="nil"/>
              <w:left w:val="nil"/>
              <w:bottom w:val="nil"/>
              <w:right w:val="nil"/>
            </w:tcBorders>
            <w:shd w:val="clear" w:color="auto" w:fill="auto"/>
            <w:vAlign w:val="center"/>
          </w:tcPr>
          <w:p w:rsidR="00750840" w:rsidRDefault="00CA309A">
            <w:pPr>
              <w:spacing w:after="0" w:line="240" w:lineRule="auto"/>
              <w:ind w:left="-70" w:right="18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4.212.223.770,16</w:t>
            </w:r>
          </w:p>
        </w:tc>
        <w:tc>
          <w:tcPr>
            <w:tcW w:w="1613" w:type="dxa"/>
            <w:tcBorders>
              <w:top w:val="nil"/>
              <w:left w:val="single" w:sz="4" w:space="0" w:color="000000"/>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65.501</w:t>
            </w:r>
          </w:p>
        </w:tc>
        <w:tc>
          <w:tcPr>
            <w:tcW w:w="1707" w:type="dxa"/>
            <w:tcBorders>
              <w:top w:val="nil"/>
              <w:left w:val="nil"/>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56.851</w:t>
            </w:r>
          </w:p>
        </w:tc>
      </w:tr>
      <w:tr w:rsidR="00750840">
        <w:trPr>
          <w:trHeight w:val="290"/>
        </w:trPr>
        <w:tc>
          <w:tcPr>
            <w:tcW w:w="724" w:type="dxa"/>
            <w:tcBorders>
              <w:top w:val="nil"/>
              <w:left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2021</w:t>
            </w:r>
          </w:p>
        </w:tc>
        <w:tc>
          <w:tcPr>
            <w:tcW w:w="2552" w:type="dxa"/>
            <w:tcBorders>
              <w:top w:val="nil"/>
              <w:left w:val="nil"/>
              <w:bottom w:val="nil"/>
              <w:right w:val="nil"/>
            </w:tcBorders>
            <w:shd w:val="clear" w:color="auto" w:fill="auto"/>
            <w:vAlign w:val="center"/>
          </w:tcPr>
          <w:p w:rsidR="00750840" w:rsidRDefault="00CA309A">
            <w:pPr>
              <w:spacing w:after="0" w:line="240" w:lineRule="auto"/>
              <w:ind w:left="-70" w:right="21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8.541.881.786,85</w:t>
            </w:r>
          </w:p>
        </w:tc>
        <w:tc>
          <w:tcPr>
            <w:tcW w:w="2524" w:type="dxa"/>
            <w:tcBorders>
              <w:top w:val="nil"/>
              <w:left w:val="nil"/>
              <w:bottom w:val="nil"/>
              <w:right w:val="nil"/>
            </w:tcBorders>
            <w:shd w:val="clear" w:color="auto" w:fill="auto"/>
            <w:vAlign w:val="center"/>
          </w:tcPr>
          <w:p w:rsidR="00750840" w:rsidRDefault="00CA309A">
            <w:pPr>
              <w:spacing w:after="0" w:line="240" w:lineRule="auto"/>
              <w:ind w:left="-70" w:right="18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6.485.588.114,32</w:t>
            </w:r>
          </w:p>
        </w:tc>
        <w:tc>
          <w:tcPr>
            <w:tcW w:w="1613" w:type="dxa"/>
            <w:tcBorders>
              <w:top w:val="nil"/>
              <w:left w:val="single" w:sz="4" w:space="0" w:color="000000"/>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69.457</w:t>
            </w:r>
          </w:p>
        </w:tc>
        <w:tc>
          <w:tcPr>
            <w:tcW w:w="1707" w:type="dxa"/>
            <w:tcBorders>
              <w:top w:val="nil"/>
              <w:left w:val="nil"/>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60.594</w:t>
            </w:r>
          </w:p>
        </w:tc>
      </w:tr>
      <w:tr w:rsidR="00750840">
        <w:trPr>
          <w:trHeight w:val="290"/>
        </w:trPr>
        <w:tc>
          <w:tcPr>
            <w:tcW w:w="724" w:type="dxa"/>
            <w:tcBorders>
              <w:top w:val="nil"/>
              <w:left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2022</w:t>
            </w:r>
          </w:p>
        </w:tc>
        <w:tc>
          <w:tcPr>
            <w:tcW w:w="2552" w:type="dxa"/>
            <w:tcBorders>
              <w:top w:val="nil"/>
              <w:left w:val="nil"/>
              <w:bottom w:val="nil"/>
              <w:right w:val="nil"/>
            </w:tcBorders>
            <w:shd w:val="clear" w:color="auto" w:fill="auto"/>
            <w:vAlign w:val="center"/>
          </w:tcPr>
          <w:p w:rsidR="00750840" w:rsidRDefault="00CA309A">
            <w:pPr>
              <w:spacing w:after="0" w:line="240" w:lineRule="auto"/>
              <w:ind w:left="-70" w:right="21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10.052.947.897,89</w:t>
            </w:r>
          </w:p>
        </w:tc>
        <w:tc>
          <w:tcPr>
            <w:tcW w:w="2524" w:type="dxa"/>
            <w:tcBorders>
              <w:top w:val="nil"/>
              <w:left w:val="nil"/>
              <w:bottom w:val="nil"/>
              <w:right w:val="nil"/>
            </w:tcBorders>
            <w:shd w:val="clear" w:color="auto" w:fill="auto"/>
            <w:vAlign w:val="center"/>
          </w:tcPr>
          <w:p w:rsidR="00750840" w:rsidRDefault="00CA309A">
            <w:pPr>
              <w:spacing w:after="0" w:line="240" w:lineRule="auto"/>
              <w:ind w:left="-70" w:right="18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7.971.179.428,17</w:t>
            </w:r>
          </w:p>
        </w:tc>
        <w:tc>
          <w:tcPr>
            <w:tcW w:w="1613" w:type="dxa"/>
            <w:tcBorders>
              <w:top w:val="nil"/>
              <w:left w:val="single" w:sz="4" w:space="0" w:color="000000"/>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65.202</w:t>
            </w:r>
          </w:p>
        </w:tc>
        <w:tc>
          <w:tcPr>
            <w:tcW w:w="1707" w:type="dxa"/>
            <w:tcBorders>
              <w:top w:val="nil"/>
              <w:left w:val="nil"/>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62.881</w:t>
            </w:r>
          </w:p>
        </w:tc>
      </w:tr>
      <w:tr w:rsidR="00750840">
        <w:trPr>
          <w:trHeight w:val="290"/>
        </w:trPr>
        <w:tc>
          <w:tcPr>
            <w:tcW w:w="724" w:type="dxa"/>
            <w:tcBorders>
              <w:top w:val="nil"/>
              <w:left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2023</w:t>
            </w:r>
          </w:p>
        </w:tc>
        <w:tc>
          <w:tcPr>
            <w:tcW w:w="2552" w:type="dxa"/>
            <w:tcBorders>
              <w:top w:val="nil"/>
              <w:left w:val="nil"/>
              <w:bottom w:val="nil"/>
              <w:right w:val="nil"/>
            </w:tcBorders>
            <w:shd w:val="clear" w:color="auto" w:fill="auto"/>
            <w:vAlign w:val="center"/>
          </w:tcPr>
          <w:p w:rsidR="00750840" w:rsidRDefault="00CA309A">
            <w:pPr>
              <w:spacing w:after="0" w:line="240" w:lineRule="auto"/>
              <w:ind w:left="-70" w:right="21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10.519.599.735,04</w:t>
            </w:r>
          </w:p>
        </w:tc>
        <w:tc>
          <w:tcPr>
            <w:tcW w:w="2524" w:type="dxa"/>
            <w:tcBorders>
              <w:top w:val="nil"/>
              <w:left w:val="nil"/>
              <w:bottom w:val="nil"/>
              <w:right w:val="nil"/>
            </w:tcBorders>
            <w:shd w:val="clear" w:color="auto" w:fill="auto"/>
            <w:vAlign w:val="center"/>
          </w:tcPr>
          <w:p w:rsidR="00750840" w:rsidRDefault="00CA309A">
            <w:pPr>
              <w:spacing w:after="0" w:line="240" w:lineRule="auto"/>
              <w:ind w:left="-70" w:right="18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10.260.965.721,82</w:t>
            </w:r>
          </w:p>
        </w:tc>
        <w:tc>
          <w:tcPr>
            <w:tcW w:w="1613" w:type="dxa"/>
            <w:tcBorders>
              <w:top w:val="nil"/>
              <w:left w:val="single" w:sz="4" w:space="0" w:color="000000"/>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65.715</w:t>
            </w:r>
          </w:p>
        </w:tc>
        <w:tc>
          <w:tcPr>
            <w:tcW w:w="1707" w:type="dxa"/>
            <w:tcBorders>
              <w:top w:val="nil"/>
              <w:left w:val="nil"/>
              <w:bottom w:val="nil"/>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71.729</w:t>
            </w:r>
          </w:p>
        </w:tc>
      </w:tr>
      <w:tr w:rsidR="00750840">
        <w:trPr>
          <w:trHeight w:val="300"/>
        </w:trPr>
        <w:tc>
          <w:tcPr>
            <w:tcW w:w="724"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2024</w:t>
            </w:r>
          </w:p>
        </w:tc>
        <w:tc>
          <w:tcPr>
            <w:tcW w:w="2552" w:type="dxa"/>
            <w:tcBorders>
              <w:top w:val="nil"/>
              <w:left w:val="nil"/>
              <w:bottom w:val="single" w:sz="4" w:space="0" w:color="000000"/>
              <w:right w:val="nil"/>
            </w:tcBorders>
            <w:shd w:val="clear" w:color="auto" w:fill="auto"/>
            <w:vAlign w:val="center"/>
          </w:tcPr>
          <w:p w:rsidR="00750840" w:rsidRDefault="00CA309A">
            <w:pPr>
              <w:spacing w:after="0" w:line="240" w:lineRule="auto"/>
              <w:ind w:left="-70" w:right="21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10.554.715.868,81</w:t>
            </w:r>
          </w:p>
        </w:tc>
        <w:tc>
          <w:tcPr>
            <w:tcW w:w="2524" w:type="dxa"/>
            <w:tcBorders>
              <w:top w:val="nil"/>
              <w:left w:val="nil"/>
              <w:bottom w:val="single" w:sz="4" w:space="0" w:color="000000"/>
              <w:right w:val="nil"/>
            </w:tcBorders>
            <w:shd w:val="clear" w:color="auto" w:fill="auto"/>
            <w:vAlign w:val="center"/>
          </w:tcPr>
          <w:p w:rsidR="00750840" w:rsidRDefault="00CA309A">
            <w:pPr>
              <w:spacing w:after="0" w:line="240" w:lineRule="auto"/>
              <w:ind w:left="-70" w:right="18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10.340.030.313,18</w:t>
            </w:r>
          </w:p>
        </w:tc>
        <w:tc>
          <w:tcPr>
            <w:tcW w:w="1613" w:type="dxa"/>
            <w:tcBorders>
              <w:top w:val="nil"/>
              <w:left w:val="single" w:sz="4" w:space="0" w:color="000000"/>
              <w:bottom w:val="single" w:sz="4" w:space="0" w:color="000000"/>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67.244</w:t>
            </w:r>
          </w:p>
        </w:tc>
        <w:tc>
          <w:tcPr>
            <w:tcW w:w="1707" w:type="dxa"/>
            <w:tcBorders>
              <w:top w:val="nil"/>
              <w:left w:val="nil"/>
              <w:bottom w:val="single" w:sz="4" w:space="0" w:color="000000"/>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77.820</w:t>
            </w:r>
          </w:p>
        </w:tc>
      </w:tr>
    </w:tbl>
    <w:p w:rsidR="00750840" w:rsidRDefault="00CA309A" w:rsidP="007A261D">
      <w:pPr>
        <w:pBdr>
          <w:top w:val="nil"/>
          <w:left w:val="nil"/>
          <w:bottom w:val="nil"/>
          <w:right w:val="nil"/>
          <w:between w:val="nil"/>
        </w:pBdr>
        <w:spacing w:before="60" w:after="240" w:line="36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Fonte: BCB (2025)</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que se tenha noção da relevância do crédito rural para a agricultura catarinense, o valor da produção da agropecuária (VPA) do estado em 2023 foi de R$ 64,32 bilhões (Epagri/Cepa, 2024), enquanto o valor total financiado naquele ano foi de R$ 20,89 bilhões. Isso significa que o crédito rural no ano em questão foi equivalente a 32,5% do VPA. No caso da pecuária, cujo VPA foi de R$ 37,08 bilhões, o crédito correspondeu a 27,9% do valor da produção. Vale destaca que, na produção agrícola, o crédito foi equivalente a 38,7%.</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Já em relação ao número de contratos, verifica-se um cenário distinto. Em 2013, a pecuária respondeu por 30,9% dos contratos de crédito celebrados em Santa Catarina, participação que cresceu gradativamente nos anos seguintes, até atingir o patamar de 53,6% em 2024 (Figura 2). Esse cenário é decorrente tanto do aumento no número de contratos de crédito pecuário, já </w:t>
      </w:r>
      <w:r>
        <w:rPr>
          <w:rFonts w:ascii="Times New Roman" w:eastAsia="Times New Roman" w:hAnsi="Times New Roman" w:cs="Times New Roman"/>
          <w:color w:val="000000"/>
          <w:sz w:val="24"/>
          <w:szCs w:val="24"/>
        </w:rPr>
        <w:lastRenderedPageBreak/>
        <w:t>mencionado anteriormente, quanto da queda no montante de contratos de crédito agrícola (-54,7% no período analisado).</w:t>
      </w:r>
    </w:p>
    <w:p w:rsidR="00750840" w:rsidRDefault="00CA309A">
      <w:pPr>
        <w:pBdr>
          <w:top w:val="nil"/>
          <w:left w:val="nil"/>
          <w:bottom w:val="nil"/>
          <w:right w:val="nil"/>
          <w:between w:val="nil"/>
        </w:pBdr>
        <w:spacing w:before="240" w:after="0" w:line="36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Figura 2</w:t>
      </w:r>
      <w:r>
        <w:rPr>
          <w:rFonts w:ascii="Times New Roman" w:eastAsia="Times New Roman" w:hAnsi="Times New Roman" w:cs="Times New Roman"/>
          <w:color w:val="000000"/>
          <w:sz w:val="24"/>
          <w:szCs w:val="24"/>
        </w:rPr>
        <w:t xml:space="preserve"> – Participação de cada atividade no total de contratos de crédito celebrados no ano</w:t>
      </w:r>
    </w:p>
    <w:p w:rsidR="00750840" w:rsidRDefault="00CA309A">
      <w:pPr>
        <w:pBdr>
          <w:top w:val="nil"/>
          <w:left w:val="nil"/>
          <w:bottom w:val="nil"/>
          <w:right w:val="nil"/>
          <w:between w:val="nil"/>
        </w:pBdr>
        <w:spacing w:after="0" w:line="360" w:lineRule="auto"/>
        <w:ind w:right="-10"/>
        <w:jc w:val="both"/>
        <w:rPr>
          <w:rFonts w:ascii="Times New Roman" w:eastAsia="Times New Roman" w:hAnsi="Times New Roman" w:cs="Times New Roman"/>
          <w:color w:val="000000"/>
          <w:sz w:val="24"/>
          <w:szCs w:val="24"/>
        </w:rPr>
      </w:pPr>
      <w:r>
        <w:rPr>
          <w:rFonts w:ascii="Cambria" w:eastAsia="Cambria" w:hAnsi="Cambria" w:cs="Cambria"/>
          <w:noProof/>
          <w:color w:val="00000A"/>
          <w:sz w:val="24"/>
          <w:szCs w:val="24"/>
        </w:rPr>
        <w:drawing>
          <wp:inline distT="0" distB="0" distL="0" distR="0">
            <wp:extent cx="5657850" cy="291465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50840" w:rsidRDefault="00CA309A">
      <w:pPr>
        <w:pBdr>
          <w:top w:val="nil"/>
          <w:left w:val="nil"/>
          <w:bottom w:val="nil"/>
          <w:right w:val="nil"/>
          <w:between w:val="nil"/>
        </w:pBdr>
        <w:spacing w:after="240" w:line="36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Fonte: elaborado pelo autor, a partir de dados do BCB (2025).</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Outro aspecto que apresentou alterações expressivas foi o valor médio dos contratos. Considerando-se os valores totais, a média passou de R$ 42,2 mil, em 2013, para R$ 144,0 mil, em 2024, crescimento de 240,9%. Contudo, ao segmentar os dados, verificam-se comportamentos distintos entre as duas atividades: enquanto o valor médio dos contratos de crédito agrícola passou de R$ 30,1 mil para R$ 157,0 mil, aumento de 421,6% entre 2013 e 2024, os de crédito pecuário tiveram variação de apenas 91,3%, passando de R$ 69,5 mil para R$ 132,9 mil no mesmo período. Desde 2018, o valor médio dos contratos de crédito agrícola supera os de crédito pecuário.    </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segmentação por finalidade, por sua vez, demonstra que a maioria dos recursos destinados à pecuária ao longo do período analisado foram utilizados para o custeio da atividade (Tabela 2). Em 2024, quase dois terços (65,7%) do valor financiado destinou-se a essa finalidade, enquanto 24,7% foram utilizados para investimentos, 8,4% para industrialização e 1,2% para comercialização. Essa distribuição se assemelha às médias do período, que reforçam o forte predomínio dos recursos de custeio. Contudo, entre 2019 e 2022 verificou-se um expressivo crescimento de participação dos investimentos no montante total financiado. Esse processo atingiu seu ápice em 2020, quando 47,4% dos recursos acessados destinou-se a investimentos.</w:t>
      </w:r>
    </w:p>
    <w:p w:rsidR="00750840" w:rsidRDefault="00CA309A">
      <w:pPr>
        <w:pBdr>
          <w:top w:val="nil"/>
          <w:left w:val="nil"/>
          <w:bottom w:val="nil"/>
          <w:right w:val="nil"/>
          <w:between w:val="nil"/>
        </w:pBdr>
        <w:spacing w:before="240" w:after="0" w:line="36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Tabela 2 </w:t>
      </w:r>
      <w:r>
        <w:rPr>
          <w:rFonts w:ascii="Times New Roman" w:eastAsia="Times New Roman" w:hAnsi="Times New Roman" w:cs="Times New Roman"/>
          <w:color w:val="000000"/>
          <w:sz w:val="24"/>
          <w:szCs w:val="24"/>
        </w:rPr>
        <w:t>– Valor financiado por finalidade – Pecuária – SC (2023)</w:t>
      </w:r>
    </w:p>
    <w:tbl>
      <w:tblPr>
        <w:tblStyle w:val="a3"/>
        <w:tblW w:w="9240" w:type="dxa"/>
        <w:jc w:val="center"/>
        <w:tblInd w:w="0" w:type="dxa"/>
        <w:tblLayout w:type="fixed"/>
        <w:tblLook w:val="0400" w:firstRow="0" w:lastRow="0" w:firstColumn="0" w:lastColumn="0" w:noHBand="0" w:noVBand="1"/>
      </w:tblPr>
      <w:tblGrid>
        <w:gridCol w:w="699"/>
        <w:gridCol w:w="1564"/>
        <w:gridCol w:w="1701"/>
        <w:gridCol w:w="1701"/>
        <w:gridCol w:w="1701"/>
        <w:gridCol w:w="1874"/>
      </w:tblGrid>
      <w:tr w:rsidR="00750840" w:rsidTr="007A261D">
        <w:trPr>
          <w:trHeight w:val="315"/>
          <w:jc w:val="center"/>
        </w:trPr>
        <w:tc>
          <w:tcPr>
            <w:tcW w:w="699" w:type="dxa"/>
            <w:tcBorders>
              <w:top w:val="single" w:sz="4" w:space="0" w:color="000000"/>
              <w:bottom w:val="single" w:sz="4" w:space="0" w:color="000000"/>
              <w:right w:val="single" w:sz="4" w:space="0" w:color="000000"/>
            </w:tcBorders>
            <w:shd w:val="clear" w:color="auto" w:fill="D9D9D9" w:themeFill="background1" w:themeFillShade="D9"/>
            <w:vAlign w:val="center"/>
          </w:tcPr>
          <w:p w:rsidR="00750840" w:rsidRDefault="00CA30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Ano</w:t>
            </w:r>
          </w:p>
        </w:tc>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0840" w:rsidRDefault="00CA309A">
            <w:pPr>
              <w:spacing w:after="0" w:line="240" w:lineRule="auto"/>
              <w:ind w:left="-70" w:right="-7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Comercialização (R$)</w:t>
            </w:r>
          </w:p>
        </w:tc>
        <w:tc>
          <w:tcPr>
            <w:tcW w:w="1701" w:type="dxa"/>
            <w:tcBorders>
              <w:top w:val="single" w:sz="4" w:space="0" w:color="000000"/>
              <w:left w:val="nil"/>
              <w:bottom w:val="single" w:sz="4" w:space="0" w:color="000000"/>
              <w:right w:val="nil"/>
            </w:tcBorders>
            <w:shd w:val="clear" w:color="auto" w:fill="D9D9D9" w:themeFill="background1" w:themeFillShade="D9"/>
            <w:vAlign w:val="center"/>
          </w:tcPr>
          <w:p w:rsidR="00750840" w:rsidRDefault="00CA309A">
            <w:pPr>
              <w:spacing w:after="0" w:line="240" w:lineRule="auto"/>
              <w:ind w:left="-70" w:right="-2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Custeio</w:t>
            </w:r>
          </w:p>
          <w:p w:rsidR="00750840" w:rsidRDefault="00CA309A">
            <w:pPr>
              <w:spacing w:after="0" w:line="240" w:lineRule="auto"/>
              <w:ind w:left="-70" w:right="-2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0840" w:rsidRDefault="00CA309A">
            <w:pPr>
              <w:spacing w:after="0" w:line="240" w:lineRule="auto"/>
              <w:ind w:left="-70" w:right="-7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Industrialização</w:t>
            </w:r>
          </w:p>
          <w:p w:rsidR="00750840" w:rsidRDefault="00CA309A">
            <w:pPr>
              <w:spacing w:after="0" w:line="240" w:lineRule="auto"/>
              <w:ind w:left="-70" w:right="-7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w:t>
            </w:r>
          </w:p>
        </w:tc>
        <w:tc>
          <w:tcPr>
            <w:tcW w:w="1701"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750840" w:rsidRDefault="00CA309A">
            <w:pPr>
              <w:spacing w:after="0" w:line="240" w:lineRule="auto"/>
              <w:ind w:right="-7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Investimento </w:t>
            </w:r>
          </w:p>
          <w:p w:rsidR="00750840" w:rsidRDefault="00CA309A">
            <w:pPr>
              <w:spacing w:after="0" w:line="240" w:lineRule="auto"/>
              <w:ind w:right="-7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w:t>
            </w:r>
          </w:p>
        </w:tc>
        <w:tc>
          <w:tcPr>
            <w:tcW w:w="1874" w:type="dxa"/>
            <w:tcBorders>
              <w:top w:val="single" w:sz="4" w:space="0" w:color="000000"/>
              <w:left w:val="single" w:sz="4" w:space="0" w:color="000000"/>
              <w:bottom w:val="single" w:sz="4" w:space="0" w:color="000000"/>
            </w:tcBorders>
            <w:shd w:val="clear" w:color="auto" w:fill="D9D9D9" w:themeFill="background1" w:themeFillShade="D9"/>
            <w:vAlign w:val="center"/>
          </w:tcPr>
          <w:p w:rsidR="00750840" w:rsidRDefault="00CA309A">
            <w:pPr>
              <w:spacing w:after="0" w:line="240" w:lineRule="auto"/>
              <w:ind w:right="-7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Total</w:t>
            </w:r>
          </w:p>
          <w:p w:rsidR="00750840" w:rsidRDefault="00CA309A">
            <w:pPr>
              <w:spacing w:after="0" w:line="240" w:lineRule="auto"/>
              <w:ind w:right="-7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w:t>
            </w:r>
          </w:p>
        </w:tc>
      </w:tr>
      <w:tr w:rsidR="00750840">
        <w:trPr>
          <w:trHeight w:val="300"/>
          <w:jc w:val="center"/>
        </w:trPr>
        <w:tc>
          <w:tcPr>
            <w:tcW w:w="699" w:type="dxa"/>
            <w:tcBorders>
              <w:top w:val="single" w:sz="4" w:space="0" w:color="000000"/>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2013</w:t>
            </w:r>
          </w:p>
        </w:tc>
        <w:tc>
          <w:tcPr>
            <w:tcW w:w="1564" w:type="dxa"/>
            <w:tcBorders>
              <w:top w:val="single" w:sz="4" w:space="0" w:color="000000"/>
              <w:left w:val="single" w:sz="4" w:space="0" w:color="000000"/>
              <w:bottom w:val="nil"/>
              <w:right w:val="nil"/>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168.918.040,56</w:t>
            </w:r>
          </w:p>
        </w:tc>
        <w:tc>
          <w:tcPr>
            <w:tcW w:w="1701" w:type="dxa"/>
            <w:tcBorders>
              <w:top w:val="single" w:sz="4" w:space="0" w:color="000000"/>
              <w:left w:val="single" w:sz="4" w:space="0" w:color="000000"/>
              <w:bottom w:val="nil"/>
              <w:right w:val="single" w:sz="4" w:space="0" w:color="000000"/>
            </w:tcBorders>
            <w:shd w:val="clear" w:color="auto" w:fill="auto"/>
            <w:vAlign w:val="center"/>
          </w:tcPr>
          <w:p w:rsidR="00750840" w:rsidRDefault="00CA309A">
            <w:pPr>
              <w:spacing w:after="0" w:line="240" w:lineRule="auto"/>
              <w:ind w:left="-70" w:right="-27"/>
              <w:jc w:val="center"/>
              <w:rPr>
                <w:rFonts w:ascii="Times New Roman" w:eastAsia="Times New Roman" w:hAnsi="Times New Roman" w:cs="Times New Roman"/>
                <w:color w:val="000000"/>
              </w:rPr>
            </w:pPr>
            <w:r>
              <w:rPr>
                <w:rFonts w:ascii="Times New Roman" w:eastAsia="Times New Roman" w:hAnsi="Times New Roman" w:cs="Times New Roman"/>
                <w:color w:val="000000"/>
              </w:rPr>
              <w:t>3.412.461.973,23</w:t>
            </w:r>
          </w:p>
        </w:tc>
        <w:tc>
          <w:tcPr>
            <w:tcW w:w="1701" w:type="dxa"/>
            <w:tcBorders>
              <w:top w:val="single" w:sz="4" w:space="0" w:color="000000"/>
              <w:left w:val="nil"/>
              <w:bottom w:val="nil"/>
              <w:right w:val="single" w:sz="4" w:space="0" w:color="000000"/>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01" w:type="dxa"/>
            <w:tcBorders>
              <w:top w:val="single" w:sz="4" w:space="0" w:color="000000"/>
              <w:left w:val="nil"/>
              <w:bottom w:val="nil"/>
              <w:right w:val="single" w:sz="4" w:space="0" w:color="000000"/>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1.023.564.905,04</w:t>
            </w:r>
          </w:p>
        </w:tc>
        <w:tc>
          <w:tcPr>
            <w:tcW w:w="1874" w:type="dxa"/>
            <w:tcBorders>
              <w:top w:val="single" w:sz="4" w:space="0" w:color="000000"/>
              <w:left w:val="single" w:sz="4" w:space="0" w:color="000000"/>
              <w:bottom w:val="nil"/>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4.604.944.918,83</w:t>
            </w:r>
          </w:p>
        </w:tc>
      </w:tr>
      <w:tr w:rsidR="00750840">
        <w:trPr>
          <w:trHeight w:val="300"/>
          <w:jc w:val="center"/>
        </w:trPr>
        <w:tc>
          <w:tcPr>
            <w:tcW w:w="699" w:type="dxa"/>
            <w:tcBorders>
              <w:top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2014</w:t>
            </w:r>
          </w:p>
        </w:tc>
        <w:tc>
          <w:tcPr>
            <w:tcW w:w="1564" w:type="dxa"/>
            <w:tcBorders>
              <w:top w:val="nil"/>
              <w:left w:val="single" w:sz="4" w:space="0" w:color="000000"/>
              <w:bottom w:val="nil"/>
              <w:right w:val="nil"/>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625.964.093,93</w:t>
            </w:r>
          </w:p>
        </w:tc>
        <w:tc>
          <w:tcPr>
            <w:tcW w:w="1701" w:type="dxa"/>
            <w:tcBorders>
              <w:top w:val="nil"/>
              <w:left w:val="single" w:sz="4" w:space="0" w:color="000000"/>
              <w:bottom w:val="nil"/>
              <w:right w:val="single" w:sz="4" w:space="0" w:color="000000"/>
            </w:tcBorders>
            <w:shd w:val="clear" w:color="auto" w:fill="auto"/>
            <w:vAlign w:val="center"/>
          </w:tcPr>
          <w:p w:rsidR="00750840" w:rsidRDefault="00CA309A">
            <w:pPr>
              <w:spacing w:after="0" w:line="240" w:lineRule="auto"/>
              <w:ind w:left="-70" w:right="-27"/>
              <w:jc w:val="center"/>
              <w:rPr>
                <w:rFonts w:ascii="Times New Roman" w:eastAsia="Times New Roman" w:hAnsi="Times New Roman" w:cs="Times New Roman"/>
                <w:color w:val="000000"/>
              </w:rPr>
            </w:pPr>
            <w:r>
              <w:rPr>
                <w:rFonts w:ascii="Times New Roman" w:eastAsia="Times New Roman" w:hAnsi="Times New Roman" w:cs="Times New Roman"/>
                <w:color w:val="000000"/>
              </w:rPr>
              <w:t>3.717.550.195,97</w:t>
            </w:r>
          </w:p>
        </w:tc>
        <w:tc>
          <w:tcPr>
            <w:tcW w:w="1701" w:type="dxa"/>
            <w:tcBorders>
              <w:top w:val="nil"/>
              <w:left w:val="nil"/>
              <w:bottom w:val="nil"/>
              <w:right w:val="single" w:sz="4" w:space="0" w:color="000000"/>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01" w:type="dxa"/>
            <w:tcBorders>
              <w:top w:val="nil"/>
              <w:left w:val="nil"/>
              <w:bottom w:val="nil"/>
              <w:right w:val="single" w:sz="4" w:space="0" w:color="000000"/>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1.218.035.551,29</w:t>
            </w:r>
          </w:p>
        </w:tc>
        <w:tc>
          <w:tcPr>
            <w:tcW w:w="1874" w:type="dxa"/>
            <w:tcBorders>
              <w:top w:val="nil"/>
              <w:left w:val="single" w:sz="4" w:space="0" w:color="000000"/>
              <w:bottom w:val="nil"/>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5.561.549.841,19</w:t>
            </w:r>
          </w:p>
        </w:tc>
      </w:tr>
      <w:tr w:rsidR="00750840">
        <w:trPr>
          <w:trHeight w:val="300"/>
          <w:jc w:val="center"/>
        </w:trPr>
        <w:tc>
          <w:tcPr>
            <w:tcW w:w="699" w:type="dxa"/>
            <w:tcBorders>
              <w:top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2015</w:t>
            </w:r>
          </w:p>
        </w:tc>
        <w:tc>
          <w:tcPr>
            <w:tcW w:w="1564" w:type="dxa"/>
            <w:tcBorders>
              <w:top w:val="nil"/>
              <w:left w:val="single" w:sz="4" w:space="0" w:color="000000"/>
              <w:bottom w:val="nil"/>
              <w:right w:val="nil"/>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193.895.245,83</w:t>
            </w:r>
          </w:p>
        </w:tc>
        <w:tc>
          <w:tcPr>
            <w:tcW w:w="1701" w:type="dxa"/>
            <w:tcBorders>
              <w:top w:val="nil"/>
              <w:left w:val="single" w:sz="4" w:space="0" w:color="000000"/>
              <w:bottom w:val="nil"/>
              <w:right w:val="single" w:sz="4" w:space="0" w:color="000000"/>
            </w:tcBorders>
            <w:shd w:val="clear" w:color="auto" w:fill="auto"/>
            <w:vAlign w:val="center"/>
          </w:tcPr>
          <w:p w:rsidR="00750840" w:rsidRDefault="00CA309A">
            <w:pPr>
              <w:spacing w:after="0" w:line="240" w:lineRule="auto"/>
              <w:ind w:left="-70" w:right="-27"/>
              <w:jc w:val="center"/>
              <w:rPr>
                <w:rFonts w:ascii="Times New Roman" w:eastAsia="Times New Roman" w:hAnsi="Times New Roman" w:cs="Times New Roman"/>
                <w:color w:val="000000"/>
              </w:rPr>
            </w:pPr>
            <w:r>
              <w:rPr>
                <w:rFonts w:ascii="Times New Roman" w:eastAsia="Times New Roman" w:hAnsi="Times New Roman" w:cs="Times New Roman"/>
                <w:color w:val="000000"/>
              </w:rPr>
              <w:t>2.928.281.356,21</w:t>
            </w:r>
          </w:p>
        </w:tc>
        <w:tc>
          <w:tcPr>
            <w:tcW w:w="1701" w:type="dxa"/>
            <w:tcBorders>
              <w:top w:val="nil"/>
              <w:left w:val="nil"/>
              <w:bottom w:val="nil"/>
              <w:right w:val="single" w:sz="4" w:space="0" w:color="000000"/>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01" w:type="dxa"/>
            <w:tcBorders>
              <w:top w:val="nil"/>
              <w:left w:val="nil"/>
              <w:bottom w:val="nil"/>
              <w:right w:val="single" w:sz="4" w:space="0" w:color="000000"/>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1.058.028.887,15</w:t>
            </w:r>
          </w:p>
        </w:tc>
        <w:tc>
          <w:tcPr>
            <w:tcW w:w="1874" w:type="dxa"/>
            <w:tcBorders>
              <w:top w:val="nil"/>
              <w:left w:val="single" w:sz="4" w:space="0" w:color="000000"/>
              <w:bottom w:val="nil"/>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4.180.205.489,19</w:t>
            </w:r>
          </w:p>
        </w:tc>
      </w:tr>
      <w:tr w:rsidR="00750840">
        <w:trPr>
          <w:trHeight w:val="300"/>
          <w:jc w:val="center"/>
        </w:trPr>
        <w:tc>
          <w:tcPr>
            <w:tcW w:w="699" w:type="dxa"/>
            <w:tcBorders>
              <w:top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2016</w:t>
            </w:r>
          </w:p>
        </w:tc>
        <w:tc>
          <w:tcPr>
            <w:tcW w:w="1564" w:type="dxa"/>
            <w:tcBorders>
              <w:top w:val="nil"/>
              <w:left w:val="single" w:sz="4" w:space="0" w:color="000000"/>
              <w:bottom w:val="nil"/>
              <w:right w:val="nil"/>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214.305.491,84</w:t>
            </w:r>
          </w:p>
        </w:tc>
        <w:tc>
          <w:tcPr>
            <w:tcW w:w="1701" w:type="dxa"/>
            <w:tcBorders>
              <w:top w:val="nil"/>
              <w:left w:val="single" w:sz="4" w:space="0" w:color="000000"/>
              <w:bottom w:val="nil"/>
              <w:right w:val="single" w:sz="4" w:space="0" w:color="000000"/>
            </w:tcBorders>
            <w:shd w:val="clear" w:color="auto" w:fill="auto"/>
            <w:vAlign w:val="center"/>
          </w:tcPr>
          <w:p w:rsidR="00750840" w:rsidRDefault="00CA309A">
            <w:pPr>
              <w:spacing w:after="0" w:line="240" w:lineRule="auto"/>
              <w:ind w:left="-70" w:right="-27"/>
              <w:jc w:val="center"/>
              <w:rPr>
                <w:rFonts w:ascii="Times New Roman" w:eastAsia="Times New Roman" w:hAnsi="Times New Roman" w:cs="Times New Roman"/>
                <w:color w:val="000000"/>
              </w:rPr>
            </w:pPr>
            <w:r>
              <w:rPr>
                <w:rFonts w:ascii="Times New Roman" w:eastAsia="Times New Roman" w:hAnsi="Times New Roman" w:cs="Times New Roman"/>
                <w:color w:val="000000"/>
              </w:rPr>
              <w:t>2.387.977.912,52</w:t>
            </w:r>
          </w:p>
        </w:tc>
        <w:tc>
          <w:tcPr>
            <w:tcW w:w="1701" w:type="dxa"/>
            <w:tcBorders>
              <w:top w:val="nil"/>
              <w:left w:val="nil"/>
              <w:bottom w:val="nil"/>
              <w:right w:val="single" w:sz="4" w:space="0" w:color="000000"/>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318.020.000,00</w:t>
            </w:r>
          </w:p>
        </w:tc>
        <w:tc>
          <w:tcPr>
            <w:tcW w:w="1701" w:type="dxa"/>
            <w:tcBorders>
              <w:top w:val="nil"/>
              <w:left w:val="nil"/>
              <w:bottom w:val="nil"/>
              <w:right w:val="single" w:sz="4" w:space="0" w:color="000000"/>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536.773.289,67</w:t>
            </w:r>
          </w:p>
        </w:tc>
        <w:tc>
          <w:tcPr>
            <w:tcW w:w="1874" w:type="dxa"/>
            <w:tcBorders>
              <w:top w:val="nil"/>
              <w:left w:val="single" w:sz="4" w:space="0" w:color="000000"/>
              <w:bottom w:val="nil"/>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3.457.076.694,03</w:t>
            </w:r>
          </w:p>
        </w:tc>
      </w:tr>
      <w:tr w:rsidR="00750840">
        <w:trPr>
          <w:trHeight w:val="300"/>
          <w:jc w:val="center"/>
        </w:trPr>
        <w:tc>
          <w:tcPr>
            <w:tcW w:w="699" w:type="dxa"/>
            <w:tcBorders>
              <w:top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2017</w:t>
            </w:r>
          </w:p>
        </w:tc>
        <w:tc>
          <w:tcPr>
            <w:tcW w:w="1564" w:type="dxa"/>
            <w:tcBorders>
              <w:top w:val="nil"/>
              <w:left w:val="single" w:sz="4" w:space="0" w:color="000000"/>
              <w:bottom w:val="nil"/>
              <w:right w:val="nil"/>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240.324.423,90</w:t>
            </w:r>
          </w:p>
        </w:tc>
        <w:tc>
          <w:tcPr>
            <w:tcW w:w="1701" w:type="dxa"/>
            <w:tcBorders>
              <w:top w:val="nil"/>
              <w:left w:val="single" w:sz="4" w:space="0" w:color="000000"/>
              <w:bottom w:val="nil"/>
              <w:right w:val="single" w:sz="4" w:space="0" w:color="000000"/>
            </w:tcBorders>
            <w:shd w:val="clear" w:color="auto" w:fill="auto"/>
            <w:vAlign w:val="center"/>
          </w:tcPr>
          <w:p w:rsidR="00750840" w:rsidRDefault="00CA309A">
            <w:pPr>
              <w:spacing w:after="0" w:line="240" w:lineRule="auto"/>
              <w:ind w:left="-70" w:right="-27"/>
              <w:jc w:val="center"/>
              <w:rPr>
                <w:rFonts w:ascii="Times New Roman" w:eastAsia="Times New Roman" w:hAnsi="Times New Roman" w:cs="Times New Roman"/>
                <w:color w:val="000000"/>
              </w:rPr>
            </w:pPr>
            <w:r>
              <w:rPr>
                <w:rFonts w:ascii="Times New Roman" w:eastAsia="Times New Roman" w:hAnsi="Times New Roman" w:cs="Times New Roman"/>
                <w:color w:val="000000"/>
              </w:rPr>
              <w:t>3.822.711.433,02</w:t>
            </w:r>
          </w:p>
        </w:tc>
        <w:tc>
          <w:tcPr>
            <w:tcW w:w="1701" w:type="dxa"/>
            <w:tcBorders>
              <w:top w:val="nil"/>
              <w:left w:val="nil"/>
              <w:bottom w:val="nil"/>
              <w:right w:val="single" w:sz="4" w:space="0" w:color="000000"/>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147.120.160,51</w:t>
            </w:r>
          </w:p>
        </w:tc>
        <w:tc>
          <w:tcPr>
            <w:tcW w:w="1701" w:type="dxa"/>
            <w:tcBorders>
              <w:top w:val="nil"/>
              <w:left w:val="nil"/>
              <w:bottom w:val="nil"/>
              <w:right w:val="single" w:sz="4" w:space="0" w:color="000000"/>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921.432.222,85</w:t>
            </w:r>
          </w:p>
        </w:tc>
        <w:tc>
          <w:tcPr>
            <w:tcW w:w="1874" w:type="dxa"/>
            <w:tcBorders>
              <w:top w:val="nil"/>
              <w:left w:val="single" w:sz="4" w:space="0" w:color="000000"/>
              <w:bottom w:val="nil"/>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5.131.588.240,28</w:t>
            </w:r>
          </w:p>
        </w:tc>
      </w:tr>
      <w:tr w:rsidR="00750840">
        <w:trPr>
          <w:trHeight w:val="300"/>
          <w:jc w:val="center"/>
        </w:trPr>
        <w:tc>
          <w:tcPr>
            <w:tcW w:w="699" w:type="dxa"/>
            <w:tcBorders>
              <w:top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2018</w:t>
            </w:r>
          </w:p>
        </w:tc>
        <w:tc>
          <w:tcPr>
            <w:tcW w:w="1564" w:type="dxa"/>
            <w:tcBorders>
              <w:top w:val="nil"/>
              <w:left w:val="single" w:sz="4" w:space="0" w:color="000000"/>
              <w:bottom w:val="nil"/>
              <w:right w:val="nil"/>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165.484.717,04</w:t>
            </w:r>
          </w:p>
        </w:tc>
        <w:tc>
          <w:tcPr>
            <w:tcW w:w="1701" w:type="dxa"/>
            <w:tcBorders>
              <w:top w:val="nil"/>
              <w:left w:val="single" w:sz="4" w:space="0" w:color="000000"/>
              <w:bottom w:val="nil"/>
              <w:right w:val="single" w:sz="4" w:space="0" w:color="000000"/>
            </w:tcBorders>
            <w:shd w:val="clear" w:color="auto" w:fill="auto"/>
            <w:vAlign w:val="center"/>
          </w:tcPr>
          <w:p w:rsidR="00750840" w:rsidRDefault="00CA309A">
            <w:pPr>
              <w:spacing w:after="0" w:line="240" w:lineRule="auto"/>
              <w:ind w:left="-70" w:right="-27"/>
              <w:jc w:val="center"/>
              <w:rPr>
                <w:rFonts w:ascii="Times New Roman" w:eastAsia="Times New Roman" w:hAnsi="Times New Roman" w:cs="Times New Roman"/>
                <w:color w:val="000000"/>
              </w:rPr>
            </w:pPr>
            <w:r>
              <w:rPr>
                <w:rFonts w:ascii="Times New Roman" w:eastAsia="Times New Roman" w:hAnsi="Times New Roman" w:cs="Times New Roman"/>
                <w:color w:val="000000"/>
              </w:rPr>
              <w:t>2.530.819.249,90</w:t>
            </w:r>
          </w:p>
        </w:tc>
        <w:tc>
          <w:tcPr>
            <w:tcW w:w="1701" w:type="dxa"/>
            <w:tcBorders>
              <w:top w:val="nil"/>
              <w:left w:val="nil"/>
              <w:bottom w:val="nil"/>
              <w:right w:val="single" w:sz="4" w:space="0" w:color="000000"/>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445.084.446,51</w:t>
            </w:r>
          </w:p>
        </w:tc>
        <w:tc>
          <w:tcPr>
            <w:tcW w:w="1701" w:type="dxa"/>
            <w:tcBorders>
              <w:top w:val="nil"/>
              <w:left w:val="nil"/>
              <w:bottom w:val="nil"/>
              <w:right w:val="single" w:sz="4" w:space="0" w:color="000000"/>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1.015.145.273,32</w:t>
            </w:r>
          </w:p>
        </w:tc>
        <w:tc>
          <w:tcPr>
            <w:tcW w:w="1874" w:type="dxa"/>
            <w:tcBorders>
              <w:top w:val="nil"/>
              <w:left w:val="single" w:sz="4" w:space="0" w:color="000000"/>
              <w:bottom w:val="nil"/>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4.156.533.686,77</w:t>
            </w:r>
          </w:p>
        </w:tc>
      </w:tr>
      <w:tr w:rsidR="00750840">
        <w:trPr>
          <w:trHeight w:val="300"/>
          <w:jc w:val="center"/>
        </w:trPr>
        <w:tc>
          <w:tcPr>
            <w:tcW w:w="699" w:type="dxa"/>
            <w:tcBorders>
              <w:top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2019</w:t>
            </w:r>
          </w:p>
        </w:tc>
        <w:tc>
          <w:tcPr>
            <w:tcW w:w="1564" w:type="dxa"/>
            <w:tcBorders>
              <w:top w:val="nil"/>
              <w:left w:val="single" w:sz="4" w:space="0" w:color="000000"/>
              <w:bottom w:val="nil"/>
              <w:right w:val="nil"/>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139.248.235,97</w:t>
            </w:r>
          </w:p>
        </w:tc>
        <w:tc>
          <w:tcPr>
            <w:tcW w:w="1701" w:type="dxa"/>
            <w:tcBorders>
              <w:top w:val="nil"/>
              <w:left w:val="single" w:sz="4" w:space="0" w:color="000000"/>
              <w:bottom w:val="nil"/>
              <w:right w:val="single" w:sz="4" w:space="0" w:color="000000"/>
            </w:tcBorders>
            <w:shd w:val="clear" w:color="auto" w:fill="auto"/>
            <w:vAlign w:val="center"/>
          </w:tcPr>
          <w:p w:rsidR="00750840" w:rsidRDefault="00CA309A">
            <w:pPr>
              <w:spacing w:after="0" w:line="240" w:lineRule="auto"/>
              <w:ind w:left="-70" w:right="-27"/>
              <w:jc w:val="center"/>
              <w:rPr>
                <w:rFonts w:ascii="Times New Roman" w:eastAsia="Times New Roman" w:hAnsi="Times New Roman" w:cs="Times New Roman"/>
                <w:color w:val="000000"/>
              </w:rPr>
            </w:pPr>
            <w:r>
              <w:rPr>
                <w:rFonts w:ascii="Times New Roman" w:eastAsia="Times New Roman" w:hAnsi="Times New Roman" w:cs="Times New Roman"/>
                <w:color w:val="000000"/>
              </w:rPr>
              <w:t>2.326.148.959,57</w:t>
            </w:r>
          </w:p>
        </w:tc>
        <w:tc>
          <w:tcPr>
            <w:tcW w:w="1701" w:type="dxa"/>
            <w:tcBorders>
              <w:top w:val="nil"/>
              <w:left w:val="nil"/>
              <w:bottom w:val="nil"/>
              <w:right w:val="single" w:sz="4" w:space="0" w:color="000000"/>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108.101.140,24</w:t>
            </w:r>
          </w:p>
        </w:tc>
        <w:tc>
          <w:tcPr>
            <w:tcW w:w="1701" w:type="dxa"/>
            <w:tcBorders>
              <w:top w:val="nil"/>
              <w:left w:val="nil"/>
              <w:bottom w:val="nil"/>
              <w:right w:val="single" w:sz="4" w:space="0" w:color="000000"/>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1.177.450.981,04</w:t>
            </w:r>
          </w:p>
        </w:tc>
        <w:tc>
          <w:tcPr>
            <w:tcW w:w="1874" w:type="dxa"/>
            <w:tcBorders>
              <w:top w:val="nil"/>
              <w:left w:val="single" w:sz="4" w:space="0" w:color="000000"/>
              <w:bottom w:val="nil"/>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3.750.949.316,82</w:t>
            </w:r>
          </w:p>
        </w:tc>
      </w:tr>
      <w:tr w:rsidR="00750840">
        <w:trPr>
          <w:trHeight w:val="300"/>
          <w:jc w:val="center"/>
        </w:trPr>
        <w:tc>
          <w:tcPr>
            <w:tcW w:w="699" w:type="dxa"/>
            <w:tcBorders>
              <w:top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2020</w:t>
            </w:r>
          </w:p>
        </w:tc>
        <w:tc>
          <w:tcPr>
            <w:tcW w:w="1564" w:type="dxa"/>
            <w:tcBorders>
              <w:top w:val="nil"/>
              <w:left w:val="single" w:sz="4" w:space="0" w:color="000000"/>
              <w:bottom w:val="nil"/>
              <w:right w:val="nil"/>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107.433.302,85</w:t>
            </w:r>
          </w:p>
        </w:tc>
        <w:tc>
          <w:tcPr>
            <w:tcW w:w="1701" w:type="dxa"/>
            <w:tcBorders>
              <w:top w:val="nil"/>
              <w:left w:val="single" w:sz="4" w:space="0" w:color="000000"/>
              <w:bottom w:val="nil"/>
              <w:right w:val="single" w:sz="4" w:space="0" w:color="000000"/>
            </w:tcBorders>
            <w:shd w:val="clear" w:color="auto" w:fill="auto"/>
            <w:vAlign w:val="center"/>
          </w:tcPr>
          <w:p w:rsidR="00750840" w:rsidRDefault="00CA309A">
            <w:pPr>
              <w:spacing w:after="0" w:line="240" w:lineRule="auto"/>
              <w:ind w:left="-70" w:right="-27"/>
              <w:jc w:val="center"/>
              <w:rPr>
                <w:rFonts w:ascii="Times New Roman" w:eastAsia="Times New Roman" w:hAnsi="Times New Roman" w:cs="Times New Roman"/>
                <w:color w:val="000000"/>
              </w:rPr>
            </w:pPr>
            <w:r>
              <w:rPr>
                <w:rFonts w:ascii="Times New Roman" w:eastAsia="Times New Roman" w:hAnsi="Times New Roman" w:cs="Times New Roman"/>
                <w:color w:val="000000"/>
              </w:rPr>
              <w:t>2.015.137.606,15</w:t>
            </w:r>
          </w:p>
        </w:tc>
        <w:tc>
          <w:tcPr>
            <w:tcW w:w="1701" w:type="dxa"/>
            <w:tcBorders>
              <w:top w:val="nil"/>
              <w:left w:val="nil"/>
              <w:bottom w:val="nil"/>
              <w:right w:val="single" w:sz="4" w:space="0" w:color="000000"/>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94.260.025,17</w:t>
            </w:r>
          </w:p>
        </w:tc>
        <w:tc>
          <w:tcPr>
            <w:tcW w:w="1701" w:type="dxa"/>
            <w:tcBorders>
              <w:top w:val="nil"/>
              <w:left w:val="nil"/>
              <w:bottom w:val="nil"/>
              <w:right w:val="single" w:sz="4" w:space="0" w:color="000000"/>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1.995.392.835,99</w:t>
            </w:r>
          </w:p>
        </w:tc>
        <w:tc>
          <w:tcPr>
            <w:tcW w:w="1874" w:type="dxa"/>
            <w:tcBorders>
              <w:top w:val="nil"/>
              <w:left w:val="single" w:sz="4" w:space="0" w:color="000000"/>
              <w:bottom w:val="nil"/>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4.212.223.770,16</w:t>
            </w:r>
          </w:p>
        </w:tc>
      </w:tr>
      <w:tr w:rsidR="00750840">
        <w:trPr>
          <w:trHeight w:val="300"/>
          <w:jc w:val="center"/>
        </w:trPr>
        <w:tc>
          <w:tcPr>
            <w:tcW w:w="699" w:type="dxa"/>
            <w:tcBorders>
              <w:top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2021</w:t>
            </w:r>
          </w:p>
        </w:tc>
        <w:tc>
          <w:tcPr>
            <w:tcW w:w="1564" w:type="dxa"/>
            <w:tcBorders>
              <w:top w:val="nil"/>
              <w:left w:val="single" w:sz="4" w:space="0" w:color="000000"/>
              <w:bottom w:val="nil"/>
              <w:right w:val="nil"/>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225.871.097,84</w:t>
            </w:r>
          </w:p>
        </w:tc>
        <w:tc>
          <w:tcPr>
            <w:tcW w:w="1701" w:type="dxa"/>
            <w:tcBorders>
              <w:top w:val="nil"/>
              <w:left w:val="single" w:sz="4" w:space="0" w:color="000000"/>
              <w:bottom w:val="nil"/>
              <w:right w:val="single" w:sz="4" w:space="0" w:color="000000"/>
            </w:tcBorders>
            <w:shd w:val="clear" w:color="auto" w:fill="auto"/>
            <w:vAlign w:val="center"/>
          </w:tcPr>
          <w:p w:rsidR="00750840" w:rsidRDefault="00CA309A">
            <w:pPr>
              <w:spacing w:after="0" w:line="240" w:lineRule="auto"/>
              <w:ind w:left="-70" w:right="-27"/>
              <w:jc w:val="center"/>
              <w:rPr>
                <w:rFonts w:ascii="Times New Roman" w:eastAsia="Times New Roman" w:hAnsi="Times New Roman" w:cs="Times New Roman"/>
                <w:color w:val="000000"/>
              </w:rPr>
            </w:pPr>
            <w:r>
              <w:rPr>
                <w:rFonts w:ascii="Times New Roman" w:eastAsia="Times New Roman" w:hAnsi="Times New Roman" w:cs="Times New Roman"/>
                <w:color w:val="000000"/>
              </w:rPr>
              <w:t>3.033.117.975,20</w:t>
            </w:r>
          </w:p>
        </w:tc>
        <w:tc>
          <w:tcPr>
            <w:tcW w:w="1701" w:type="dxa"/>
            <w:tcBorders>
              <w:top w:val="nil"/>
              <w:left w:val="nil"/>
              <w:bottom w:val="nil"/>
              <w:right w:val="single" w:sz="4" w:space="0" w:color="000000"/>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541.566.629,81</w:t>
            </w:r>
          </w:p>
        </w:tc>
        <w:tc>
          <w:tcPr>
            <w:tcW w:w="1701" w:type="dxa"/>
            <w:tcBorders>
              <w:top w:val="nil"/>
              <w:left w:val="nil"/>
              <w:bottom w:val="nil"/>
              <w:right w:val="single" w:sz="4" w:space="0" w:color="000000"/>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2.685.032.411,47</w:t>
            </w:r>
          </w:p>
        </w:tc>
        <w:tc>
          <w:tcPr>
            <w:tcW w:w="1874" w:type="dxa"/>
            <w:tcBorders>
              <w:top w:val="nil"/>
              <w:left w:val="single" w:sz="4" w:space="0" w:color="000000"/>
              <w:bottom w:val="nil"/>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6.485.588.114,32</w:t>
            </w:r>
          </w:p>
        </w:tc>
      </w:tr>
      <w:tr w:rsidR="00750840">
        <w:trPr>
          <w:trHeight w:val="300"/>
          <w:jc w:val="center"/>
        </w:trPr>
        <w:tc>
          <w:tcPr>
            <w:tcW w:w="699" w:type="dxa"/>
            <w:tcBorders>
              <w:top w:val="nil"/>
              <w:bottom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2022</w:t>
            </w:r>
          </w:p>
        </w:tc>
        <w:tc>
          <w:tcPr>
            <w:tcW w:w="1564" w:type="dxa"/>
            <w:tcBorders>
              <w:top w:val="nil"/>
              <w:left w:val="single" w:sz="4" w:space="0" w:color="000000"/>
              <w:bottom w:val="nil"/>
              <w:right w:val="nil"/>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290.758.476,51</w:t>
            </w:r>
          </w:p>
        </w:tc>
        <w:tc>
          <w:tcPr>
            <w:tcW w:w="1701" w:type="dxa"/>
            <w:tcBorders>
              <w:top w:val="nil"/>
              <w:left w:val="single" w:sz="4" w:space="0" w:color="000000"/>
              <w:bottom w:val="nil"/>
              <w:right w:val="single" w:sz="4" w:space="0" w:color="000000"/>
            </w:tcBorders>
            <w:shd w:val="clear" w:color="auto" w:fill="auto"/>
            <w:vAlign w:val="center"/>
          </w:tcPr>
          <w:p w:rsidR="00750840" w:rsidRDefault="00CA309A">
            <w:pPr>
              <w:spacing w:after="0" w:line="240" w:lineRule="auto"/>
              <w:ind w:left="-70" w:right="-27"/>
              <w:jc w:val="center"/>
              <w:rPr>
                <w:rFonts w:ascii="Times New Roman" w:eastAsia="Times New Roman" w:hAnsi="Times New Roman" w:cs="Times New Roman"/>
                <w:color w:val="000000"/>
              </w:rPr>
            </w:pPr>
            <w:r>
              <w:rPr>
                <w:rFonts w:ascii="Times New Roman" w:eastAsia="Times New Roman" w:hAnsi="Times New Roman" w:cs="Times New Roman"/>
                <w:color w:val="000000"/>
              </w:rPr>
              <w:t>4.314.788.127,59</w:t>
            </w:r>
          </w:p>
        </w:tc>
        <w:tc>
          <w:tcPr>
            <w:tcW w:w="1701" w:type="dxa"/>
            <w:tcBorders>
              <w:top w:val="nil"/>
              <w:left w:val="nil"/>
              <w:bottom w:val="nil"/>
              <w:right w:val="single" w:sz="4" w:space="0" w:color="000000"/>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785.238.575,00</w:t>
            </w:r>
          </w:p>
        </w:tc>
        <w:tc>
          <w:tcPr>
            <w:tcW w:w="1701" w:type="dxa"/>
            <w:tcBorders>
              <w:top w:val="nil"/>
              <w:left w:val="nil"/>
              <w:bottom w:val="nil"/>
              <w:right w:val="single" w:sz="4" w:space="0" w:color="000000"/>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2.580.394.249,07</w:t>
            </w:r>
          </w:p>
        </w:tc>
        <w:tc>
          <w:tcPr>
            <w:tcW w:w="1874" w:type="dxa"/>
            <w:tcBorders>
              <w:top w:val="nil"/>
              <w:left w:val="single" w:sz="4" w:space="0" w:color="000000"/>
              <w:bottom w:val="nil"/>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7.971.179.428,17</w:t>
            </w:r>
          </w:p>
        </w:tc>
      </w:tr>
      <w:tr w:rsidR="00750840">
        <w:trPr>
          <w:trHeight w:val="300"/>
          <w:jc w:val="center"/>
        </w:trPr>
        <w:tc>
          <w:tcPr>
            <w:tcW w:w="699" w:type="dxa"/>
            <w:tcBorders>
              <w:top w:val="nil"/>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2023</w:t>
            </w:r>
          </w:p>
        </w:tc>
        <w:tc>
          <w:tcPr>
            <w:tcW w:w="1564" w:type="dxa"/>
            <w:tcBorders>
              <w:top w:val="nil"/>
              <w:left w:val="single" w:sz="4" w:space="0" w:color="000000"/>
              <w:right w:val="nil"/>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83.838.252,29</w:t>
            </w:r>
          </w:p>
        </w:tc>
        <w:tc>
          <w:tcPr>
            <w:tcW w:w="1701" w:type="dxa"/>
            <w:tcBorders>
              <w:top w:val="nil"/>
              <w:left w:val="single" w:sz="4" w:space="0" w:color="000000"/>
              <w:right w:val="single" w:sz="4" w:space="0" w:color="000000"/>
            </w:tcBorders>
            <w:shd w:val="clear" w:color="auto" w:fill="auto"/>
            <w:vAlign w:val="center"/>
          </w:tcPr>
          <w:p w:rsidR="00750840" w:rsidRDefault="00CA309A">
            <w:pPr>
              <w:spacing w:after="0" w:line="240" w:lineRule="auto"/>
              <w:ind w:left="-70" w:right="-27"/>
              <w:jc w:val="center"/>
              <w:rPr>
                <w:rFonts w:ascii="Times New Roman" w:eastAsia="Times New Roman" w:hAnsi="Times New Roman" w:cs="Times New Roman"/>
                <w:color w:val="000000"/>
              </w:rPr>
            </w:pPr>
            <w:r>
              <w:rPr>
                <w:rFonts w:ascii="Times New Roman" w:eastAsia="Times New Roman" w:hAnsi="Times New Roman" w:cs="Times New Roman"/>
                <w:color w:val="000000"/>
              </w:rPr>
              <w:t>6.414.245.849,37</w:t>
            </w:r>
          </w:p>
        </w:tc>
        <w:tc>
          <w:tcPr>
            <w:tcW w:w="1701" w:type="dxa"/>
            <w:tcBorders>
              <w:top w:val="nil"/>
              <w:left w:val="nil"/>
              <w:right w:val="single" w:sz="4" w:space="0" w:color="000000"/>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1.155.351.460,50</w:t>
            </w:r>
          </w:p>
        </w:tc>
        <w:tc>
          <w:tcPr>
            <w:tcW w:w="1701" w:type="dxa"/>
            <w:tcBorders>
              <w:top w:val="nil"/>
              <w:left w:val="nil"/>
              <w:right w:val="single" w:sz="4" w:space="0" w:color="000000"/>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2.607.530.159,66</w:t>
            </w:r>
          </w:p>
        </w:tc>
        <w:tc>
          <w:tcPr>
            <w:tcW w:w="1874" w:type="dxa"/>
            <w:tcBorders>
              <w:top w:val="nil"/>
              <w:left w:val="single" w:sz="4" w:space="0" w:color="000000"/>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10.260.965.721,82</w:t>
            </w:r>
          </w:p>
        </w:tc>
      </w:tr>
      <w:tr w:rsidR="00750840">
        <w:trPr>
          <w:trHeight w:val="315"/>
          <w:jc w:val="center"/>
        </w:trPr>
        <w:tc>
          <w:tcPr>
            <w:tcW w:w="699" w:type="dxa"/>
            <w:tcBorders>
              <w:top w:val="nil"/>
              <w:bottom w:val="single" w:sz="4" w:space="0" w:color="000000"/>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2024</w:t>
            </w:r>
          </w:p>
        </w:tc>
        <w:tc>
          <w:tcPr>
            <w:tcW w:w="1564" w:type="dxa"/>
            <w:tcBorders>
              <w:top w:val="nil"/>
              <w:left w:val="single" w:sz="4" w:space="0" w:color="000000"/>
              <w:bottom w:val="single" w:sz="4" w:space="0" w:color="000000"/>
              <w:right w:val="nil"/>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119.559.323,24</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750840" w:rsidRDefault="00CA309A">
            <w:pPr>
              <w:spacing w:after="0" w:line="240" w:lineRule="auto"/>
              <w:ind w:left="-70" w:right="-27"/>
              <w:jc w:val="center"/>
              <w:rPr>
                <w:rFonts w:ascii="Times New Roman" w:eastAsia="Times New Roman" w:hAnsi="Times New Roman" w:cs="Times New Roman"/>
                <w:color w:val="000000"/>
              </w:rPr>
            </w:pPr>
            <w:r>
              <w:rPr>
                <w:rFonts w:ascii="Times New Roman" w:eastAsia="Times New Roman" w:hAnsi="Times New Roman" w:cs="Times New Roman"/>
                <w:color w:val="000000"/>
              </w:rPr>
              <w:t>6.798.341.271,72</w:t>
            </w:r>
          </w:p>
        </w:tc>
        <w:tc>
          <w:tcPr>
            <w:tcW w:w="1701"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ind w:left="-70"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873.081.743,33</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2.549.047.974,89</w:t>
            </w:r>
          </w:p>
        </w:tc>
        <w:tc>
          <w:tcPr>
            <w:tcW w:w="1874" w:type="dxa"/>
            <w:tcBorders>
              <w:top w:val="nil"/>
              <w:left w:val="single" w:sz="4" w:space="0" w:color="000000"/>
              <w:bottom w:val="single" w:sz="4" w:space="0" w:color="000000"/>
            </w:tcBorders>
            <w:shd w:val="clear" w:color="auto" w:fill="auto"/>
            <w:vAlign w:val="center"/>
          </w:tcPr>
          <w:p w:rsidR="00750840" w:rsidRDefault="00CA309A">
            <w:pPr>
              <w:spacing w:after="0" w:line="240" w:lineRule="auto"/>
              <w:ind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10.340.030.313,18</w:t>
            </w:r>
          </w:p>
        </w:tc>
      </w:tr>
    </w:tbl>
    <w:p w:rsidR="00750840" w:rsidRDefault="00CA309A" w:rsidP="007A261D">
      <w:pPr>
        <w:pBdr>
          <w:top w:val="nil"/>
          <w:left w:val="nil"/>
          <w:bottom w:val="nil"/>
          <w:right w:val="nil"/>
          <w:between w:val="nil"/>
        </w:pBdr>
        <w:spacing w:before="60" w:after="240" w:line="36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Fonte: BCB (2025).</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relação ao crédito para industrialização, observam-se oscilações ao longo do período, com uma relativa estabilidade nos últimos quatro anos, quando a participação dessa modalidade esteve sempre acima de 8%, com pico de 11,3% em 2023. O crédito para comercialização, por outro lado, que chegou a apresentar participação expressiva no início da série histórica, respondendo por 11,3% dos recursos em 2014, reduziu sua relevância nos anos seguintes, em especial após 2018, até atingir o índice de 1,2% em 2024.</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Nacionalmente, a participação dos investimentos no montante total de recursos financiados foi de 29,7% em 2024, um pouco superior à de Santa Catarina. Contudo, quando se analisa todo o período considerado, verifica-se uma gradativa redução da participação dessa finalidade, saindo de 45</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3% em 2013, até chegar ao nível atual.</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presente artigo pretendia-se também analisar com mais profundidade os produtos financiados, identificando as espécies ou culturas aos quais os mesmos se destinavam. Contudo, nos deparamos com restrições de ordem metodológica, relacionadas ao detalhamento utilizado no sistema do Banco Central. A descrição dos produtos varia desde itens bastante específicos e cujo tipo de uso e espécie ou cultura ao qual se destinam é autoexplicativo, até outros bastante generalistas, que pouco esclarecem sobre o mesmo. Para citar alguns exemplos bastante apropriados para compreender a situação anteriormente descrita, têm-se produtos como “Aerador”, “Motobomba” e “Trator”, cuja caracterização é bastante objetiva. Por outro lado, há produtos como “Máquinas e implementos” e “Materiais industrializados”, acerca dos quais não se pode concluir muita coisa. Mesmo no caso dos produtos enquadrados no primeiro grupo, há diversos em que não é possível estabelecer a atividade agropecuária e/ou espécie a que se destina </w:t>
      </w:r>
      <w:r>
        <w:rPr>
          <w:rFonts w:ascii="Times New Roman" w:eastAsia="Times New Roman" w:hAnsi="Times New Roman" w:cs="Times New Roman"/>
          <w:color w:val="000000"/>
          <w:sz w:val="24"/>
          <w:szCs w:val="24"/>
        </w:rPr>
        <w:lastRenderedPageBreak/>
        <w:t>aquele financiamento, visto que itens como aqueles anteriormente mencionados podem ser utilizados em diversas atividades.</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color w:val="000000"/>
          <w:sz w:val="24"/>
          <w:szCs w:val="24"/>
        </w:rPr>
      </w:pPr>
      <w:bookmarkStart w:id="2" w:name="_heading=h.gjdgxs" w:colFirst="0" w:colLast="0"/>
      <w:bookmarkEnd w:id="2"/>
      <w:r>
        <w:rPr>
          <w:rFonts w:ascii="Times New Roman" w:eastAsia="Times New Roman" w:hAnsi="Times New Roman" w:cs="Times New Roman"/>
          <w:color w:val="000000"/>
          <w:sz w:val="24"/>
          <w:szCs w:val="24"/>
        </w:rPr>
        <w:t xml:space="preserve">Inicialmente, identificou-se os produtos vinculados ao crédito pecuário. Na sequência, os produtos foram agrupados de acordo com a espécie ou atividade agropecuária a que se destinam. A tabela 3 apresenta os dados relativos às principais atividades agropecuárias financiadas, ranqueadas de acordo com os resultados de 2024. </w:t>
      </w:r>
    </w:p>
    <w:p w:rsidR="00750840" w:rsidRDefault="00CA309A">
      <w:pPr>
        <w:pBdr>
          <w:top w:val="nil"/>
          <w:left w:val="nil"/>
          <w:bottom w:val="nil"/>
          <w:right w:val="nil"/>
          <w:between w:val="nil"/>
        </w:pBdr>
        <w:spacing w:before="240" w:after="0" w:line="36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Tabela 3 </w:t>
      </w:r>
      <w:r>
        <w:rPr>
          <w:rFonts w:ascii="Times New Roman" w:eastAsia="Times New Roman" w:hAnsi="Times New Roman" w:cs="Times New Roman"/>
          <w:color w:val="000000"/>
          <w:sz w:val="24"/>
          <w:szCs w:val="24"/>
        </w:rPr>
        <w:t>– Valor financiado por atividade agropecuária – Pecuária – SC (2013/2024)</w:t>
      </w:r>
    </w:p>
    <w:tbl>
      <w:tblPr>
        <w:tblStyle w:val="a4"/>
        <w:tblW w:w="9228" w:type="dxa"/>
        <w:tblInd w:w="-15" w:type="dxa"/>
        <w:tblLayout w:type="fixed"/>
        <w:tblLook w:val="0400" w:firstRow="0" w:lastRow="0" w:firstColumn="0" w:lastColumn="0" w:noHBand="0" w:noVBand="1"/>
      </w:tblPr>
      <w:tblGrid>
        <w:gridCol w:w="2850"/>
        <w:gridCol w:w="2054"/>
        <w:gridCol w:w="1064"/>
        <w:gridCol w:w="2207"/>
        <w:gridCol w:w="1053"/>
      </w:tblGrid>
      <w:tr w:rsidR="00750840" w:rsidTr="007A261D">
        <w:trPr>
          <w:trHeight w:val="290"/>
        </w:trPr>
        <w:tc>
          <w:tcPr>
            <w:tcW w:w="2850" w:type="dxa"/>
            <w:vMerge w:val="restart"/>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750840" w:rsidRDefault="00CA30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Atividade agropecuária </w:t>
            </w:r>
          </w:p>
        </w:tc>
        <w:tc>
          <w:tcPr>
            <w:tcW w:w="3118"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bottom"/>
          </w:tcPr>
          <w:p w:rsidR="00750840" w:rsidRDefault="00CA30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2013</w:t>
            </w:r>
          </w:p>
        </w:tc>
        <w:tc>
          <w:tcPr>
            <w:tcW w:w="3260" w:type="dxa"/>
            <w:gridSpan w:val="2"/>
            <w:tcBorders>
              <w:top w:val="single" w:sz="4" w:space="0" w:color="000000"/>
              <w:left w:val="single" w:sz="4" w:space="0" w:color="000000"/>
              <w:bottom w:val="single" w:sz="4" w:space="0" w:color="000000"/>
            </w:tcBorders>
            <w:shd w:val="clear" w:color="auto" w:fill="D9D9D9" w:themeFill="background1" w:themeFillShade="D9"/>
            <w:vAlign w:val="bottom"/>
          </w:tcPr>
          <w:p w:rsidR="00750840" w:rsidRDefault="00CA30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2024</w:t>
            </w:r>
          </w:p>
        </w:tc>
      </w:tr>
      <w:tr w:rsidR="00750840" w:rsidTr="007A261D">
        <w:trPr>
          <w:trHeight w:val="290"/>
        </w:trPr>
        <w:tc>
          <w:tcPr>
            <w:tcW w:w="2850" w:type="dxa"/>
            <w:vMerge/>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750840" w:rsidRDefault="00750840">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2054" w:type="dxa"/>
            <w:tcBorders>
              <w:top w:val="nil"/>
              <w:left w:val="nil"/>
              <w:bottom w:val="single" w:sz="4" w:space="0" w:color="000000"/>
              <w:right w:val="single" w:sz="4" w:space="0" w:color="000000"/>
            </w:tcBorders>
            <w:shd w:val="clear" w:color="auto" w:fill="D9D9D9" w:themeFill="background1" w:themeFillShade="D9"/>
            <w:vAlign w:val="center"/>
          </w:tcPr>
          <w:p w:rsidR="00750840" w:rsidRDefault="00CA30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Valor financiado (R$)</w:t>
            </w:r>
          </w:p>
        </w:tc>
        <w:tc>
          <w:tcPr>
            <w:tcW w:w="1064" w:type="dxa"/>
            <w:tcBorders>
              <w:top w:val="nil"/>
              <w:left w:val="nil"/>
              <w:bottom w:val="single" w:sz="4" w:space="0" w:color="000000"/>
              <w:right w:val="single" w:sz="4" w:space="0" w:color="000000"/>
            </w:tcBorders>
            <w:shd w:val="clear" w:color="auto" w:fill="D9D9D9" w:themeFill="background1" w:themeFillShade="D9"/>
            <w:vAlign w:val="center"/>
          </w:tcPr>
          <w:p w:rsidR="00750840" w:rsidRDefault="00CA30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Partici-paçao</w:t>
            </w:r>
          </w:p>
        </w:tc>
        <w:tc>
          <w:tcPr>
            <w:tcW w:w="2207"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750840" w:rsidRDefault="00CA30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Valor financiado (R$)</w:t>
            </w:r>
          </w:p>
        </w:tc>
        <w:tc>
          <w:tcPr>
            <w:tcW w:w="1053" w:type="dxa"/>
            <w:tcBorders>
              <w:top w:val="single" w:sz="4" w:space="0" w:color="000000"/>
              <w:left w:val="nil"/>
              <w:bottom w:val="single" w:sz="4" w:space="0" w:color="000000"/>
              <w:right w:val="nil"/>
            </w:tcBorders>
            <w:shd w:val="clear" w:color="auto" w:fill="D9D9D9" w:themeFill="background1" w:themeFillShade="D9"/>
            <w:vAlign w:val="center"/>
          </w:tcPr>
          <w:p w:rsidR="00750840" w:rsidRDefault="00CA30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Partici-pação</w:t>
            </w:r>
          </w:p>
        </w:tc>
      </w:tr>
      <w:tr w:rsidR="00750840">
        <w:trPr>
          <w:trHeight w:val="290"/>
        </w:trPr>
        <w:tc>
          <w:tcPr>
            <w:tcW w:w="2850"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Bovinocultura</w:t>
            </w:r>
          </w:p>
        </w:tc>
        <w:tc>
          <w:tcPr>
            <w:tcW w:w="2054"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ind w:right="14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795.353.031,36</w:t>
            </w:r>
          </w:p>
        </w:tc>
        <w:tc>
          <w:tcPr>
            <w:tcW w:w="1064"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17,3%</w:t>
            </w:r>
          </w:p>
        </w:tc>
        <w:tc>
          <w:tcPr>
            <w:tcW w:w="2207"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ind w:right="15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5.474.133.920,77</w:t>
            </w:r>
          </w:p>
        </w:tc>
        <w:tc>
          <w:tcPr>
            <w:tcW w:w="1053" w:type="dxa"/>
            <w:tcBorders>
              <w:top w:val="nil"/>
              <w:left w:val="nil"/>
              <w:bottom w:val="single" w:sz="4" w:space="0" w:color="000000"/>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52,9%</w:t>
            </w:r>
          </w:p>
        </w:tc>
      </w:tr>
      <w:tr w:rsidR="00750840">
        <w:trPr>
          <w:trHeight w:val="290"/>
        </w:trPr>
        <w:tc>
          <w:tcPr>
            <w:tcW w:w="2850"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Avicultura</w:t>
            </w:r>
          </w:p>
        </w:tc>
        <w:tc>
          <w:tcPr>
            <w:tcW w:w="2054"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ind w:right="14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1.286.360.237,24</w:t>
            </w:r>
          </w:p>
        </w:tc>
        <w:tc>
          <w:tcPr>
            <w:tcW w:w="1064"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27,9%</w:t>
            </w:r>
          </w:p>
        </w:tc>
        <w:tc>
          <w:tcPr>
            <w:tcW w:w="2207"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ind w:right="15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1.433.627.878,06</w:t>
            </w:r>
          </w:p>
        </w:tc>
        <w:tc>
          <w:tcPr>
            <w:tcW w:w="1053" w:type="dxa"/>
            <w:tcBorders>
              <w:top w:val="nil"/>
              <w:left w:val="nil"/>
              <w:bottom w:val="single" w:sz="4" w:space="0" w:color="000000"/>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13,9%</w:t>
            </w:r>
          </w:p>
        </w:tc>
      </w:tr>
      <w:tr w:rsidR="00750840">
        <w:trPr>
          <w:trHeight w:val="290"/>
        </w:trPr>
        <w:tc>
          <w:tcPr>
            <w:tcW w:w="2850"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Suinocultura</w:t>
            </w:r>
          </w:p>
        </w:tc>
        <w:tc>
          <w:tcPr>
            <w:tcW w:w="2054"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ind w:right="14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1.402.297.244,33</w:t>
            </w:r>
          </w:p>
        </w:tc>
        <w:tc>
          <w:tcPr>
            <w:tcW w:w="1064"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30,5%</w:t>
            </w:r>
          </w:p>
        </w:tc>
        <w:tc>
          <w:tcPr>
            <w:tcW w:w="2207"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ind w:right="15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1.314.229.690,67</w:t>
            </w:r>
          </w:p>
        </w:tc>
        <w:tc>
          <w:tcPr>
            <w:tcW w:w="1053" w:type="dxa"/>
            <w:tcBorders>
              <w:top w:val="nil"/>
              <w:left w:val="nil"/>
              <w:bottom w:val="single" w:sz="4" w:space="0" w:color="000000"/>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12,7%</w:t>
            </w:r>
          </w:p>
        </w:tc>
      </w:tr>
      <w:tr w:rsidR="00750840">
        <w:trPr>
          <w:trHeight w:val="290"/>
        </w:trPr>
        <w:tc>
          <w:tcPr>
            <w:tcW w:w="2850"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Aquicultura e pesca</w:t>
            </w:r>
          </w:p>
        </w:tc>
        <w:tc>
          <w:tcPr>
            <w:tcW w:w="2054"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ind w:right="14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76.589.192,52</w:t>
            </w:r>
          </w:p>
        </w:tc>
        <w:tc>
          <w:tcPr>
            <w:tcW w:w="1064"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2207"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ind w:right="15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236.616.062,48</w:t>
            </w:r>
          </w:p>
        </w:tc>
        <w:tc>
          <w:tcPr>
            <w:tcW w:w="1053" w:type="dxa"/>
            <w:tcBorders>
              <w:top w:val="nil"/>
              <w:left w:val="nil"/>
              <w:bottom w:val="single" w:sz="4" w:space="0" w:color="000000"/>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r>
      <w:tr w:rsidR="00750840">
        <w:trPr>
          <w:trHeight w:val="290"/>
        </w:trPr>
        <w:tc>
          <w:tcPr>
            <w:tcW w:w="2850"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Outras atividades/espécies</w:t>
            </w:r>
          </w:p>
        </w:tc>
        <w:tc>
          <w:tcPr>
            <w:tcW w:w="2054"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ind w:right="14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3.039.403,01</w:t>
            </w:r>
          </w:p>
        </w:tc>
        <w:tc>
          <w:tcPr>
            <w:tcW w:w="1064"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2207"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ind w:right="15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158.078.074,22</w:t>
            </w:r>
          </w:p>
        </w:tc>
        <w:tc>
          <w:tcPr>
            <w:tcW w:w="1053" w:type="dxa"/>
            <w:tcBorders>
              <w:top w:val="nil"/>
              <w:left w:val="nil"/>
              <w:bottom w:val="single" w:sz="4" w:space="0" w:color="000000"/>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750840">
        <w:trPr>
          <w:trHeight w:val="290"/>
        </w:trPr>
        <w:tc>
          <w:tcPr>
            <w:tcW w:w="2850"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ind w:right="-134"/>
              <w:rPr>
                <w:rFonts w:ascii="Times New Roman" w:eastAsia="Times New Roman" w:hAnsi="Times New Roman" w:cs="Times New Roman"/>
                <w:color w:val="000000"/>
              </w:rPr>
            </w:pPr>
            <w:r>
              <w:rPr>
                <w:rFonts w:ascii="Times New Roman" w:eastAsia="Times New Roman" w:hAnsi="Times New Roman" w:cs="Times New Roman"/>
                <w:color w:val="000000"/>
              </w:rPr>
              <w:t>Não identificada/n</w:t>
            </w:r>
            <w:r>
              <w:rPr>
                <w:rFonts w:ascii="Times New Roman" w:eastAsia="Times New Roman" w:hAnsi="Times New Roman" w:cs="Times New Roman"/>
              </w:rPr>
              <w:t>ão específica</w:t>
            </w:r>
          </w:p>
        </w:tc>
        <w:tc>
          <w:tcPr>
            <w:tcW w:w="2054"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ind w:right="14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1.041.305.810,37</w:t>
            </w:r>
          </w:p>
        </w:tc>
        <w:tc>
          <w:tcPr>
            <w:tcW w:w="1064"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22,6%</w:t>
            </w:r>
          </w:p>
        </w:tc>
        <w:tc>
          <w:tcPr>
            <w:tcW w:w="2207"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ind w:right="15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1.723.344.686,98</w:t>
            </w:r>
          </w:p>
        </w:tc>
        <w:tc>
          <w:tcPr>
            <w:tcW w:w="1053" w:type="dxa"/>
            <w:tcBorders>
              <w:top w:val="nil"/>
              <w:left w:val="nil"/>
              <w:bottom w:val="single" w:sz="4" w:space="0" w:color="000000"/>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16,7%</w:t>
            </w:r>
          </w:p>
        </w:tc>
      </w:tr>
      <w:tr w:rsidR="00750840">
        <w:trPr>
          <w:trHeight w:val="290"/>
        </w:trPr>
        <w:tc>
          <w:tcPr>
            <w:tcW w:w="2850"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2054"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ind w:right="141"/>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4.604.944.918,83</w:t>
            </w:r>
          </w:p>
        </w:tc>
        <w:tc>
          <w:tcPr>
            <w:tcW w:w="1064"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100%</w:t>
            </w:r>
          </w:p>
        </w:tc>
        <w:tc>
          <w:tcPr>
            <w:tcW w:w="2207" w:type="dxa"/>
            <w:tcBorders>
              <w:top w:val="nil"/>
              <w:left w:val="nil"/>
              <w:bottom w:val="single" w:sz="4" w:space="0" w:color="000000"/>
              <w:right w:val="single" w:sz="4" w:space="0" w:color="000000"/>
            </w:tcBorders>
            <w:shd w:val="clear" w:color="auto" w:fill="auto"/>
            <w:vAlign w:val="center"/>
          </w:tcPr>
          <w:p w:rsidR="00750840" w:rsidRDefault="00CA309A">
            <w:pPr>
              <w:spacing w:after="0" w:line="240" w:lineRule="auto"/>
              <w:ind w:right="152"/>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10.340.030.313,18</w:t>
            </w:r>
          </w:p>
        </w:tc>
        <w:tc>
          <w:tcPr>
            <w:tcW w:w="1053" w:type="dxa"/>
            <w:tcBorders>
              <w:top w:val="nil"/>
              <w:left w:val="nil"/>
              <w:bottom w:val="single" w:sz="4" w:space="0" w:color="000000"/>
              <w:right w:val="nil"/>
            </w:tcBorders>
            <w:shd w:val="clear" w:color="auto" w:fill="auto"/>
            <w:vAlign w:val="center"/>
          </w:tcPr>
          <w:p w:rsidR="00750840" w:rsidRDefault="00CA309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100%</w:t>
            </w:r>
          </w:p>
        </w:tc>
      </w:tr>
    </w:tbl>
    <w:p w:rsidR="00750840" w:rsidRDefault="00CA309A" w:rsidP="007A261D">
      <w:pPr>
        <w:pBdr>
          <w:top w:val="nil"/>
          <w:left w:val="nil"/>
          <w:bottom w:val="nil"/>
          <w:right w:val="nil"/>
          <w:between w:val="nil"/>
        </w:pBdr>
        <w:spacing w:before="60" w:after="240" w:line="36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Fonte: BCB (2025).</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é possível observar, em 2024 a bovinocultura foi a atividade agropecuária de produção animal que mais acessou recursos de crédito rural em 2024, respondendo por mais da metade dos recursos (52,9%), seguida pela avicultura (13,9%) e suinocultura (12,7%). Vale destacar que, em termos de Valor da Produção Agropecuária (VPA), a hierarquização é inversa, com a suinocultura ocupando a primeira posição, seguida pela avicultura e pela bovinocultura (nesse caso, somando-se o VPA da produção de leite e de carne bovina) (Epagri/Cepa, 2024).</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função do formato de disponibilização dos dados, não é possível identificar se os recursos dos contratos agrupados como bovinocultura destinam-se à produção de carne ou leite. O produto “Bovinos”, por exemplo, que compõem este agrupamento e que, sozinho, responde por R$ 5,23 bilhões em 2024, não especifica se esses bovinos são de corte ou de leite, impossibilitando a avaliação segmentada dessas duas cadeias produtivas. O produto “Leite”, também integrante desse agrupamento, respondeu por apenas R$ 124,8 milhões em 2024. Mas isso não significa que tenha sido financiado apenas esse valor na atividade leiteira, já que o produto anteriormente citado provavelmente englobe itens associados a essa cadeia.   </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mesmo vale para o agrupamento avicultura, que reúne duas cadeias produtivas associadas pela espécie animal, mas distintas em termos de produto resultante: avicultura de corte e avicultura de postura.</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Uma possível explicação para esses resultados e a dissintonia em relação às principais atividades econômicas da agropecuária catarinense está relacionada ao modelo de produção adotado em cada uma delas. Tanto a avicultura de corte quanto a suinocultura desenvolvida em Santa Catarina baseiam-se no sistema de integração</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Segundo estudo realizado por Miele e Almeida (2023), a partir de dados do Censo Agropecuário de 2017, cerca de 87% dos suinocultores comerciais da região Sul do país eram integrados a alguma agroindústria ou cooperativa. No caso da avicultura de corte, a presença da integração é ainda mais expressiva. De acordo com Giehl e Mondardo (2021), duas dezenas de frigoríficos de grande porte eram responsáveis por cerca de 98% dos frangos abatidos em Santa Catarina em 2020, todos eles tendo como base a integração.</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sistema de integração, grande parte das despesas de custeio das atividades é de responsabilidade da agroindústria, em especial a alimentação, medicamentos e os animais jovens. Dados do Centro de Inteligência de Aves e Suínos da Embrapa demonstram que os custos com alimentação, genética e sanidade respondem por 84,5% e 78,3% dos custos de produção de frangos e de suínos em Santa Catarina, respectivamente (Embrapa/CIAS, 2025). Assim, não há demanda dos produtores integrados para o financiamento desses elementos de despesa. O que se verifica com frequência é a busca de crédito para investimentos destinados à construção ou melhoria de galpões e equipamentos, itens cuja responsabilidade é do produtor.</w:t>
      </w:r>
    </w:p>
    <w:p w:rsidR="00750840" w:rsidRDefault="00CA309A">
      <w:pPr>
        <w:spacing w:after="0" w:line="360" w:lineRule="auto"/>
        <w:ind w:right="-10" w:firstLine="567"/>
        <w:jc w:val="both"/>
        <w:rPr>
          <w:rFonts w:ascii="Times New Roman" w:eastAsia="Times New Roman" w:hAnsi="Times New Roman" w:cs="Times New Roman"/>
          <w:sz w:val="24"/>
          <w:szCs w:val="24"/>
        </w:rPr>
      </w:pPr>
      <w:bookmarkStart w:id="3" w:name="_heading=h.1fob9te" w:colFirst="0" w:colLast="0"/>
      <w:bookmarkEnd w:id="3"/>
      <w:r>
        <w:rPr>
          <w:rFonts w:ascii="Times New Roman" w:eastAsia="Times New Roman" w:hAnsi="Times New Roman" w:cs="Times New Roman"/>
          <w:sz w:val="24"/>
          <w:szCs w:val="24"/>
        </w:rPr>
        <w:t xml:space="preserve">Em consonância com a perspectiva anteriormente descrita, estudo realizado por Moori, Caldeira e Procópio (2013) concluiu que a demanda de crédito na avicultura de corte está concentrada essencialmente nos investimentos que necessitam ser realizados nos aviários, já que a maioria dos insumos (pintos de um dia, alimentação e medicamentos), bem como a logística envolvida na operação (desde a entrega dos pintinhos e insumos, até a retirada das aves prontas para o abate) fica sob responsabilidade das empresas integradoras. Ainda de acordo com os autores, o capital de giro necessário para mão de obra, energia e água utilizadas no aviário, fica sob responsabilidade do integrado, sendo comumente suportado pelas próprias receitas auferidas no negócio. Eventualmente, essas despesas podem vir a ser financiadas, se as taxas forem atrativas e houver disponibilidade de crédito para tal fim. </w:t>
      </w:r>
    </w:p>
    <w:p w:rsidR="00750840" w:rsidRDefault="00CA309A">
      <w:pP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Aos integrados, cabe também disponibilizar os galpões e equipamentos, sendo sua responsabilidade arcar com tal investimento inicial. Embora o crédito bancário tenha um importante papel na viabilização dos aviários, em especial no caso de agricultores familiares, Moori, Caldeira e Procópio destacam que as dificuldades enfrentadas durante o processo de análise das propostas encaminhadas às instituições financeiras tendem a fazer com que muitos produtores utilizem recursos próprios para a construção dos galpões e instalação dos equipamentos, caso tenham possibilidade de realizar tal aporte.</w:t>
      </w:r>
    </w:p>
    <w:p w:rsidR="00750840" w:rsidRDefault="00CA309A">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Já no caso da bovinocultura, a situação é completamente distinta. A cadeia produtiva do leite, embora apresente organização e estruturação crescentes nos últimos anos, não adota os moldes da integração no relacionamento das agroindústrias com os produtores, o que justifica sua maior necessidade de acesso ao crédito rural, tanto para investimentos quanto para custeio. A bovinocultura de corte, por sua vez, apesar da presença de alguns frigoríficos de porte significativo no estado, está ainda mais distante da dinâmica de gestão centralizada que caracteriza a avicultura e a suinocultura catarinenses.</w:t>
      </w:r>
    </w:p>
    <w:p w:rsidR="00750840" w:rsidRDefault="00713EF1">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obstante as considerações acima, quando se verifica a distribuição dos valores direcionadas a cada atividade agropecuária segundo a finalidade, alguns resultados interessantes vêm à tona</w:t>
      </w:r>
      <w:r w:rsidR="00BC6107">
        <w:rPr>
          <w:rFonts w:ascii="Times New Roman" w:eastAsia="Times New Roman" w:hAnsi="Times New Roman" w:cs="Times New Roman"/>
          <w:sz w:val="24"/>
          <w:szCs w:val="24"/>
        </w:rPr>
        <w:t xml:space="preserve"> (Tabela 4)</w:t>
      </w:r>
      <w:r>
        <w:rPr>
          <w:rFonts w:ascii="Times New Roman" w:eastAsia="Times New Roman" w:hAnsi="Times New Roman" w:cs="Times New Roman"/>
          <w:sz w:val="24"/>
          <w:szCs w:val="24"/>
        </w:rPr>
        <w:t>.</w:t>
      </w:r>
      <w:r w:rsidR="00BC72BD">
        <w:rPr>
          <w:rFonts w:ascii="Times New Roman" w:eastAsia="Times New Roman" w:hAnsi="Times New Roman" w:cs="Times New Roman"/>
          <w:sz w:val="24"/>
          <w:szCs w:val="24"/>
        </w:rPr>
        <w:t xml:space="preserve"> </w:t>
      </w:r>
    </w:p>
    <w:p w:rsidR="007A261D" w:rsidRDefault="007A261D" w:rsidP="007A261D">
      <w:pPr>
        <w:pBdr>
          <w:top w:val="nil"/>
          <w:left w:val="nil"/>
          <w:bottom w:val="nil"/>
          <w:right w:val="nil"/>
          <w:between w:val="nil"/>
        </w:pBdr>
        <w:spacing w:before="240" w:after="0" w:line="360" w:lineRule="auto"/>
        <w:ind w:right="-11"/>
        <w:jc w:val="both"/>
        <w:rPr>
          <w:rFonts w:ascii="Times New Roman" w:eastAsia="Times New Roman" w:hAnsi="Times New Roman" w:cs="Times New Roman"/>
          <w:color w:val="000000"/>
          <w:sz w:val="24"/>
          <w:szCs w:val="24"/>
        </w:rPr>
      </w:pPr>
      <w:bookmarkStart w:id="4" w:name="_heading=h.fwjob0z0kk4k" w:colFirst="0" w:colLast="0"/>
      <w:bookmarkEnd w:id="4"/>
      <w:r>
        <w:rPr>
          <w:rFonts w:ascii="Times New Roman" w:eastAsia="Times New Roman" w:hAnsi="Times New Roman" w:cs="Times New Roman"/>
          <w:b/>
          <w:color w:val="000000"/>
          <w:sz w:val="24"/>
          <w:szCs w:val="24"/>
        </w:rPr>
        <w:t xml:space="preserve">Tabela 4 </w:t>
      </w:r>
      <w:r>
        <w:rPr>
          <w:rFonts w:ascii="Times New Roman" w:eastAsia="Times New Roman" w:hAnsi="Times New Roman" w:cs="Times New Roman"/>
          <w:color w:val="000000"/>
          <w:sz w:val="24"/>
          <w:szCs w:val="24"/>
        </w:rPr>
        <w:t>– Valor financiado por atividade agropecuária e finalidade – Pecuária – SC (2024)</w:t>
      </w:r>
    </w:p>
    <w:tbl>
      <w:tblPr>
        <w:tblW w:w="9225" w:type="dxa"/>
        <w:tblCellMar>
          <w:left w:w="70" w:type="dxa"/>
          <w:right w:w="70" w:type="dxa"/>
        </w:tblCellMar>
        <w:tblLook w:val="04A0" w:firstRow="1" w:lastRow="0" w:firstColumn="1" w:lastColumn="0" w:noHBand="0" w:noVBand="1"/>
      </w:tblPr>
      <w:tblGrid>
        <w:gridCol w:w="1560"/>
        <w:gridCol w:w="1559"/>
        <w:gridCol w:w="1701"/>
        <w:gridCol w:w="1417"/>
        <w:gridCol w:w="1418"/>
        <w:gridCol w:w="1570"/>
      </w:tblGrid>
      <w:tr w:rsidR="007A261D" w:rsidRPr="007A261D" w:rsidTr="007A261D">
        <w:trPr>
          <w:trHeight w:val="300"/>
        </w:trPr>
        <w:tc>
          <w:tcPr>
            <w:tcW w:w="1560"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A261D" w:rsidRPr="007A261D" w:rsidRDefault="007A261D" w:rsidP="007A261D">
            <w:pPr>
              <w:spacing w:after="0" w:line="240" w:lineRule="auto"/>
              <w:jc w:val="center"/>
              <w:rPr>
                <w:rFonts w:ascii="Times New Roman" w:eastAsia="Times New Roman" w:hAnsi="Times New Roman" w:cs="Times New Roman"/>
                <w:b/>
                <w:bCs/>
                <w:color w:val="000000"/>
              </w:rPr>
            </w:pPr>
            <w:r w:rsidRPr="007A261D">
              <w:rPr>
                <w:rFonts w:ascii="Times New Roman" w:eastAsia="Times New Roman" w:hAnsi="Times New Roman" w:cs="Times New Roman"/>
                <w:b/>
                <w:bCs/>
                <w:color w:val="000000"/>
              </w:rPr>
              <w:t>Atividade agropecuária</w:t>
            </w:r>
          </w:p>
        </w:tc>
        <w:tc>
          <w:tcPr>
            <w:tcW w:w="6095"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A261D" w:rsidRPr="007A261D" w:rsidRDefault="007A261D" w:rsidP="007A261D">
            <w:pPr>
              <w:spacing w:after="0" w:line="240" w:lineRule="auto"/>
              <w:jc w:val="center"/>
              <w:rPr>
                <w:rFonts w:ascii="Times New Roman" w:eastAsia="Times New Roman" w:hAnsi="Times New Roman" w:cs="Times New Roman"/>
                <w:b/>
                <w:bCs/>
                <w:color w:val="000000"/>
              </w:rPr>
            </w:pPr>
            <w:r w:rsidRPr="007A261D">
              <w:rPr>
                <w:rFonts w:ascii="Times New Roman" w:eastAsia="Times New Roman" w:hAnsi="Times New Roman" w:cs="Times New Roman"/>
                <w:b/>
                <w:bCs/>
                <w:color w:val="000000"/>
              </w:rPr>
              <w:t>Finalidade</w:t>
            </w:r>
          </w:p>
        </w:tc>
        <w:tc>
          <w:tcPr>
            <w:tcW w:w="1570" w:type="dxa"/>
            <w:vMerge w:val="restart"/>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7A261D" w:rsidRDefault="007A261D" w:rsidP="007A261D">
            <w:pPr>
              <w:spacing w:after="0" w:line="240" w:lineRule="auto"/>
              <w:jc w:val="center"/>
              <w:rPr>
                <w:rFonts w:ascii="Times New Roman" w:eastAsia="Times New Roman" w:hAnsi="Times New Roman" w:cs="Times New Roman"/>
                <w:b/>
                <w:bCs/>
                <w:color w:val="000000"/>
              </w:rPr>
            </w:pPr>
            <w:r w:rsidRPr="007A261D">
              <w:rPr>
                <w:rFonts w:ascii="Times New Roman" w:eastAsia="Times New Roman" w:hAnsi="Times New Roman" w:cs="Times New Roman"/>
                <w:b/>
                <w:bCs/>
                <w:color w:val="000000"/>
              </w:rPr>
              <w:t>TOTAL</w:t>
            </w:r>
          </w:p>
          <w:p w:rsidR="007A261D" w:rsidRPr="007A261D" w:rsidRDefault="007A261D" w:rsidP="007A261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w:t>
            </w:r>
          </w:p>
        </w:tc>
      </w:tr>
      <w:tr w:rsidR="007A261D" w:rsidRPr="007A261D" w:rsidTr="007A261D">
        <w:trPr>
          <w:trHeight w:val="300"/>
        </w:trPr>
        <w:tc>
          <w:tcPr>
            <w:tcW w:w="1560" w:type="dxa"/>
            <w:vMerge/>
            <w:tcBorders>
              <w:top w:val="single" w:sz="4" w:space="0" w:color="auto"/>
              <w:left w:val="nil"/>
              <w:bottom w:val="single" w:sz="4" w:space="0" w:color="auto"/>
              <w:right w:val="single" w:sz="4" w:space="0" w:color="auto"/>
            </w:tcBorders>
            <w:vAlign w:val="center"/>
            <w:hideMark/>
          </w:tcPr>
          <w:p w:rsidR="007A261D" w:rsidRPr="007A261D" w:rsidRDefault="007A261D" w:rsidP="007A261D">
            <w:pPr>
              <w:spacing w:after="0" w:line="240" w:lineRule="auto"/>
              <w:rPr>
                <w:rFonts w:ascii="Times New Roman" w:eastAsia="Times New Roman" w:hAnsi="Times New Roman" w:cs="Times New Roman"/>
                <w:b/>
                <w:bCs/>
                <w:color w:val="000000"/>
              </w:rPr>
            </w:pP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rsidR="007A261D" w:rsidRPr="007A261D" w:rsidRDefault="007A261D" w:rsidP="007A261D">
            <w:pPr>
              <w:spacing w:after="0" w:line="240" w:lineRule="auto"/>
              <w:jc w:val="center"/>
              <w:rPr>
                <w:rFonts w:ascii="Times New Roman" w:eastAsia="Times New Roman" w:hAnsi="Times New Roman" w:cs="Times New Roman"/>
                <w:b/>
                <w:bCs/>
                <w:color w:val="000000"/>
              </w:rPr>
            </w:pPr>
            <w:r w:rsidRPr="007A261D">
              <w:rPr>
                <w:rFonts w:ascii="Times New Roman" w:eastAsia="Times New Roman" w:hAnsi="Times New Roman" w:cs="Times New Roman"/>
                <w:b/>
                <w:bCs/>
                <w:color w:val="000000"/>
              </w:rPr>
              <w:t>Investimento</w:t>
            </w:r>
            <w:r>
              <w:rPr>
                <w:rFonts w:ascii="Times New Roman" w:eastAsia="Times New Roman" w:hAnsi="Times New Roman" w:cs="Times New Roman"/>
                <w:b/>
                <w:bCs/>
                <w:color w:val="000000"/>
              </w:rPr>
              <w:t xml:space="preserve"> (R$)</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7A261D" w:rsidRDefault="007A261D" w:rsidP="007A261D">
            <w:pPr>
              <w:spacing w:after="0" w:line="240" w:lineRule="auto"/>
              <w:jc w:val="center"/>
              <w:rPr>
                <w:rFonts w:ascii="Times New Roman" w:eastAsia="Times New Roman" w:hAnsi="Times New Roman" w:cs="Times New Roman"/>
                <w:b/>
                <w:bCs/>
                <w:color w:val="000000"/>
              </w:rPr>
            </w:pPr>
            <w:r w:rsidRPr="007A261D">
              <w:rPr>
                <w:rFonts w:ascii="Times New Roman" w:eastAsia="Times New Roman" w:hAnsi="Times New Roman" w:cs="Times New Roman"/>
                <w:b/>
                <w:bCs/>
                <w:color w:val="000000"/>
              </w:rPr>
              <w:t>Custeio</w:t>
            </w:r>
          </w:p>
          <w:p w:rsidR="007A261D" w:rsidRPr="007A261D" w:rsidRDefault="007A261D" w:rsidP="007A261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w:t>
            </w:r>
          </w:p>
        </w:tc>
        <w:tc>
          <w:tcPr>
            <w:tcW w:w="1417" w:type="dxa"/>
            <w:tcBorders>
              <w:top w:val="nil"/>
              <w:left w:val="nil"/>
              <w:bottom w:val="single" w:sz="4" w:space="0" w:color="auto"/>
              <w:right w:val="single" w:sz="4" w:space="0" w:color="auto"/>
            </w:tcBorders>
            <w:shd w:val="clear" w:color="auto" w:fill="D9D9D9" w:themeFill="background1" w:themeFillShade="D9"/>
            <w:noWrap/>
            <w:vAlign w:val="bottom"/>
            <w:hideMark/>
          </w:tcPr>
          <w:p w:rsidR="007A261D" w:rsidRDefault="007A261D" w:rsidP="007A261D">
            <w:pPr>
              <w:spacing w:after="0" w:line="240" w:lineRule="auto"/>
              <w:jc w:val="center"/>
              <w:rPr>
                <w:rFonts w:ascii="Times New Roman" w:eastAsia="Times New Roman" w:hAnsi="Times New Roman" w:cs="Times New Roman"/>
                <w:b/>
                <w:bCs/>
                <w:color w:val="000000"/>
              </w:rPr>
            </w:pPr>
            <w:r w:rsidRPr="007A261D">
              <w:rPr>
                <w:rFonts w:ascii="Times New Roman" w:eastAsia="Times New Roman" w:hAnsi="Times New Roman" w:cs="Times New Roman"/>
                <w:b/>
                <w:bCs/>
                <w:color w:val="000000"/>
              </w:rPr>
              <w:t>Industriali</w:t>
            </w:r>
            <w:r>
              <w:rPr>
                <w:rFonts w:ascii="Times New Roman" w:eastAsia="Times New Roman" w:hAnsi="Times New Roman" w:cs="Times New Roman"/>
                <w:b/>
                <w:bCs/>
                <w:color w:val="000000"/>
              </w:rPr>
              <w:t>-</w:t>
            </w:r>
          </w:p>
          <w:p w:rsidR="007A261D" w:rsidRPr="007A261D" w:rsidRDefault="007A261D" w:rsidP="007A261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z</w:t>
            </w:r>
            <w:r w:rsidRPr="007A261D">
              <w:rPr>
                <w:rFonts w:ascii="Times New Roman" w:eastAsia="Times New Roman" w:hAnsi="Times New Roman" w:cs="Times New Roman"/>
                <w:b/>
                <w:bCs/>
                <w:color w:val="000000"/>
              </w:rPr>
              <w:t>ação</w:t>
            </w:r>
            <w:r>
              <w:rPr>
                <w:rFonts w:ascii="Times New Roman" w:eastAsia="Times New Roman" w:hAnsi="Times New Roman" w:cs="Times New Roman"/>
                <w:b/>
                <w:bCs/>
                <w:color w:val="000000"/>
              </w:rPr>
              <w:t xml:space="preserve"> (R$)</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rsidR="007A261D" w:rsidRPr="007A261D" w:rsidRDefault="007A261D" w:rsidP="007A261D">
            <w:pPr>
              <w:spacing w:after="0" w:line="240" w:lineRule="auto"/>
              <w:jc w:val="center"/>
              <w:rPr>
                <w:rFonts w:ascii="Times New Roman" w:eastAsia="Times New Roman" w:hAnsi="Times New Roman" w:cs="Times New Roman"/>
                <w:b/>
                <w:bCs/>
                <w:color w:val="000000"/>
              </w:rPr>
            </w:pPr>
            <w:r w:rsidRPr="007A261D">
              <w:rPr>
                <w:rFonts w:ascii="Times New Roman" w:eastAsia="Times New Roman" w:hAnsi="Times New Roman" w:cs="Times New Roman"/>
                <w:b/>
                <w:bCs/>
                <w:color w:val="000000"/>
              </w:rPr>
              <w:t>Comerciali</w:t>
            </w:r>
            <w:r>
              <w:rPr>
                <w:rFonts w:ascii="Times New Roman" w:eastAsia="Times New Roman" w:hAnsi="Times New Roman" w:cs="Times New Roman"/>
                <w:b/>
                <w:bCs/>
                <w:color w:val="000000"/>
              </w:rPr>
              <w:t>-</w:t>
            </w:r>
            <w:r w:rsidRPr="007A261D">
              <w:rPr>
                <w:rFonts w:ascii="Times New Roman" w:eastAsia="Times New Roman" w:hAnsi="Times New Roman" w:cs="Times New Roman"/>
                <w:b/>
                <w:bCs/>
                <w:color w:val="000000"/>
              </w:rPr>
              <w:t>zação</w:t>
            </w:r>
            <w:r>
              <w:rPr>
                <w:rFonts w:ascii="Times New Roman" w:eastAsia="Times New Roman" w:hAnsi="Times New Roman" w:cs="Times New Roman"/>
                <w:b/>
                <w:bCs/>
                <w:color w:val="000000"/>
              </w:rPr>
              <w:t xml:space="preserve"> (R$)</w:t>
            </w:r>
          </w:p>
        </w:tc>
        <w:tc>
          <w:tcPr>
            <w:tcW w:w="1570" w:type="dxa"/>
            <w:vMerge/>
            <w:tcBorders>
              <w:top w:val="single" w:sz="4" w:space="0" w:color="auto"/>
              <w:left w:val="single" w:sz="4" w:space="0" w:color="auto"/>
              <w:bottom w:val="single" w:sz="4" w:space="0" w:color="auto"/>
              <w:right w:val="nil"/>
            </w:tcBorders>
            <w:vAlign w:val="center"/>
            <w:hideMark/>
          </w:tcPr>
          <w:p w:rsidR="007A261D" w:rsidRPr="007A261D" w:rsidRDefault="007A261D" w:rsidP="007A261D">
            <w:pPr>
              <w:spacing w:after="0" w:line="240" w:lineRule="auto"/>
              <w:rPr>
                <w:rFonts w:ascii="Times New Roman" w:eastAsia="Times New Roman" w:hAnsi="Times New Roman" w:cs="Times New Roman"/>
                <w:b/>
                <w:bCs/>
                <w:color w:val="000000"/>
              </w:rPr>
            </w:pPr>
          </w:p>
        </w:tc>
      </w:tr>
      <w:tr w:rsidR="00713EF1" w:rsidRPr="007A261D" w:rsidTr="00CA309A">
        <w:trPr>
          <w:trHeight w:val="300"/>
        </w:trPr>
        <w:tc>
          <w:tcPr>
            <w:tcW w:w="1560" w:type="dxa"/>
            <w:tcBorders>
              <w:top w:val="nil"/>
              <w:left w:val="nil"/>
              <w:bottom w:val="single" w:sz="4" w:space="0" w:color="auto"/>
              <w:right w:val="single" w:sz="4" w:space="0" w:color="auto"/>
            </w:tcBorders>
            <w:shd w:val="clear" w:color="auto" w:fill="auto"/>
            <w:noWrap/>
            <w:vAlign w:val="center"/>
            <w:hideMark/>
          </w:tcPr>
          <w:p w:rsidR="00713EF1" w:rsidRPr="007A261D" w:rsidRDefault="00713EF1" w:rsidP="00CA309A">
            <w:pPr>
              <w:spacing w:after="0" w:line="240" w:lineRule="auto"/>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Bovinocultura</w:t>
            </w:r>
          </w:p>
        </w:tc>
        <w:tc>
          <w:tcPr>
            <w:tcW w:w="1559" w:type="dxa"/>
            <w:tcBorders>
              <w:top w:val="nil"/>
              <w:left w:val="nil"/>
              <w:bottom w:val="single" w:sz="4" w:space="0" w:color="auto"/>
              <w:right w:val="single" w:sz="4" w:space="0" w:color="auto"/>
            </w:tcBorders>
            <w:shd w:val="clear" w:color="auto" w:fill="auto"/>
            <w:noWrap/>
            <w:vAlign w:val="center"/>
            <w:hideMark/>
          </w:tcPr>
          <w:p w:rsidR="00713EF1" w:rsidRPr="007A261D" w:rsidRDefault="00713EF1" w:rsidP="00CA309A">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552.424.558,95</w:t>
            </w:r>
          </w:p>
        </w:tc>
        <w:tc>
          <w:tcPr>
            <w:tcW w:w="1701" w:type="dxa"/>
            <w:tcBorders>
              <w:top w:val="nil"/>
              <w:left w:val="nil"/>
              <w:bottom w:val="single" w:sz="4" w:space="0" w:color="auto"/>
              <w:right w:val="single" w:sz="4" w:space="0" w:color="auto"/>
            </w:tcBorders>
            <w:shd w:val="clear" w:color="auto" w:fill="auto"/>
            <w:noWrap/>
            <w:vAlign w:val="center"/>
            <w:hideMark/>
          </w:tcPr>
          <w:p w:rsidR="00713EF1" w:rsidRPr="007A261D" w:rsidRDefault="00713EF1" w:rsidP="00CA309A">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4.789.829.331,25</w:t>
            </w:r>
          </w:p>
        </w:tc>
        <w:tc>
          <w:tcPr>
            <w:tcW w:w="1417" w:type="dxa"/>
            <w:tcBorders>
              <w:top w:val="nil"/>
              <w:left w:val="nil"/>
              <w:bottom w:val="single" w:sz="4" w:space="0" w:color="auto"/>
              <w:right w:val="single" w:sz="4" w:space="0" w:color="auto"/>
            </w:tcBorders>
            <w:shd w:val="clear" w:color="auto" w:fill="auto"/>
            <w:noWrap/>
            <w:vAlign w:val="center"/>
            <w:hideMark/>
          </w:tcPr>
          <w:p w:rsidR="00713EF1" w:rsidRPr="007A261D" w:rsidRDefault="00713EF1" w:rsidP="00CA309A">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113.721.743,33</w:t>
            </w:r>
          </w:p>
        </w:tc>
        <w:tc>
          <w:tcPr>
            <w:tcW w:w="1418" w:type="dxa"/>
            <w:tcBorders>
              <w:top w:val="nil"/>
              <w:left w:val="nil"/>
              <w:bottom w:val="single" w:sz="4" w:space="0" w:color="auto"/>
              <w:right w:val="single" w:sz="4" w:space="0" w:color="auto"/>
            </w:tcBorders>
            <w:shd w:val="clear" w:color="auto" w:fill="auto"/>
            <w:noWrap/>
            <w:vAlign w:val="center"/>
            <w:hideMark/>
          </w:tcPr>
          <w:p w:rsidR="00713EF1" w:rsidRPr="007A261D" w:rsidRDefault="00713EF1" w:rsidP="00CA309A">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18.158.287,24</w:t>
            </w:r>
          </w:p>
        </w:tc>
        <w:tc>
          <w:tcPr>
            <w:tcW w:w="1570" w:type="dxa"/>
            <w:tcBorders>
              <w:top w:val="nil"/>
              <w:left w:val="nil"/>
              <w:bottom w:val="single" w:sz="4" w:space="0" w:color="auto"/>
              <w:right w:val="nil"/>
            </w:tcBorders>
            <w:shd w:val="clear" w:color="auto" w:fill="auto"/>
            <w:noWrap/>
            <w:vAlign w:val="center"/>
            <w:hideMark/>
          </w:tcPr>
          <w:p w:rsidR="00713EF1" w:rsidRPr="007A261D" w:rsidRDefault="00713EF1" w:rsidP="00CA309A">
            <w:pPr>
              <w:spacing w:after="0" w:line="240" w:lineRule="auto"/>
              <w:ind w:left="-70" w:right="-131"/>
              <w:jc w:val="center"/>
              <w:rPr>
                <w:rFonts w:ascii="Times New Roman" w:eastAsia="Times New Roman" w:hAnsi="Times New Roman" w:cs="Times New Roman"/>
                <w:b/>
                <w:bCs/>
                <w:color w:val="000000"/>
                <w:sz w:val="20"/>
              </w:rPr>
            </w:pPr>
            <w:r w:rsidRPr="007A261D">
              <w:rPr>
                <w:rFonts w:ascii="Times New Roman" w:eastAsia="Times New Roman" w:hAnsi="Times New Roman" w:cs="Times New Roman"/>
                <w:b/>
                <w:bCs/>
                <w:color w:val="000000"/>
                <w:sz w:val="20"/>
              </w:rPr>
              <w:t>5.474.133.920,77</w:t>
            </w:r>
          </w:p>
        </w:tc>
      </w:tr>
      <w:tr w:rsidR="007A261D" w:rsidRPr="007A261D" w:rsidTr="007A261D">
        <w:trPr>
          <w:trHeight w:val="300"/>
        </w:trPr>
        <w:tc>
          <w:tcPr>
            <w:tcW w:w="1560"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Avicultura</w:t>
            </w:r>
          </w:p>
        </w:tc>
        <w:tc>
          <w:tcPr>
            <w:tcW w:w="1559"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103.165.327,57</w:t>
            </w:r>
          </w:p>
        </w:tc>
        <w:tc>
          <w:tcPr>
            <w:tcW w:w="1701"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1.145.462.550,49</w:t>
            </w:r>
          </w:p>
        </w:tc>
        <w:tc>
          <w:tcPr>
            <w:tcW w:w="1417"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100.000.000,00</w:t>
            </w:r>
          </w:p>
        </w:tc>
        <w:tc>
          <w:tcPr>
            <w:tcW w:w="1418"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85.000.000,00</w:t>
            </w:r>
          </w:p>
        </w:tc>
        <w:tc>
          <w:tcPr>
            <w:tcW w:w="1570" w:type="dxa"/>
            <w:tcBorders>
              <w:top w:val="nil"/>
              <w:left w:val="nil"/>
              <w:bottom w:val="single" w:sz="4" w:space="0" w:color="auto"/>
              <w:right w:val="nil"/>
            </w:tcBorders>
            <w:shd w:val="clear" w:color="auto" w:fill="auto"/>
            <w:noWrap/>
            <w:vAlign w:val="center"/>
            <w:hideMark/>
          </w:tcPr>
          <w:p w:rsidR="007A261D" w:rsidRPr="007A261D" w:rsidRDefault="007A261D" w:rsidP="007A261D">
            <w:pPr>
              <w:spacing w:after="0" w:line="240" w:lineRule="auto"/>
              <w:ind w:left="-70" w:right="-131"/>
              <w:jc w:val="center"/>
              <w:rPr>
                <w:rFonts w:ascii="Times New Roman" w:eastAsia="Times New Roman" w:hAnsi="Times New Roman" w:cs="Times New Roman"/>
                <w:b/>
                <w:bCs/>
                <w:color w:val="000000"/>
                <w:sz w:val="20"/>
              </w:rPr>
            </w:pPr>
            <w:r w:rsidRPr="007A261D">
              <w:rPr>
                <w:rFonts w:ascii="Times New Roman" w:eastAsia="Times New Roman" w:hAnsi="Times New Roman" w:cs="Times New Roman"/>
                <w:b/>
                <w:bCs/>
                <w:color w:val="000000"/>
                <w:sz w:val="20"/>
              </w:rPr>
              <w:t>1.433.627.878,06</w:t>
            </w:r>
          </w:p>
        </w:tc>
      </w:tr>
      <w:tr w:rsidR="007A261D" w:rsidRPr="007A261D" w:rsidTr="007A261D">
        <w:trPr>
          <w:trHeight w:val="300"/>
        </w:trPr>
        <w:tc>
          <w:tcPr>
            <w:tcW w:w="1560"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Suinocultura</w:t>
            </w:r>
          </w:p>
        </w:tc>
        <w:tc>
          <w:tcPr>
            <w:tcW w:w="1559"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62.601.969,28</w:t>
            </w:r>
          </w:p>
        </w:tc>
        <w:tc>
          <w:tcPr>
            <w:tcW w:w="1701"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576.426.685,39</w:t>
            </w:r>
          </w:p>
        </w:tc>
        <w:tc>
          <w:tcPr>
            <w:tcW w:w="1417"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659.300.000,00</w:t>
            </w:r>
          </w:p>
        </w:tc>
        <w:tc>
          <w:tcPr>
            <w:tcW w:w="1418"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15.901.036,00</w:t>
            </w:r>
          </w:p>
        </w:tc>
        <w:tc>
          <w:tcPr>
            <w:tcW w:w="1570" w:type="dxa"/>
            <w:tcBorders>
              <w:top w:val="nil"/>
              <w:left w:val="nil"/>
              <w:bottom w:val="single" w:sz="4" w:space="0" w:color="auto"/>
              <w:right w:val="nil"/>
            </w:tcBorders>
            <w:shd w:val="clear" w:color="auto" w:fill="auto"/>
            <w:noWrap/>
            <w:vAlign w:val="center"/>
            <w:hideMark/>
          </w:tcPr>
          <w:p w:rsidR="007A261D" w:rsidRPr="007A261D" w:rsidRDefault="007A261D" w:rsidP="007A261D">
            <w:pPr>
              <w:spacing w:after="0" w:line="240" w:lineRule="auto"/>
              <w:ind w:left="-70" w:right="-131"/>
              <w:jc w:val="center"/>
              <w:rPr>
                <w:rFonts w:ascii="Times New Roman" w:eastAsia="Times New Roman" w:hAnsi="Times New Roman" w:cs="Times New Roman"/>
                <w:b/>
                <w:bCs/>
                <w:color w:val="000000"/>
                <w:sz w:val="20"/>
              </w:rPr>
            </w:pPr>
            <w:r w:rsidRPr="007A261D">
              <w:rPr>
                <w:rFonts w:ascii="Times New Roman" w:eastAsia="Times New Roman" w:hAnsi="Times New Roman" w:cs="Times New Roman"/>
                <w:b/>
                <w:bCs/>
                <w:color w:val="000000"/>
                <w:sz w:val="20"/>
              </w:rPr>
              <w:t>1.314.229.690,67</w:t>
            </w:r>
          </w:p>
        </w:tc>
      </w:tr>
      <w:tr w:rsidR="007A261D" w:rsidRPr="007A261D" w:rsidTr="007A261D">
        <w:trPr>
          <w:trHeight w:val="300"/>
        </w:trPr>
        <w:tc>
          <w:tcPr>
            <w:tcW w:w="1560"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Aquicultura e pesca</w:t>
            </w:r>
          </w:p>
        </w:tc>
        <w:tc>
          <w:tcPr>
            <w:tcW w:w="1559"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17.297.466,41</w:t>
            </w:r>
          </w:p>
        </w:tc>
        <w:tc>
          <w:tcPr>
            <w:tcW w:w="1701"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217.481.041,20</w:t>
            </w:r>
          </w:p>
        </w:tc>
        <w:tc>
          <w:tcPr>
            <w:tcW w:w="1417"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500.000,00</w:t>
            </w:r>
          </w:p>
        </w:tc>
        <w:tc>
          <w:tcPr>
            <w:tcW w:w="1570" w:type="dxa"/>
            <w:tcBorders>
              <w:top w:val="nil"/>
              <w:left w:val="nil"/>
              <w:bottom w:val="single" w:sz="4" w:space="0" w:color="auto"/>
              <w:right w:val="nil"/>
            </w:tcBorders>
            <w:shd w:val="clear" w:color="auto" w:fill="auto"/>
            <w:noWrap/>
            <w:vAlign w:val="center"/>
            <w:hideMark/>
          </w:tcPr>
          <w:p w:rsidR="007A261D" w:rsidRPr="007A261D" w:rsidRDefault="007A261D" w:rsidP="007A261D">
            <w:pPr>
              <w:spacing w:after="0" w:line="240" w:lineRule="auto"/>
              <w:ind w:left="-70" w:right="-131"/>
              <w:jc w:val="center"/>
              <w:rPr>
                <w:rFonts w:ascii="Times New Roman" w:eastAsia="Times New Roman" w:hAnsi="Times New Roman" w:cs="Times New Roman"/>
                <w:b/>
                <w:bCs/>
                <w:color w:val="000000"/>
                <w:sz w:val="20"/>
              </w:rPr>
            </w:pPr>
            <w:r w:rsidRPr="007A261D">
              <w:rPr>
                <w:rFonts w:ascii="Times New Roman" w:eastAsia="Times New Roman" w:hAnsi="Times New Roman" w:cs="Times New Roman"/>
                <w:b/>
                <w:bCs/>
                <w:color w:val="000000"/>
                <w:sz w:val="20"/>
              </w:rPr>
              <w:t>235.278.507,61</w:t>
            </w:r>
          </w:p>
        </w:tc>
      </w:tr>
      <w:tr w:rsidR="007A261D" w:rsidRPr="007A261D" w:rsidTr="007A261D">
        <w:trPr>
          <w:trHeight w:val="300"/>
        </w:trPr>
        <w:tc>
          <w:tcPr>
            <w:tcW w:w="1560"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ind w:right="-70"/>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Outras atividades/</w:t>
            </w:r>
            <w:r>
              <w:rPr>
                <w:rFonts w:ascii="Times New Roman" w:eastAsia="Times New Roman" w:hAnsi="Times New Roman" w:cs="Times New Roman"/>
                <w:color w:val="000000"/>
                <w:sz w:val="20"/>
              </w:rPr>
              <w:t xml:space="preserve"> </w:t>
            </w:r>
            <w:r w:rsidRPr="007A261D">
              <w:rPr>
                <w:rFonts w:ascii="Times New Roman" w:eastAsia="Times New Roman" w:hAnsi="Times New Roman" w:cs="Times New Roman"/>
                <w:color w:val="000000"/>
                <w:sz w:val="20"/>
              </w:rPr>
              <w:t>espécies</w:t>
            </w:r>
          </w:p>
        </w:tc>
        <w:tc>
          <w:tcPr>
            <w:tcW w:w="1559"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6.782.484,18</w:t>
            </w:r>
          </w:p>
        </w:tc>
        <w:tc>
          <w:tcPr>
            <w:tcW w:w="1701" w:type="dxa"/>
            <w:tcBorders>
              <w:top w:val="nil"/>
              <w:left w:val="nil"/>
              <w:bottom w:val="single" w:sz="4" w:space="0" w:color="auto"/>
              <w:right w:val="single" w:sz="4" w:space="0" w:color="auto"/>
            </w:tcBorders>
            <w:shd w:val="clear" w:color="auto" w:fill="auto"/>
            <w:noWrap/>
            <w:vAlign w:val="center"/>
            <w:hideMark/>
          </w:tcPr>
          <w:p w:rsidR="007A261D" w:rsidRPr="007A261D" w:rsidRDefault="00A00B32" w:rsidP="00A00B32">
            <w:pPr>
              <w:spacing w:after="0" w:line="240" w:lineRule="auto"/>
              <w:jc w:val="center"/>
              <w:rPr>
                <w:rFonts w:ascii="Times New Roman" w:eastAsia="Times New Roman" w:hAnsi="Times New Roman" w:cs="Times New Roman"/>
                <w:color w:val="000000"/>
                <w:sz w:val="20"/>
              </w:rPr>
            </w:pPr>
            <w:r w:rsidRPr="00A00B32">
              <w:rPr>
                <w:rFonts w:ascii="Times New Roman" w:eastAsia="Times New Roman" w:hAnsi="Times New Roman" w:cs="Times New Roman"/>
                <w:color w:val="000000"/>
                <w:sz w:val="20"/>
              </w:rPr>
              <w:t>32.371.663,39</w:t>
            </w:r>
          </w:p>
        </w:tc>
        <w:tc>
          <w:tcPr>
            <w:tcW w:w="1417"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60.000,00</w:t>
            </w:r>
          </w:p>
        </w:tc>
        <w:tc>
          <w:tcPr>
            <w:tcW w:w="1418"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w:t>
            </w:r>
          </w:p>
        </w:tc>
        <w:tc>
          <w:tcPr>
            <w:tcW w:w="1570" w:type="dxa"/>
            <w:tcBorders>
              <w:top w:val="nil"/>
              <w:left w:val="nil"/>
              <w:bottom w:val="single" w:sz="4" w:space="0" w:color="auto"/>
              <w:right w:val="nil"/>
            </w:tcBorders>
            <w:shd w:val="clear" w:color="auto" w:fill="auto"/>
            <w:noWrap/>
            <w:vAlign w:val="center"/>
            <w:hideMark/>
          </w:tcPr>
          <w:p w:rsidR="007A261D" w:rsidRPr="007A261D" w:rsidRDefault="007A261D" w:rsidP="00A00B32">
            <w:pPr>
              <w:spacing w:after="0" w:line="240" w:lineRule="auto"/>
              <w:ind w:left="-70" w:right="-131"/>
              <w:jc w:val="center"/>
              <w:rPr>
                <w:rFonts w:ascii="Times New Roman" w:eastAsia="Times New Roman" w:hAnsi="Times New Roman" w:cs="Times New Roman"/>
                <w:b/>
                <w:bCs/>
                <w:color w:val="000000"/>
                <w:sz w:val="20"/>
              </w:rPr>
            </w:pPr>
            <w:r w:rsidRPr="007A261D">
              <w:rPr>
                <w:rFonts w:ascii="Times New Roman" w:eastAsia="Times New Roman" w:hAnsi="Times New Roman" w:cs="Times New Roman"/>
                <w:b/>
                <w:bCs/>
                <w:color w:val="000000"/>
                <w:sz w:val="20"/>
              </w:rPr>
              <w:t>3</w:t>
            </w:r>
            <w:r w:rsidR="00A00B32">
              <w:rPr>
                <w:rFonts w:ascii="Times New Roman" w:eastAsia="Times New Roman" w:hAnsi="Times New Roman" w:cs="Times New Roman"/>
                <w:b/>
                <w:bCs/>
                <w:color w:val="000000"/>
                <w:sz w:val="20"/>
              </w:rPr>
              <w:t>9</w:t>
            </w:r>
            <w:r w:rsidRPr="007A261D">
              <w:rPr>
                <w:rFonts w:ascii="Times New Roman" w:eastAsia="Times New Roman" w:hAnsi="Times New Roman" w:cs="Times New Roman"/>
                <w:b/>
                <w:bCs/>
                <w:color w:val="000000"/>
                <w:sz w:val="20"/>
              </w:rPr>
              <w:t>.</w:t>
            </w:r>
            <w:r w:rsidR="00A00B32">
              <w:rPr>
                <w:rFonts w:ascii="Times New Roman" w:eastAsia="Times New Roman" w:hAnsi="Times New Roman" w:cs="Times New Roman"/>
                <w:b/>
                <w:bCs/>
                <w:color w:val="000000"/>
                <w:sz w:val="20"/>
              </w:rPr>
              <w:t>21</w:t>
            </w:r>
            <w:r w:rsidRPr="007A261D">
              <w:rPr>
                <w:rFonts w:ascii="Times New Roman" w:eastAsia="Times New Roman" w:hAnsi="Times New Roman" w:cs="Times New Roman"/>
                <w:b/>
                <w:bCs/>
                <w:color w:val="000000"/>
                <w:sz w:val="20"/>
              </w:rPr>
              <w:t>4.</w:t>
            </w:r>
            <w:r w:rsidR="00A00B32">
              <w:rPr>
                <w:rFonts w:ascii="Times New Roman" w:eastAsia="Times New Roman" w:hAnsi="Times New Roman" w:cs="Times New Roman"/>
                <w:b/>
                <w:bCs/>
                <w:color w:val="000000"/>
                <w:sz w:val="20"/>
              </w:rPr>
              <w:t>147</w:t>
            </w:r>
            <w:r w:rsidRPr="007A261D">
              <w:rPr>
                <w:rFonts w:ascii="Times New Roman" w:eastAsia="Times New Roman" w:hAnsi="Times New Roman" w:cs="Times New Roman"/>
                <w:b/>
                <w:bCs/>
                <w:color w:val="000000"/>
                <w:sz w:val="20"/>
              </w:rPr>
              <w:t>,</w:t>
            </w:r>
            <w:r w:rsidR="00A00B32">
              <w:rPr>
                <w:rFonts w:ascii="Times New Roman" w:eastAsia="Times New Roman" w:hAnsi="Times New Roman" w:cs="Times New Roman"/>
                <w:b/>
                <w:bCs/>
                <w:color w:val="000000"/>
                <w:sz w:val="20"/>
              </w:rPr>
              <w:t>57</w:t>
            </w:r>
          </w:p>
        </w:tc>
      </w:tr>
      <w:tr w:rsidR="007A261D" w:rsidRPr="007A261D" w:rsidTr="007A261D">
        <w:trPr>
          <w:trHeight w:val="300"/>
        </w:trPr>
        <w:tc>
          <w:tcPr>
            <w:tcW w:w="1560" w:type="dxa"/>
            <w:tcBorders>
              <w:top w:val="nil"/>
              <w:left w:val="nil"/>
              <w:bottom w:val="single" w:sz="4" w:space="0" w:color="auto"/>
              <w:right w:val="single" w:sz="4" w:space="0" w:color="auto"/>
            </w:tcBorders>
            <w:shd w:val="clear" w:color="auto" w:fill="auto"/>
            <w:noWrap/>
            <w:vAlign w:val="bottom"/>
            <w:hideMark/>
          </w:tcPr>
          <w:p w:rsidR="007A261D" w:rsidRPr="007A261D" w:rsidRDefault="007A261D" w:rsidP="007A261D">
            <w:pPr>
              <w:spacing w:after="0" w:line="240" w:lineRule="auto"/>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Não identificada/ não específica</w:t>
            </w:r>
          </w:p>
        </w:tc>
        <w:tc>
          <w:tcPr>
            <w:tcW w:w="1559"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1.806.776.168,50</w:t>
            </w:r>
          </w:p>
        </w:tc>
        <w:tc>
          <w:tcPr>
            <w:tcW w:w="1701" w:type="dxa"/>
            <w:tcBorders>
              <w:top w:val="nil"/>
              <w:left w:val="nil"/>
              <w:bottom w:val="single" w:sz="4" w:space="0" w:color="auto"/>
              <w:right w:val="single" w:sz="4" w:space="0" w:color="auto"/>
            </w:tcBorders>
            <w:shd w:val="clear" w:color="auto" w:fill="auto"/>
            <w:noWrap/>
            <w:vAlign w:val="center"/>
            <w:hideMark/>
          </w:tcPr>
          <w:p w:rsidR="007A261D" w:rsidRPr="007A261D" w:rsidRDefault="00A00B32" w:rsidP="007A261D">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36.770.000,00</w:t>
            </w:r>
          </w:p>
        </w:tc>
        <w:tc>
          <w:tcPr>
            <w:tcW w:w="1417"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color w:val="000000"/>
                <w:sz w:val="20"/>
              </w:rPr>
            </w:pPr>
            <w:r w:rsidRPr="007A261D">
              <w:rPr>
                <w:rFonts w:ascii="Times New Roman" w:eastAsia="Times New Roman" w:hAnsi="Times New Roman" w:cs="Times New Roman"/>
                <w:color w:val="000000"/>
                <w:sz w:val="20"/>
              </w:rPr>
              <w:t>-</w:t>
            </w:r>
          </w:p>
        </w:tc>
        <w:tc>
          <w:tcPr>
            <w:tcW w:w="1570" w:type="dxa"/>
            <w:tcBorders>
              <w:top w:val="nil"/>
              <w:left w:val="nil"/>
              <w:bottom w:val="single" w:sz="4" w:space="0" w:color="auto"/>
              <w:right w:val="nil"/>
            </w:tcBorders>
            <w:shd w:val="clear" w:color="auto" w:fill="auto"/>
            <w:noWrap/>
            <w:vAlign w:val="center"/>
            <w:hideMark/>
          </w:tcPr>
          <w:p w:rsidR="007A261D" w:rsidRPr="007A261D" w:rsidRDefault="007A261D" w:rsidP="00A00B32">
            <w:pPr>
              <w:spacing w:after="0" w:line="240" w:lineRule="auto"/>
              <w:ind w:left="-70" w:right="-131"/>
              <w:jc w:val="center"/>
              <w:rPr>
                <w:rFonts w:ascii="Times New Roman" w:eastAsia="Times New Roman" w:hAnsi="Times New Roman" w:cs="Times New Roman"/>
                <w:b/>
                <w:bCs/>
                <w:color w:val="000000"/>
                <w:sz w:val="20"/>
              </w:rPr>
            </w:pPr>
            <w:r w:rsidRPr="007A261D">
              <w:rPr>
                <w:rFonts w:ascii="Times New Roman" w:eastAsia="Times New Roman" w:hAnsi="Times New Roman" w:cs="Times New Roman"/>
                <w:b/>
                <w:bCs/>
                <w:color w:val="000000"/>
                <w:sz w:val="20"/>
              </w:rPr>
              <w:t>1.8</w:t>
            </w:r>
            <w:r w:rsidR="00A00B32">
              <w:rPr>
                <w:rFonts w:ascii="Times New Roman" w:eastAsia="Times New Roman" w:hAnsi="Times New Roman" w:cs="Times New Roman"/>
                <w:b/>
                <w:bCs/>
                <w:color w:val="000000"/>
                <w:sz w:val="20"/>
              </w:rPr>
              <w:t>43</w:t>
            </w:r>
            <w:r w:rsidRPr="007A261D">
              <w:rPr>
                <w:rFonts w:ascii="Times New Roman" w:eastAsia="Times New Roman" w:hAnsi="Times New Roman" w:cs="Times New Roman"/>
                <w:b/>
                <w:bCs/>
                <w:color w:val="000000"/>
                <w:sz w:val="20"/>
              </w:rPr>
              <w:t>.</w:t>
            </w:r>
            <w:r w:rsidR="00A00B32">
              <w:rPr>
                <w:rFonts w:ascii="Times New Roman" w:eastAsia="Times New Roman" w:hAnsi="Times New Roman" w:cs="Times New Roman"/>
                <w:b/>
                <w:bCs/>
                <w:color w:val="000000"/>
                <w:sz w:val="20"/>
              </w:rPr>
              <w:t>546</w:t>
            </w:r>
            <w:r w:rsidRPr="007A261D">
              <w:rPr>
                <w:rFonts w:ascii="Times New Roman" w:eastAsia="Times New Roman" w:hAnsi="Times New Roman" w:cs="Times New Roman"/>
                <w:b/>
                <w:bCs/>
                <w:color w:val="000000"/>
                <w:sz w:val="20"/>
              </w:rPr>
              <w:t>.</w:t>
            </w:r>
            <w:r w:rsidR="00A00B32">
              <w:rPr>
                <w:rFonts w:ascii="Times New Roman" w:eastAsia="Times New Roman" w:hAnsi="Times New Roman" w:cs="Times New Roman"/>
                <w:b/>
                <w:bCs/>
                <w:color w:val="000000"/>
                <w:sz w:val="20"/>
              </w:rPr>
              <w:t>168</w:t>
            </w:r>
            <w:r w:rsidRPr="007A261D">
              <w:rPr>
                <w:rFonts w:ascii="Times New Roman" w:eastAsia="Times New Roman" w:hAnsi="Times New Roman" w:cs="Times New Roman"/>
                <w:b/>
                <w:bCs/>
                <w:color w:val="000000"/>
                <w:sz w:val="20"/>
              </w:rPr>
              <w:t>,</w:t>
            </w:r>
            <w:r w:rsidR="00A00B32">
              <w:rPr>
                <w:rFonts w:ascii="Times New Roman" w:eastAsia="Times New Roman" w:hAnsi="Times New Roman" w:cs="Times New Roman"/>
                <w:b/>
                <w:bCs/>
                <w:color w:val="000000"/>
                <w:sz w:val="20"/>
              </w:rPr>
              <w:t>50</w:t>
            </w:r>
          </w:p>
        </w:tc>
      </w:tr>
      <w:tr w:rsidR="007A261D" w:rsidRPr="007A261D" w:rsidTr="007A261D">
        <w:trPr>
          <w:trHeight w:val="300"/>
        </w:trPr>
        <w:tc>
          <w:tcPr>
            <w:tcW w:w="1560"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TOTAL</w:t>
            </w:r>
          </w:p>
        </w:tc>
        <w:tc>
          <w:tcPr>
            <w:tcW w:w="1559"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b/>
                <w:bCs/>
                <w:color w:val="000000"/>
                <w:sz w:val="20"/>
              </w:rPr>
            </w:pPr>
            <w:r w:rsidRPr="007A261D">
              <w:rPr>
                <w:rFonts w:ascii="Times New Roman" w:eastAsia="Times New Roman" w:hAnsi="Times New Roman" w:cs="Times New Roman"/>
                <w:b/>
                <w:bCs/>
                <w:color w:val="000000"/>
                <w:sz w:val="20"/>
              </w:rPr>
              <w:t>2.549.047.974,89</w:t>
            </w:r>
          </w:p>
        </w:tc>
        <w:tc>
          <w:tcPr>
            <w:tcW w:w="1701"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b/>
                <w:bCs/>
                <w:color w:val="000000"/>
                <w:sz w:val="20"/>
              </w:rPr>
            </w:pPr>
            <w:r w:rsidRPr="007A261D">
              <w:rPr>
                <w:rFonts w:ascii="Times New Roman" w:eastAsia="Times New Roman" w:hAnsi="Times New Roman" w:cs="Times New Roman"/>
                <w:b/>
                <w:bCs/>
                <w:color w:val="000000"/>
                <w:sz w:val="20"/>
              </w:rPr>
              <w:t>6.798.341.271,72</w:t>
            </w:r>
          </w:p>
        </w:tc>
        <w:tc>
          <w:tcPr>
            <w:tcW w:w="1417"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b/>
                <w:bCs/>
                <w:color w:val="000000"/>
                <w:sz w:val="20"/>
              </w:rPr>
            </w:pPr>
            <w:r w:rsidRPr="007A261D">
              <w:rPr>
                <w:rFonts w:ascii="Times New Roman" w:eastAsia="Times New Roman" w:hAnsi="Times New Roman" w:cs="Times New Roman"/>
                <w:b/>
                <w:bCs/>
                <w:color w:val="000000"/>
                <w:sz w:val="20"/>
              </w:rPr>
              <w:t>873.081.743,33</w:t>
            </w:r>
          </w:p>
        </w:tc>
        <w:tc>
          <w:tcPr>
            <w:tcW w:w="1418" w:type="dxa"/>
            <w:tcBorders>
              <w:top w:val="nil"/>
              <w:left w:val="nil"/>
              <w:bottom w:val="single" w:sz="4" w:space="0" w:color="auto"/>
              <w:right w:val="single" w:sz="4" w:space="0" w:color="auto"/>
            </w:tcBorders>
            <w:shd w:val="clear" w:color="auto" w:fill="auto"/>
            <w:noWrap/>
            <w:vAlign w:val="center"/>
            <w:hideMark/>
          </w:tcPr>
          <w:p w:rsidR="007A261D" w:rsidRPr="007A261D" w:rsidRDefault="007A261D" w:rsidP="007A261D">
            <w:pPr>
              <w:spacing w:after="0" w:line="240" w:lineRule="auto"/>
              <w:jc w:val="center"/>
              <w:rPr>
                <w:rFonts w:ascii="Times New Roman" w:eastAsia="Times New Roman" w:hAnsi="Times New Roman" w:cs="Times New Roman"/>
                <w:b/>
                <w:bCs/>
                <w:color w:val="000000"/>
                <w:sz w:val="20"/>
              </w:rPr>
            </w:pPr>
            <w:r w:rsidRPr="007A261D">
              <w:rPr>
                <w:rFonts w:ascii="Times New Roman" w:eastAsia="Times New Roman" w:hAnsi="Times New Roman" w:cs="Times New Roman"/>
                <w:b/>
                <w:bCs/>
                <w:color w:val="000000"/>
                <w:sz w:val="20"/>
              </w:rPr>
              <w:t>119.559.323,24</w:t>
            </w:r>
          </w:p>
        </w:tc>
        <w:tc>
          <w:tcPr>
            <w:tcW w:w="1570" w:type="dxa"/>
            <w:tcBorders>
              <w:top w:val="nil"/>
              <w:left w:val="nil"/>
              <w:bottom w:val="single" w:sz="4" w:space="0" w:color="auto"/>
              <w:right w:val="nil"/>
            </w:tcBorders>
            <w:shd w:val="clear" w:color="auto" w:fill="auto"/>
            <w:noWrap/>
            <w:vAlign w:val="center"/>
            <w:hideMark/>
          </w:tcPr>
          <w:p w:rsidR="007A261D" w:rsidRPr="007A261D" w:rsidRDefault="007A261D" w:rsidP="00BC6107">
            <w:pPr>
              <w:spacing w:after="0" w:line="240" w:lineRule="auto"/>
              <w:ind w:left="-70" w:right="-59"/>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w:t>
            </w:r>
            <w:r w:rsidRPr="007A261D">
              <w:rPr>
                <w:rFonts w:ascii="Times New Roman" w:eastAsia="Times New Roman" w:hAnsi="Times New Roman" w:cs="Times New Roman"/>
                <w:b/>
                <w:bCs/>
                <w:color w:val="000000"/>
                <w:sz w:val="20"/>
              </w:rPr>
              <w:t>0.340.030.313,18</w:t>
            </w:r>
          </w:p>
        </w:tc>
      </w:tr>
    </w:tbl>
    <w:p w:rsidR="007A261D" w:rsidRDefault="007A261D" w:rsidP="007A261D">
      <w:pPr>
        <w:pBdr>
          <w:top w:val="nil"/>
          <w:left w:val="nil"/>
          <w:bottom w:val="nil"/>
          <w:right w:val="nil"/>
          <w:between w:val="nil"/>
        </w:pBdr>
        <w:spacing w:before="60" w:after="240" w:line="36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Fonte: BCB (2025).</w:t>
      </w:r>
    </w:p>
    <w:p w:rsidR="00BC72BD" w:rsidRDefault="00BC72BD" w:rsidP="00BC72BD">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bookmarkStart w:id="5" w:name="_heading=h.utm87bujyg12" w:colFirst="0" w:colLast="0"/>
      <w:bookmarkEnd w:id="5"/>
      <w:r>
        <w:rPr>
          <w:rFonts w:ascii="Times New Roman" w:eastAsia="Times New Roman" w:hAnsi="Times New Roman" w:cs="Times New Roman"/>
          <w:sz w:val="24"/>
          <w:szCs w:val="24"/>
        </w:rPr>
        <w:t>Em 2024, os investimentos responderam por somente 7,2% do valor financiado relativo a itens diretamente vinculados à avicultura, conforme estabelecido na metodologia do presente artigo.  Por outro lado, o custeio respondeu por 79,9% do valor do mesmo ano, estando o restante distribuído entre as finalidades “Industrialização” (</w:t>
      </w:r>
      <w:r w:rsidR="00EF5FEB">
        <w:rPr>
          <w:rFonts w:ascii="Times New Roman" w:eastAsia="Times New Roman" w:hAnsi="Times New Roman" w:cs="Times New Roman"/>
          <w:sz w:val="24"/>
          <w:szCs w:val="24"/>
        </w:rPr>
        <w:t>7,0%) e “Comercialização” (5,9%).</w:t>
      </w:r>
      <w:r w:rsidR="00F85E60">
        <w:rPr>
          <w:rFonts w:ascii="Times New Roman" w:eastAsia="Times New Roman" w:hAnsi="Times New Roman" w:cs="Times New Roman"/>
          <w:sz w:val="24"/>
          <w:szCs w:val="24"/>
        </w:rPr>
        <w:t xml:space="preserve"> Tal cenário não é muito distinto daquele observado em 2013, quando 8,0% dos recursos de crédito </w:t>
      </w:r>
      <w:r w:rsidR="00F85E60">
        <w:rPr>
          <w:rFonts w:ascii="Times New Roman" w:eastAsia="Times New Roman" w:hAnsi="Times New Roman" w:cs="Times New Roman"/>
          <w:sz w:val="24"/>
          <w:szCs w:val="24"/>
        </w:rPr>
        <w:lastRenderedPageBreak/>
        <w:t>para essa atividade agropecuária destinaram-se a investimentos e 92,0% ao custeio.</w:t>
      </w:r>
      <w:r w:rsidR="0091615D">
        <w:rPr>
          <w:rFonts w:ascii="Times New Roman" w:eastAsia="Times New Roman" w:hAnsi="Times New Roman" w:cs="Times New Roman"/>
          <w:sz w:val="24"/>
          <w:szCs w:val="24"/>
        </w:rPr>
        <w:t xml:space="preserve"> Ao longo do período, observam-se algumas oscilações, em especial pela existência ou não de contratos de comercialização e industrialização</w:t>
      </w:r>
      <w:r w:rsidR="00046853">
        <w:rPr>
          <w:rFonts w:ascii="Times New Roman" w:eastAsia="Times New Roman" w:hAnsi="Times New Roman" w:cs="Times New Roman"/>
          <w:sz w:val="24"/>
          <w:szCs w:val="24"/>
        </w:rPr>
        <w:t xml:space="preserve">, que em determinados anos chegaram a representar montantes próximos a 30% (Figura 3). </w:t>
      </w:r>
    </w:p>
    <w:p w:rsidR="0091615D" w:rsidRDefault="0091615D" w:rsidP="0091615D">
      <w:pPr>
        <w:pBdr>
          <w:top w:val="nil"/>
          <w:left w:val="nil"/>
          <w:bottom w:val="nil"/>
          <w:right w:val="nil"/>
          <w:between w:val="nil"/>
        </w:pBdr>
        <w:spacing w:before="240" w:after="0" w:line="36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Figura 3</w:t>
      </w:r>
      <w:r>
        <w:rPr>
          <w:rFonts w:ascii="Times New Roman" w:eastAsia="Times New Roman" w:hAnsi="Times New Roman" w:cs="Times New Roman"/>
          <w:color w:val="000000"/>
          <w:sz w:val="24"/>
          <w:szCs w:val="24"/>
        </w:rPr>
        <w:t xml:space="preserve"> – Participação de cada finalidade no valor financiado anualmente - Avicultura</w:t>
      </w:r>
    </w:p>
    <w:p w:rsidR="00750840" w:rsidRDefault="0091615D" w:rsidP="0091615D">
      <w:pPr>
        <w:pBdr>
          <w:top w:val="nil"/>
          <w:left w:val="nil"/>
          <w:bottom w:val="nil"/>
          <w:right w:val="nil"/>
          <w:between w:val="nil"/>
        </w:pBdr>
        <w:spacing w:after="0" w:line="360" w:lineRule="auto"/>
        <w:ind w:right="-10"/>
        <w:jc w:val="both"/>
        <w:rPr>
          <w:rFonts w:ascii="Times New Roman" w:eastAsia="Times New Roman" w:hAnsi="Times New Roman" w:cs="Times New Roman"/>
          <w:sz w:val="24"/>
          <w:szCs w:val="24"/>
          <w:highlight w:val="yellow"/>
        </w:rPr>
      </w:pPr>
      <w:bookmarkStart w:id="6" w:name="_heading=h.7vogvlhhyq22" w:colFirst="0" w:colLast="0"/>
      <w:bookmarkEnd w:id="6"/>
      <w:r>
        <w:rPr>
          <w:noProof/>
        </w:rPr>
        <w:drawing>
          <wp:inline distT="0" distB="0" distL="0" distR="0" wp14:anchorId="698E74A5" wp14:editId="2847D57B">
            <wp:extent cx="5781675" cy="33528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615D" w:rsidRDefault="0091615D" w:rsidP="0091615D">
      <w:pPr>
        <w:pBdr>
          <w:top w:val="nil"/>
          <w:left w:val="nil"/>
          <w:bottom w:val="nil"/>
          <w:right w:val="nil"/>
          <w:between w:val="nil"/>
        </w:pBdr>
        <w:spacing w:after="240" w:line="360" w:lineRule="auto"/>
        <w:ind w:right="-11"/>
        <w:jc w:val="both"/>
        <w:rPr>
          <w:rFonts w:ascii="Times New Roman" w:eastAsia="Times New Roman" w:hAnsi="Times New Roman" w:cs="Times New Roman"/>
          <w:color w:val="000000"/>
          <w:sz w:val="24"/>
          <w:szCs w:val="24"/>
        </w:rPr>
      </w:pPr>
      <w:bookmarkStart w:id="7" w:name="_heading=h.n0yg4b1gx83r" w:colFirst="0" w:colLast="0"/>
      <w:bookmarkEnd w:id="7"/>
      <w:r>
        <w:rPr>
          <w:rFonts w:ascii="Times New Roman" w:eastAsia="Times New Roman" w:hAnsi="Times New Roman" w:cs="Times New Roman"/>
          <w:color w:val="000000"/>
          <w:sz w:val="24"/>
          <w:szCs w:val="24"/>
        </w:rPr>
        <w:t>Fonte: elaborado pelo autor, a partir de dados do BCB (2025).</w:t>
      </w:r>
    </w:p>
    <w:p w:rsidR="00046853" w:rsidRDefault="00046853" w:rsidP="00046853">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Contudo, se considerarmos apenas os recursos de custeio e investimento, o predomínio absoluto do custeio é quebrado somente em 2020, quando os investimentos responderam por 70,5% dos recursos alocados na avicultura. Índices expressivos também foram registrados em 2021 e 2022 (22,6% e 23,7%, respectivamente). Não é objetivo do presente estudo adentrar na análise das razões para tais variações abruptas no período mencionado, mas recomenda-se a realização de estudos adicionais com tal finalidade.</w:t>
      </w:r>
    </w:p>
    <w:p w:rsidR="00B56EB9" w:rsidRDefault="00AF2B61" w:rsidP="00046853">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sidR="00B56EB9">
        <w:rPr>
          <w:rFonts w:ascii="Times New Roman" w:eastAsia="Times New Roman" w:hAnsi="Times New Roman" w:cs="Times New Roman"/>
          <w:sz w:val="24"/>
          <w:szCs w:val="24"/>
        </w:rPr>
        <w:t>s 12 anos analisados, 7</w:t>
      </w:r>
      <w:r>
        <w:rPr>
          <w:rFonts w:ascii="Times New Roman" w:eastAsia="Times New Roman" w:hAnsi="Times New Roman" w:cs="Times New Roman"/>
          <w:sz w:val="24"/>
          <w:szCs w:val="24"/>
        </w:rPr>
        <w:t>9</w:t>
      </w:r>
      <w:r w:rsidR="00B56EB9">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B56EB9">
        <w:rPr>
          <w:rFonts w:ascii="Times New Roman" w:eastAsia="Times New Roman" w:hAnsi="Times New Roman" w:cs="Times New Roman"/>
          <w:sz w:val="24"/>
          <w:szCs w:val="24"/>
        </w:rPr>
        <w:t>% dos recursos de crédito para a avicultura destinaram-se a custeio</w:t>
      </w:r>
      <w:r w:rsidR="00DB104D">
        <w:rPr>
          <w:rFonts w:ascii="Times New Roman" w:eastAsia="Times New Roman" w:hAnsi="Times New Roman" w:cs="Times New Roman"/>
          <w:sz w:val="24"/>
          <w:szCs w:val="24"/>
        </w:rPr>
        <w:t>, 13,1% para investimentos, 4,2% para comercialização e 3,6% para industrialização</w:t>
      </w:r>
      <w:r>
        <w:rPr>
          <w:rFonts w:ascii="Times New Roman" w:eastAsia="Times New Roman" w:hAnsi="Times New Roman" w:cs="Times New Roman"/>
          <w:sz w:val="24"/>
          <w:szCs w:val="24"/>
        </w:rPr>
        <w:t xml:space="preserve">. </w:t>
      </w:r>
    </w:p>
    <w:p w:rsidR="00DB104D" w:rsidRDefault="00DB104D" w:rsidP="000B2939">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já ressaltado anteriormente, o formato de apresentação dos dados não permite distinguir a avicultura de corte da avicultura de postura, o que resulta da impossibilidade de conclusões mais apuradas, já que essas duas cadeias, embora tenham no centro a mesma espécie animal, possuem características totalmente distintas, principalmente no que diz respeito </w:t>
      </w:r>
      <w:r w:rsidR="000B2939">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relação com as agroindústrias. </w:t>
      </w:r>
      <w:r w:rsidR="000B2939">
        <w:rPr>
          <w:rFonts w:ascii="Times New Roman" w:eastAsia="Times New Roman" w:hAnsi="Times New Roman" w:cs="Times New Roman"/>
          <w:sz w:val="24"/>
          <w:szCs w:val="24"/>
        </w:rPr>
        <w:t xml:space="preserve">Corroborando essa perspectiva, Amaral </w:t>
      </w:r>
      <w:r w:rsidR="000B2939" w:rsidRPr="000B2939">
        <w:rPr>
          <w:rFonts w:ascii="Times New Roman" w:eastAsia="Times New Roman" w:hAnsi="Times New Roman" w:cs="Times New Roman"/>
          <w:i/>
          <w:sz w:val="24"/>
          <w:szCs w:val="24"/>
        </w:rPr>
        <w:t>et al</w:t>
      </w:r>
      <w:r w:rsidR="000B2939">
        <w:rPr>
          <w:rFonts w:ascii="Times New Roman" w:eastAsia="Times New Roman" w:hAnsi="Times New Roman" w:cs="Times New Roman"/>
          <w:sz w:val="24"/>
          <w:szCs w:val="24"/>
        </w:rPr>
        <w:t xml:space="preserve"> (2014) ressaltam que, </w:t>
      </w:r>
      <w:r w:rsidR="000B2939">
        <w:rPr>
          <w:rFonts w:ascii="Times New Roman" w:eastAsia="Times New Roman" w:hAnsi="Times New Roman" w:cs="Times New Roman"/>
          <w:sz w:val="24"/>
          <w:szCs w:val="24"/>
        </w:rPr>
        <w:lastRenderedPageBreak/>
        <w:t>d</w:t>
      </w:r>
      <w:r w:rsidR="000B2939" w:rsidRPr="000B2939">
        <w:rPr>
          <w:rFonts w:ascii="Times New Roman" w:eastAsia="Times New Roman" w:hAnsi="Times New Roman" w:cs="Times New Roman"/>
          <w:sz w:val="24"/>
          <w:szCs w:val="24"/>
        </w:rPr>
        <w:t xml:space="preserve">iferentemente </w:t>
      </w:r>
      <w:r w:rsidR="000B2939">
        <w:rPr>
          <w:rFonts w:ascii="Times New Roman" w:eastAsia="Times New Roman" w:hAnsi="Times New Roman" w:cs="Times New Roman"/>
          <w:sz w:val="24"/>
          <w:szCs w:val="24"/>
        </w:rPr>
        <w:t>do</w:t>
      </w:r>
      <w:r w:rsidR="000B2939" w:rsidRPr="000B2939">
        <w:rPr>
          <w:rFonts w:ascii="Times New Roman" w:eastAsia="Times New Roman" w:hAnsi="Times New Roman" w:cs="Times New Roman"/>
          <w:sz w:val="24"/>
          <w:szCs w:val="24"/>
        </w:rPr>
        <w:t xml:space="preserve"> corte, </w:t>
      </w:r>
      <w:r w:rsidR="000B2939">
        <w:rPr>
          <w:rFonts w:ascii="Times New Roman" w:eastAsia="Times New Roman" w:hAnsi="Times New Roman" w:cs="Times New Roman"/>
          <w:sz w:val="24"/>
          <w:szCs w:val="24"/>
        </w:rPr>
        <w:t>no modelo de</w:t>
      </w:r>
      <w:r w:rsidR="000B2939" w:rsidRPr="000B2939">
        <w:rPr>
          <w:rFonts w:ascii="Times New Roman" w:eastAsia="Times New Roman" w:hAnsi="Times New Roman" w:cs="Times New Roman"/>
          <w:sz w:val="24"/>
          <w:szCs w:val="24"/>
        </w:rPr>
        <w:t xml:space="preserve"> </w:t>
      </w:r>
      <w:r w:rsidR="000B2939">
        <w:rPr>
          <w:rFonts w:ascii="Times New Roman" w:eastAsia="Times New Roman" w:hAnsi="Times New Roman" w:cs="Times New Roman"/>
          <w:sz w:val="24"/>
          <w:szCs w:val="24"/>
        </w:rPr>
        <w:t xml:space="preserve">avicultura de </w:t>
      </w:r>
      <w:r w:rsidR="000B2939" w:rsidRPr="000B2939">
        <w:rPr>
          <w:rFonts w:ascii="Times New Roman" w:eastAsia="Times New Roman" w:hAnsi="Times New Roman" w:cs="Times New Roman"/>
          <w:sz w:val="24"/>
          <w:szCs w:val="24"/>
        </w:rPr>
        <w:t xml:space="preserve">postura </w:t>
      </w:r>
      <w:r w:rsidR="000B2939">
        <w:rPr>
          <w:rFonts w:ascii="Times New Roman" w:eastAsia="Times New Roman" w:hAnsi="Times New Roman" w:cs="Times New Roman"/>
          <w:sz w:val="24"/>
          <w:szCs w:val="24"/>
        </w:rPr>
        <w:t>amplamente adotado no Brasil</w:t>
      </w:r>
      <w:r w:rsidR="000B2939" w:rsidRPr="000B2939">
        <w:rPr>
          <w:rFonts w:ascii="Times New Roman" w:eastAsia="Times New Roman" w:hAnsi="Times New Roman" w:cs="Times New Roman"/>
          <w:sz w:val="24"/>
          <w:szCs w:val="24"/>
        </w:rPr>
        <w:t xml:space="preserve"> o sistema de</w:t>
      </w:r>
      <w:r w:rsidR="000B2939">
        <w:rPr>
          <w:rFonts w:ascii="Times New Roman" w:eastAsia="Times New Roman" w:hAnsi="Times New Roman" w:cs="Times New Roman"/>
          <w:sz w:val="24"/>
          <w:szCs w:val="24"/>
        </w:rPr>
        <w:t xml:space="preserve"> </w:t>
      </w:r>
      <w:r w:rsidR="000B2939" w:rsidRPr="000B2939">
        <w:rPr>
          <w:rFonts w:ascii="Times New Roman" w:eastAsia="Times New Roman" w:hAnsi="Times New Roman" w:cs="Times New Roman"/>
          <w:sz w:val="24"/>
          <w:szCs w:val="24"/>
        </w:rPr>
        <w:t xml:space="preserve">integração é pouco </w:t>
      </w:r>
      <w:r w:rsidR="000B2939">
        <w:rPr>
          <w:rFonts w:ascii="Times New Roman" w:eastAsia="Times New Roman" w:hAnsi="Times New Roman" w:cs="Times New Roman"/>
          <w:sz w:val="24"/>
          <w:szCs w:val="24"/>
        </w:rPr>
        <w:t>utilizado</w:t>
      </w:r>
      <w:r w:rsidR="000B2939" w:rsidRPr="000B2939">
        <w:rPr>
          <w:rFonts w:ascii="Times New Roman" w:eastAsia="Times New Roman" w:hAnsi="Times New Roman" w:cs="Times New Roman"/>
          <w:sz w:val="24"/>
          <w:szCs w:val="24"/>
        </w:rPr>
        <w:t>, predominando a produção verticalizada, na qual</w:t>
      </w:r>
      <w:r w:rsidR="000B2939">
        <w:rPr>
          <w:rFonts w:ascii="Times New Roman" w:eastAsia="Times New Roman" w:hAnsi="Times New Roman" w:cs="Times New Roman"/>
          <w:sz w:val="24"/>
          <w:szCs w:val="24"/>
        </w:rPr>
        <w:t xml:space="preserve"> </w:t>
      </w:r>
      <w:r w:rsidR="000B2939" w:rsidRPr="000B2939">
        <w:rPr>
          <w:rFonts w:ascii="Times New Roman" w:eastAsia="Times New Roman" w:hAnsi="Times New Roman" w:cs="Times New Roman"/>
          <w:sz w:val="24"/>
          <w:szCs w:val="24"/>
        </w:rPr>
        <w:t>o produtor é também o processador de seus ovos.</w:t>
      </w:r>
    </w:p>
    <w:p w:rsidR="001D1146" w:rsidRDefault="000B5ECB" w:rsidP="000B2939">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comportamento do crédito para a suinocultura apresenta algumas semelhanças em relação à avicultura, conforme veremos adiante, mas também com características específicas, em especial nos últimos quatro anos. Dos recursos destinados à atividade em 2024, verifica-se que apenas 4,8% destinam-se a investimentos, enquanto 43,9% foram utilizados para custeio. A parcela mais expressiva do crédito do ano em questão foi utilizada para a finalidade “Industrialização” (50,2%), enquanto os recursos de comercialização somaram 1,2%</w:t>
      </w:r>
      <w:r w:rsidR="00CA309A">
        <w:rPr>
          <w:rFonts w:ascii="Times New Roman" w:eastAsia="Times New Roman" w:hAnsi="Times New Roman" w:cs="Times New Roman"/>
          <w:sz w:val="24"/>
          <w:szCs w:val="24"/>
        </w:rPr>
        <w:t xml:space="preserve"> (Figura 4)</w:t>
      </w:r>
      <w:r>
        <w:rPr>
          <w:rFonts w:ascii="Times New Roman" w:eastAsia="Times New Roman" w:hAnsi="Times New Roman" w:cs="Times New Roman"/>
          <w:sz w:val="24"/>
          <w:szCs w:val="24"/>
        </w:rPr>
        <w:t>. Desde 2021 tem se verificado expressiva participação dos recursos para industrialização no total financiado no âmbito dessa atividade.</w:t>
      </w:r>
      <w:r w:rsidR="00CA309A">
        <w:rPr>
          <w:rFonts w:ascii="Times New Roman" w:eastAsia="Times New Roman" w:hAnsi="Times New Roman" w:cs="Times New Roman"/>
          <w:sz w:val="24"/>
          <w:szCs w:val="24"/>
        </w:rPr>
        <w:t xml:space="preserve"> Na avicultura também há anos com participação relevante dos recursos de industrialização, mas esse movimento não parece ter tanta consistência e continuidade quanto na suinocultura, além da participação ser maior na segunda.</w:t>
      </w:r>
    </w:p>
    <w:p w:rsidR="0091615D" w:rsidRDefault="0091615D" w:rsidP="0091615D">
      <w:pPr>
        <w:pBdr>
          <w:top w:val="nil"/>
          <w:left w:val="nil"/>
          <w:bottom w:val="nil"/>
          <w:right w:val="nil"/>
          <w:between w:val="nil"/>
        </w:pBdr>
        <w:spacing w:before="240" w:after="0" w:line="36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Figura 4</w:t>
      </w:r>
      <w:r>
        <w:rPr>
          <w:rFonts w:ascii="Times New Roman" w:eastAsia="Times New Roman" w:hAnsi="Times New Roman" w:cs="Times New Roman"/>
          <w:color w:val="000000"/>
          <w:sz w:val="24"/>
          <w:szCs w:val="24"/>
        </w:rPr>
        <w:t xml:space="preserve"> – Participação de cada finalidade no valor financiado anualmente - Suinocultura</w:t>
      </w:r>
    </w:p>
    <w:p w:rsidR="0091615D" w:rsidRDefault="000B5ECB" w:rsidP="0091615D">
      <w:pPr>
        <w:pBdr>
          <w:top w:val="nil"/>
          <w:left w:val="nil"/>
          <w:bottom w:val="nil"/>
          <w:right w:val="nil"/>
          <w:between w:val="nil"/>
        </w:pBdr>
        <w:spacing w:after="0" w:line="360" w:lineRule="auto"/>
        <w:ind w:right="-11"/>
        <w:jc w:val="both"/>
        <w:rPr>
          <w:rFonts w:ascii="Times New Roman" w:eastAsia="Times New Roman" w:hAnsi="Times New Roman" w:cs="Times New Roman"/>
          <w:color w:val="000000"/>
          <w:sz w:val="24"/>
          <w:szCs w:val="24"/>
        </w:rPr>
      </w:pPr>
      <w:r>
        <w:rPr>
          <w:noProof/>
        </w:rPr>
        <w:drawing>
          <wp:inline distT="0" distB="0" distL="0" distR="0" wp14:anchorId="573053D5" wp14:editId="307B3EBF">
            <wp:extent cx="5743575" cy="3781425"/>
            <wp:effectExtent l="0" t="0" r="9525"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615D" w:rsidRDefault="0091615D" w:rsidP="0091615D">
      <w:pPr>
        <w:pBdr>
          <w:top w:val="nil"/>
          <w:left w:val="nil"/>
          <w:bottom w:val="nil"/>
          <w:right w:val="nil"/>
          <w:between w:val="nil"/>
        </w:pBdr>
        <w:spacing w:after="240" w:line="36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Fonte: elaborado pelo autor, a partir de dados do BCB (2025).</w:t>
      </w:r>
    </w:p>
    <w:p w:rsidR="00556745" w:rsidRDefault="00CA309A" w:rsidP="00556745">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exceção de 2024, há um claro predomínio dos recursos de custeio. Os recursos de investimento se mantém em patamares baixos na maior parte do período analisado, com exceção</w:t>
      </w:r>
      <w:r w:rsidR="00556745">
        <w:rPr>
          <w:rFonts w:ascii="Times New Roman" w:eastAsia="Times New Roman" w:hAnsi="Times New Roman" w:cs="Times New Roman"/>
          <w:sz w:val="24"/>
          <w:szCs w:val="24"/>
        </w:rPr>
        <w:t xml:space="preserve"> de 2017</w:t>
      </w:r>
      <w:r>
        <w:rPr>
          <w:rFonts w:ascii="Times New Roman" w:eastAsia="Times New Roman" w:hAnsi="Times New Roman" w:cs="Times New Roman"/>
          <w:sz w:val="24"/>
          <w:szCs w:val="24"/>
        </w:rPr>
        <w:t xml:space="preserve"> a 2021, quando </w:t>
      </w:r>
      <w:r w:rsidR="00556745">
        <w:rPr>
          <w:rFonts w:ascii="Times New Roman" w:eastAsia="Times New Roman" w:hAnsi="Times New Roman" w:cs="Times New Roman"/>
          <w:sz w:val="24"/>
          <w:szCs w:val="24"/>
        </w:rPr>
        <w:t xml:space="preserve">apresentam tendência de crescimento até atingir o ápice de 38,1% em </w:t>
      </w:r>
      <w:r w:rsidR="00556745">
        <w:rPr>
          <w:rFonts w:ascii="Times New Roman" w:eastAsia="Times New Roman" w:hAnsi="Times New Roman" w:cs="Times New Roman"/>
          <w:sz w:val="24"/>
          <w:szCs w:val="24"/>
        </w:rPr>
        <w:lastRenderedPageBreak/>
        <w:t xml:space="preserve">2020. Vale destacar que os investimentos para a avicultura também apresentaram seu ápice de participação em 2020, sendo recomendável uma análise mais detalhada sobre as razões desses fenômenos. De 2022 em diante, os investimentos novamente registraram participação bastante reduzida. </w:t>
      </w:r>
    </w:p>
    <w:p w:rsidR="0091615D" w:rsidRDefault="00CA309A" w:rsidP="00556745">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12 anos analisados, 7</w:t>
      </w:r>
      <w:r w:rsidR="00556745">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556745">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dos recursos de crédito para a </w:t>
      </w:r>
      <w:r w:rsidR="00556745">
        <w:rPr>
          <w:rFonts w:ascii="Times New Roman" w:eastAsia="Times New Roman" w:hAnsi="Times New Roman" w:cs="Times New Roman"/>
          <w:sz w:val="24"/>
          <w:szCs w:val="24"/>
        </w:rPr>
        <w:t>suinocultura</w:t>
      </w:r>
      <w:r>
        <w:rPr>
          <w:rFonts w:ascii="Times New Roman" w:eastAsia="Times New Roman" w:hAnsi="Times New Roman" w:cs="Times New Roman"/>
          <w:sz w:val="24"/>
          <w:szCs w:val="24"/>
        </w:rPr>
        <w:t xml:space="preserve"> destinaram-se a</w:t>
      </w:r>
      <w:r w:rsidR="00556745">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custeio</w:t>
      </w:r>
      <w:r w:rsidR="00556745">
        <w:rPr>
          <w:rFonts w:ascii="Times New Roman" w:eastAsia="Times New Roman" w:hAnsi="Times New Roman" w:cs="Times New Roman"/>
          <w:sz w:val="24"/>
          <w:szCs w:val="24"/>
        </w:rPr>
        <w:t xml:space="preserve"> da atividade</w:t>
      </w:r>
      <w:r>
        <w:rPr>
          <w:rFonts w:ascii="Times New Roman" w:eastAsia="Times New Roman" w:hAnsi="Times New Roman" w:cs="Times New Roman"/>
          <w:sz w:val="24"/>
          <w:szCs w:val="24"/>
        </w:rPr>
        <w:t xml:space="preserve">, </w:t>
      </w:r>
      <w:r w:rsidR="00556745">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,6% para </w:t>
      </w:r>
      <w:r w:rsidR="0055674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industrialização</w:t>
      </w:r>
      <w:r w:rsidR="00556745">
        <w:rPr>
          <w:rFonts w:ascii="Times New Roman" w:eastAsia="Times New Roman" w:hAnsi="Times New Roman" w:cs="Times New Roman"/>
          <w:sz w:val="24"/>
          <w:szCs w:val="24"/>
        </w:rPr>
        <w:t>, 10,3% para investimentos e 1,2% para comercialização</w:t>
      </w:r>
      <w:r>
        <w:rPr>
          <w:rFonts w:ascii="Times New Roman" w:eastAsia="Times New Roman" w:hAnsi="Times New Roman" w:cs="Times New Roman"/>
          <w:sz w:val="24"/>
          <w:szCs w:val="24"/>
        </w:rPr>
        <w:t>.</w:t>
      </w:r>
    </w:p>
    <w:p w:rsidR="00ED285E" w:rsidRDefault="00ED285E" w:rsidP="00ED285E">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Embora o sistema de integração seja predominante na suinocultura catarinense, os suinocultores independentes </w:t>
      </w:r>
      <w:r w:rsidR="00D47FBF">
        <w:rPr>
          <w:rFonts w:ascii="Times New Roman" w:eastAsia="Times New Roman" w:hAnsi="Times New Roman" w:cs="Times New Roman"/>
          <w:sz w:val="24"/>
          <w:szCs w:val="24"/>
        </w:rPr>
        <w:t xml:space="preserve">ainda possuem </w:t>
      </w:r>
      <w:r>
        <w:rPr>
          <w:rFonts w:ascii="Times New Roman" w:eastAsia="Times New Roman" w:hAnsi="Times New Roman" w:cs="Times New Roman"/>
          <w:sz w:val="24"/>
          <w:szCs w:val="24"/>
        </w:rPr>
        <w:t>participação</w:t>
      </w:r>
      <w:r w:rsidR="00D47FBF">
        <w:rPr>
          <w:rFonts w:ascii="Times New Roman" w:eastAsia="Times New Roman" w:hAnsi="Times New Roman" w:cs="Times New Roman"/>
          <w:sz w:val="24"/>
          <w:szCs w:val="24"/>
        </w:rPr>
        <w:t xml:space="preserve"> relevante, seja no total de produtores ou no volume de produção</w:t>
      </w:r>
      <w:r>
        <w:rPr>
          <w:rFonts w:ascii="Times New Roman" w:eastAsia="Times New Roman" w:hAnsi="Times New Roman" w:cs="Times New Roman"/>
          <w:sz w:val="24"/>
          <w:szCs w:val="24"/>
        </w:rPr>
        <w:t>.</w:t>
      </w:r>
      <w:r w:rsidR="00D47FBF">
        <w:rPr>
          <w:rFonts w:ascii="Times New Roman" w:eastAsia="Times New Roman" w:hAnsi="Times New Roman" w:cs="Times New Roman"/>
          <w:sz w:val="24"/>
          <w:szCs w:val="24"/>
        </w:rPr>
        <w:t xml:space="preserve"> Tendo em vista que os principais custos de produção da suinocultura integrada são de responsabilidade da integradora, conforme já detalhado anteriormente, é possível supor que grande parte do crédito destinado ao custeio da atividade seja acessado pelos produtores independentes</w:t>
      </w:r>
      <w:r w:rsidRPr="000B2939">
        <w:rPr>
          <w:rFonts w:ascii="Times New Roman" w:eastAsia="Times New Roman" w:hAnsi="Times New Roman" w:cs="Times New Roman"/>
          <w:sz w:val="24"/>
          <w:szCs w:val="24"/>
        </w:rPr>
        <w:t>.</w:t>
      </w:r>
      <w:r w:rsidR="00BC2EFD">
        <w:rPr>
          <w:rFonts w:ascii="Times New Roman" w:eastAsia="Times New Roman" w:hAnsi="Times New Roman" w:cs="Times New Roman"/>
          <w:sz w:val="24"/>
          <w:szCs w:val="24"/>
        </w:rPr>
        <w:t xml:space="preserve"> </w:t>
      </w:r>
      <w:r w:rsidR="001F6948">
        <w:rPr>
          <w:rFonts w:ascii="Times New Roman" w:eastAsia="Times New Roman" w:hAnsi="Times New Roman" w:cs="Times New Roman"/>
          <w:sz w:val="24"/>
          <w:szCs w:val="24"/>
        </w:rPr>
        <w:t>Contudo, há necessidade aprofundamento das análises para que essa hipótese seja ratificada ou refutada.</w:t>
      </w:r>
    </w:p>
    <w:p w:rsidR="00B555AB" w:rsidRDefault="00B555AB" w:rsidP="00ED285E">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Quanto aos recursos de industrialização, vale destacar o perfil da cadeia produtiva da suinocultura catarinense. De acordo com estudo de Giehl e Mondardo (2019), o setor de abates de suínos de Santa Catarina apresenta uma grande diversidade em termos de tamanho e perfil de </w:t>
      </w:r>
      <w:r w:rsidR="00007A07">
        <w:rPr>
          <w:rFonts w:ascii="Times New Roman" w:eastAsia="Times New Roman" w:hAnsi="Times New Roman" w:cs="Times New Roman"/>
          <w:sz w:val="24"/>
          <w:szCs w:val="24"/>
        </w:rPr>
        <w:t>abatedouros</w:t>
      </w:r>
      <w:r>
        <w:rPr>
          <w:rFonts w:ascii="Times New Roman" w:eastAsia="Times New Roman" w:hAnsi="Times New Roman" w:cs="Times New Roman"/>
          <w:sz w:val="24"/>
          <w:szCs w:val="24"/>
        </w:rPr>
        <w:t xml:space="preserve">. </w:t>
      </w:r>
      <w:r w:rsidR="00007A07">
        <w:rPr>
          <w:rFonts w:ascii="Times New Roman" w:eastAsia="Times New Roman" w:hAnsi="Times New Roman" w:cs="Times New Roman"/>
          <w:sz w:val="24"/>
          <w:szCs w:val="24"/>
        </w:rPr>
        <w:t>De acordo com os autores, há grande número de estabelecimentos de pequeno e médio porte, a maioria deles com inspeção estadual ou municipal, não obstante o fato de quase 90% dos animais serem abatidos em estabelecimentos com inspeção federal, a maioria de grande porte. Para que se tenha uma ideia, dos 146 abatedouros existentes em 2018, 62% abatiam menos de 10 mil suínos por ano, o que equivale a menos de 40 animais por dia útil.</w:t>
      </w:r>
      <w:r w:rsidR="000D4B04">
        <w:rPr>
          <w:rFonts w:ascii="Times New Roman" w:eastAsia="Times New Roman" w:hAnsi="Times New Roman" w:cs="Times New Roman"/>
          <w:sz w:val="24"/>
          <w:szCs w:val="24"/>
        </w:rPr>
        <w:t xml:space="preserve"> A presença desse conjunto diverso de estabelecimentos tende a demandar acesso a crédito controlado para a realização de ampliações ou reestruturações, haja vista a baixa capitalização das unidades de porte pequeno e médio. Contudo, não aprofundaremos tal análise no presente trabalho, podendo a mesma ser objeto de estudos futuros.</w:t>
      </w:r>
    </w:p>
    <w:p w:rsidR="00E04079" w:rsidRDefault="00E04079" w:rsidP="00E04079">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analisa-se as características do crédito para a bovinocultura, que apresenta um padrão próprio de evolução, como veremos na sequência. Conforme evidencia a figura 5, em 2013 pouco mais da metade (50,8%) dos recursos destinados à bovinocultura destinavam-se ao custeio da atividade, com 37,4% sendo utilizados para investimentos e 11,8% para comercialização. Esse cenário manteve-se estável no ano seguinte. Contudo, a partir de 2015 verifica-se uma gradativa redução da participação dos montantes destinados a investimentos e a maior presença do crédito de custeio. A participação dos recursos de comercialização também </w:t>
      </w:r>
      <w:r>
        <w:rPr>
          <w:rFonts w:ascii="Times New Roman" w:eastAsia="Times New Roman" w:hAnsi="Times New Roman" w:cs="Times New Roman"/>
          <w:sz w:val="24"/>
          <w:szCs w:val="24"/>
        </w:rPr>
        <w:lastRenderedPageBreak/>
        <w:t xml:space="preserve">foi sendo gradativamente reduzida, enquanto </w:t>
      </w:r>
      <w:r w:rsidR="00B555AB">
        <w:rPr>
          <w:rFonts w:ascii="Times New Roman" w:eastAsia="Times New Roman" w:hAnsi="Times New Roman" w:cs="Times New Roman"/>
          <w:sz w:val="24"/>
          <w:szCs w:val="24"/>
        </w:rPr>
        <w:t>o crédito para industrialização passou a se fazer presente de forma constante depois de 2016.</w:t>
      </w:r>
    </w:p>
    <w:p w:rsidR="0091615D" w:rsidRDefault="0091615D" w:rsidP="0091615D">
      <w:pPr>
        <w:pBdr>
          <w:top w:val="nil"/>
          <w:left w:val="nil"/>
          <w:bottom w:val="nil"/>
          <w:right w:val="nil"/>
          <w:between w:val="nil"/>
        </w:pBdr>
        <w:spacing w:before="240" w:after="0" w:line="36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Figura 5</w:t>
      </w:r>
      <w:r>
        <w:rPr>
          <w:rFonts w:ascii="Times New Roman" w:eastAsia="Times New Roman" w:hAnsi="Times New Roman" w:cs="Times New Roman"/>
          <w:color w:val="000000"/>
          <w:sz w:val="24"/>
          <w:szCs w:val="24"/>
        </w:rPr>
        <w:t xml:space="preserve"> – Participação de cada finalidade no valor financiado anualmente - Bovinocultura</w:t>
      </w:r>
    </w:p>
    <w:p w:rsidR="0091615D" w:rsidRDefault="0091615D" w:rsidP="0091615D">
      <w:pPr>
        <w:pBdr>
          <w:top w:val="nil"/>
          <w:left w:val="nil"/>
          <w:bottom w:val="nil"/>
          <w:right w:val="nil"/>
          <w:between w:val="nil"/>
        </w:pBdr>
        <w:spacing w:after="0" w:line="360" w:lineRule="auto"/>
        <w:ind w:right="-11"/>
        <w:jc w:val="both"/>
        <w:rPr>
          <w:rFonts w:ascii="Times New Roman" w:eastAsia="Times New Roman" w:hAnsi="Times New Roman" w:cs="Times New Roman"/>
          <w:color w:val="000000"/>
          <w:sz w:val="24"/>
          <w:szCs w:val="24"/>
        </w:rPr>
      </w:pPr>
      <w:r>
        <w:rPr>
          <w:noProof/>
        </w:rPr>
        <w:drawing>
          <wp:inline distT="0" distB="0" distL="0" distR="0" wp14:anchorId="750C0438" wp14:editId="5CA16CF4">
            <wp:extent cx="5715000" cy="35814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615D" w:rsidRDefault="0091615D" w:rsidP="0091615D">
      <w:pPr>
        <w:pBdr>
          <w:top w:val="nil"/>
          <w:left w:val="nil"/>
          <w:bottom w:val="nil"/>
          <w:right w:val="nil"/>
          <w:between w:val="nil"/>
        </w:pBdr>
        <w:spacing w:after="240" w:line="36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Fonte: elaborado pelo autor, a partir de dados do BCB (2025).</w:t>
      </w:r>
    </w:p>
    <w:p w:rsidR="000D4B04" w:rsidRDefault="000D4B04" w:rsidP="000D4B04">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os dados do Banco Central, no período de 12 anos analisado no presente estudo, 79,1% dos recursos de crédito para a suinocultura destinaram-se ao custeio da atividade, 13,1% para investimentos, 4,2% para comercialização e 3,6% para a industrialização.</w:t>
      </w:r>
    </w:p>
    <w:p w:rsidR="004F2422" w:rsidRDefault="00986B1F" w:rsidP="000D4B04">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sidRPr="004F2422">
        <w:rPr>
          <w:rFonts w:ascii="Times New Roman" w:eastAsia="Times New Roman" w:hAnsi="Times New Roman" w:cs="Times New Roman"/>
          <w:sz w:val="24"/>
          <w:szCs w:val="24"/>
        </w:rPr>
        <w:t>Assim como no caso da avicultura,</w:t>
      </w:r>
      <w:r w:rsidR="004F2422">
        <w:rPr>
          <w:rFonts w:ascii="Times New Roman" w:eastAsia="Times New Roman" w:hAnsi="Times New Roman" w:cs="Times New Roman"/>
          <w:sz w:val="24"/>
          <w:szCs w:val="24"/>
        </w:rPr>
        <w:t xml:space="preserve"> a bovinocultura também reúne duas cadeias produtivas que, embora estejam baseadas na mesma espécie animal, apresentam características distintas. Os dados disponibilizados pelo Banco Central não permitem uma distinção precisa entre os recursos aplicados na bovinocultura de corte e na bovinocultura de leite, com exceção de alguns poucos itens.</w:t>
      </w:r>
      <w:r w:rsidR="00E90EA8">
        <w:rPr>
          <w:rFonts w:ascii="Times New Roman" w:eastAsia="Times New Roman" w:hAnsi="Times New Roman" w:cs="Times New Roman"/>
          <w:sz w:val="24"/>
          <w:szCs w:val="24"/>
        </w:rPr>
        <w:t xml:space="preserve"> </w:t>
      </w:r>
      <w:r w:rsidR="005F3350">
        <w:rPr>
          <w:rFonts w:ascii="Times New Roman" w:eastAsia="Times New Roman" w:hAnsi="Times New Roman" w:cs="Times New Roman"/>
          <w:sz w:val="24"/>
          <w:szCs w:val="24"/>
        </w:rPr>
        <w:t>Essa condição dificulta uma análise aprofundada sobre o comportamento do crédito para essa atividade, sendo recomendável a realização de estudos adicionais e o uso de fontes de dados complementares, de forma a superar essas limitações.</w:t>
      </w:r>
    </w:p>
    <w:p w:rsidR="00750840" w:rsidRDefault="00CA309A" w:rsidP="005F3350">
      <w:pPr>
        <w:pBdr>
          <w:top w:val="nil"/>
          <w:left w:val="nil"/>
          <w:bottom w:val="nil"/>
          <w:right w:val="nil"/>
          <w:between w:val="nil"/>
        </w:pBdr>
        <w:spacing w:before="360" w:after="240" w:line="36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CONSIDERAÇÕES FINAIS</w:t>
      </w:r>
    </w:p>
    <w:p w:rsidR="005F3350" w:rsidRPr="005F3350" w:rsidRDefault="005F3350" w:rsidP="005F3350">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sidRPr="005F3350">
        <w:rPr>
          <w:rFonts w:ascii="Times New Roman" w:eastAsia="Times New Roman" w:hAnsi="Times New Roman" w:cs="Times New Roman"/>
          <w:sz w:val="24"/>
          <w:szCs w:val="24"/>
        </w:rPr>
        <w:t xml:space="preserve">A análise do crédito rural </w:t>
      </w:r>
      <w:r>
        <w:rPr>
          <w:rFonts w:ascii="Times New Roman" w:eastAsia="Times New Roman" w:hAnsi="Times New Roman" w:cs="Times New Roman"/>
          <w:sz w:val="24"/>
          <w:szCs w:val="24"/>
        </w:rPr>
        <w:t xml:space="preserve">para a pecuária </w:t>
      </w:r>
      <w:r w:rsidRPr="005F3350">
        <w:rPr>
          <w:rFonts w:ascii="Times New Roman" w:eastAsia="Times New Roman" w:hAnsi="Times New Roman" w:cs="Times New Roman"/>
          <w:sz w:val="24"/>
          <w:szCs w:val="24"/>
        </w:rPr>
        <w:t xml:space="preserve">em Santa Catarina entre 2013 e 2024 revela transformações significativas no volume de recursos financiados e no número de contratos </w:t>
      </w:r>
      <w:r w:rsidRPr="005F3350">
        <w:rPr>
          <w:rFonts w:ascii="Times New Roman" w:eastAsia="Times New Roman" w:hAnsi="Times New Roman" w:cs="Times New Roman"/>
          <w:sz w:val="24"/>
          <w:szCs w:val="24"/>
        </w:rPr>
        <w:lastRenderedPageBreak/>
        <w:t>celebrados. Embora o número de contratos tenha apresentado uma tendência de queda ao longo da maior parte do período, com redução de 32,4% em relação a 2013, o valor financiado cresceu expressivamente, atingindo R$ 20,89 bilhões em 2024, aumento de 130,4% em relação ao início da série histórica. Esse cenário reflete uma maior concentração de recursos em contratos de maior valor, especialmente na agricultura, cujo valor médio dos contratos aumentou 421,6% no período, enquanto na pecuária o crescimento foi de 91,3%. Essa dinâmica sugere uma mudança no perfil dos financiamentos, com maior foco em investimentos de maior escala.</w:t>
      </w:r>
    </w:p>
    <w:p w:rsidR="001A1C83" w:rsidRDefault="005F3350" w:rsidP="005F3350">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sidRPr="005F3350">
        <w:rPr>
          <w:rFonts w:ascii="Times New Roman" w:eastAsia="Times New Roman" w:hAnsi="Times New Roman" w:cs="Times New Roman"/>
          <w:sz w:val="24"/>
          <w:szCs w:val="24"/>
        </w:rPr>
        <w:t xml:space="preserve">A pecuária manteve-se como uma atividade central no crédito rural catarinense, respondendo por quase metade do valor financiado em 2024 (49,5%), patamar semelhante ao observado em 2013 (50,8%). No entanto, a distribuição dos recursos entre as atividades agropecuárias variou ao longo do período, com a bovinocultura emergindo como a principal beneficiária, representando 52,9% do valor financiado em 2024. A avicultura e a suinocultura, embora sejam atividades de grande relevância econômica no estado, apresentam menor dependência do crédito rural, especialmente devido ao modelo de integração predominante nessas cadeias, que transfere parte significativa dos custos </w:t>
      </w:r>
      <w:r w:rsidR="001A1C83">
        <w:rPr>
          <w:rFonts w:ascii="Times New Roman" w:eastAsia="Times New Roman" w:hAnsi="Times New Roman" w:cs="Times New Roman"/>
          <w:sz w:val="24"/>
          <w:szCs w:val="24"/>
        </w:rPr>
        <w:t xml:space="preserve">de operação </w:t>
      </w:r>
      <w:r w:rsidRPr="005F3350">
        <w:rPr>
          <w:rFonts w:ascii="Times New Roman" w:eastAsia="Times New Roman" w:hAnsi="Times New Roman" w:cs="Times New Roman"/>
          <w:sz w:val="24"/>
          <w:szCs w:val="24"/>
        </w:rPr>
        <w:t xml:space="preserve">para as agroindústrias. </w:t>
      </w:r>
    </w:p>
    <w:p w:rsidR="001A1C83" w:rsidRDefault="001A1C83" w:rsidP="005F3350">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Embora a literatura aponte que, na avicultura e suinocultura, a maior demanda por crédito normalmente se dê para a construção dos galpões e aquisição de equipamentos, </w:t>
      </w:r>
      <w:r w:rsidR="008C27BA">
        <w:rPr>
          <w:rFonts w:ascii="Times New Roman" w:eastAsia="Times New Roman" w:hAnsi="Times New Roman" w:cs="Times New Roman"/>
          <w:sz w:val="24"/>
          <w:szCs w:val="24"/>
        </w:rPr>
        <w:t>despesas cuja responsabilidade cabe ao produtor, o que a análise dos dados demonstrou é que a maior parcela dos recursos aplicados nessas duas atividades nos últimos 12 anos destinou-se a despesas de custeio: 74,6% na avicultura e 72,9% na suinocultura, enquanto os gastos com investimentos ficaram pouco acima de 10% em ambos os casos.</w:t>
      </w:r>
    </w:p>
    <w:p w:rsidR="008C27BA" w:rsidRDefault="008C27BA" w:rsidP="005F3350">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 cenário</w:t>
      </w:r>
      <w:r w:rsidR="00BA3C74">
        <w:rPr>
          <w:rFonts w:ascii="Times New Roman" w:eastAsia="Times New Roman" w:hAnsi="Times New Roman" w:cs="Times New Roman"/>
          <w:sz w:val="24"/>
          <w:szCs w:val="24"/>
        </w:rPr>
        <w:t xml:space="preserve"> provavelmente está relacionado a características específicas dessas atividades, não afetas à integração. No caso da avicultura, é necessário ressaltar que</w:t>
      </w:r>
      <w:r w:rsidR="003737E4">
        <w:rPr>
          <w:rFonts w:ascii="Times New Roman" w:eastAsia="Times New Roman" w:hAnsi="Times New Roman" w:cs="Times New Roman"/>
          <w:sz w:val="24"/>
          <w:szCs w:val="24"/>
        </w:rPr>
        <w:t xml:space="preserve"> os dados disponíveis </w:t>
      </w:r>
      <w:r w:rsidR="00BA3C74">
        <w:rPr>
          <w:rFonts w:ascii="Times New Roman" w:eastAsia="Times New Roman" w:hAnsi="Times New Roman" w:cs="Times New Roman"/>
          <w:sz w:val="24"/>
          <w:szCs w:val="24"/>
        </w:rPr>
        <w:t xml:space="preserve">não </w:t>
      </w:r>
      <w:r w:rsidR="003737E4">
        <w:rPr>
          <w:rFonts w:ascii="Times New Roman" w:eastAsia="Times New Roman" w:hAnsi="Times New Roman" w:cs="Times New Roman"/>
          <w:sz w:val="24"/>
          <w:szCs w:val="24"/>
        </w:rPr>
        <w:t>permitem</w:t>
      </w:r>
      <w:r w:rsidR="00BA3C74">
        <w:rPr>
          <w:rFonts w:ascii="Times New Roman" w:eastAsia="Times New Roman" w:hAnsi="Times New Roman" w:cs="Times New Roman"/>
          <w:sz w:val="24"/>
          <w:szCs w:val="24"/>
        </w:rPr>
        <w:t xml:space="preserve"> distinção entre corte e postura, o que pode levar </w:t>
      </w:r>
      <w:r w:rsidR="003737E4">
        <w:rPr>
          <w:rFonts w:ascii="Times New Roman" w:eastAsia="Times New Roman" w:hAnsi="Times New Roman" w:cs="Times New Roman"/>
          <w:sz w:val="24"/>
          <w:szCs w:val="24"/>
        </w:rPr>
        <w:t>a interpretações imprecisas. Diferentemente da avicultura de corte, a cadeia produtiva da postura possui baixo grau de integração, o que leva a distinções na dinâmica de funcionamento e na necessidade de crédito. A suinocultura, por sua vez, ainda conta com uma presença expressiva de produtores não integrados, que possuem demandas de crédito diversas daquelas normalmente associadas aos integrados.</w:t>
      </w:r>
    </w:p>
    <w:p w:rsidR="007036E7" w:rsidRDefault="003737E4" w:rsidP="005F3350">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sidRPr="005F3350">
        <w:rPr>
          <w:rFonts w:ascii="Times New Roman" w:eastAsia="Times New Roman" w:hAnsi="Times New Roman" w:cs="Times New Roman"/>
          <w:sz w:val="24"/>
          <w:szCs w:val="24"/>
        </w:rPr>
        <w:t xml:space="preserve">A bovinocultura, </w:t>
      </w:r>
      <w:r>
        <w:rPr>
          <w:rFonts w:ascii="Times New Roman" w:eastAsia="Times New Roman" w:hAnsi="Times New Roman" w:cs="Times New Roman"/>
          <w:sz w:val="24"/>
          <w:szCs w:val="24"/>
        </w:rPr>
        <w:t>outro lado</w:t>
      </w:r>
      <w:r w:rsidRPr="005F3350">
        <w:rPr>
          <w:rFonts w:ascii="Times New Roman" w:eastAsia="Times New Roman" w:hAnsi="Times New Roman" w:cs="Times New Roman"/>
          <w:sz w:val="24"/>
          <w:szCs w:val="24"/>
        </w:rPr>
        <w:t>, demanda maior atenção devido à sua dependência de recursos para custeio e investimentos.</w:t>
      </w:r>
      <w:r w:rsidR="00DB22E3">
        <w:rPr>
          <w:rFonts w:ascii="Times New Roman" w:eastAsia="Times New Roman" w:hAnsi="Times New Roman" w:cs="Times New Roman"/>
          <w:sz w:val="24"/>
          <w:szCs w:val="24"/>
        </w:rPr>
        <w:t xml:space="preserve"> Prova disso é o fato de que, embora ocupe a terceira posição no ranking estadual de atividades agropecuárias, tomando como base o valor da produção, é a principal demandadora de crédito. Do total acessado ao longo do período analisado, 79,1% </w:t>
      </w:r>
      <w:r w:rsidR="007036E7">
        <w:rPr>
          <w:rFonts w:ascii="Times New Roman" w:eastAsia="Times New Roman" w:hAnsi="Times New Roman" w:cs="Times New Roman"/>
          <w:sz w:val="24"/>
          <w:szCs w:val="24"/>
        </w:rPr>
        <w:t xml:space="preserve">destinaram-se ao custeio e 13,1% a investimentos nessa atividade. Contudo, </w:t>
      </w:r>
      <w:r w:rsidR="005D4A7F">
        <w:rPr>
          <w:rFonts w:ascii="Times New Roman" w:eastAsia="Times New Roman" w:hAnsi="Times New Roman" w:cs="Times New Roman"/>
          <w:sz w:val="24"/>
          <w:szCs w:val="24"/>
        </w:rPr>
        <w:t xml:space="preserve">a limitação na </w:t>
      </w:r>
      <w:r w:rsidR="005D4A7F">
        <w:rPr>
          <w:rFonts w:ascii="Times New Roman" w:eastAsia="Times New Roman" w:hAnsi="Times New Roman" w:cs="Times New Roman"/>
          <w:sz w:val="24"/>
          <w:szCs w:val="24"/>
        </w:rPr>
        <w:lastRenderedPageBreak/>
        <w:t xml:space="preserve">separação entre o crédito destinado à bovinocultura de leite e de corte dificulta a realização de </w:t>
      </w:r>
      <w:r w:rsidR="007036E7">
        <w:rPr>
          <w:rFonts w:ascii="Times New Roman" w:eastAsia="Times New Roman" w:hAnsi="Times New Roman" w:cs="Times New Roman"/>
          <w:sz w:val="24"/>
          <w:szCs w:val="24"/>
        </w:rPr>
        <w:t>análises</w:t>
      </w:r>
      <w:r w:rsidR="005D4A7F">
        <w:rPr>
          <w:rFonts w:ascii="Times New Roman" w:eastAsia="Times New Roman" w:hAnsi="Times New Roman" w:cs="Times New Roman"/>
          <w:sz w:val="24"/>
          <w:szCs w:val="24"/>
        </w:rPr>
        <w:t xml:space="preserve"> mais criteriosas e detalhadas.</w:t>
      </w:r>
    </w:p>
    <w:p w:rsidR="005D4A7F" w:rsidRDefault="005D4A7F" w:rsidP="005F3350">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Há que se ressaltar ainda que, além das limitações citadas anteriormente, parcela significativa dos recursos se direciona a itens que não estão, a priori, associados a uma ou outra atividade, como é o caso de veículos, tratores, materiais e equipamentos. Em 2024, 17,8% dos recursos enquadravam-se nessa categoria (denominada de “Não identificada/não específica” no presente estudo), o que equivale a R$ 1,84 bilhão. É bastante provável que parte expressiva desses itens seja utilizada, de forma exclusiva ou complementar, em alguma das atividades agropecuárias analisadas neste artigo, o que pode afetar as conclusões. Contudo, </w:t>
      </w:r>
      <w:r w:rsidR="001329F6">
        <w:rPr>
          <w:rFonts w:ascii="Times New Roman" w:eastAsia="Times New Roman" w:hAnsi="Times New Roman" w:cs="Times New Roman"/>
          <w:sz w:val="24"/>
          <w:szCs w:val="24"/>
        </w:rPr>
        <w:t>as restrições metodológicas criam uma barreira à realização de análises mais precisas.</w:t>
      </w:r>
    </w:p>
    <w:p w:rsidR="005F3350" w:rsidRPr="005F3350" w:rsidRDefault="005F3350" w:rsidP="005F3350">
      <w:pPr>
        <w:pBdr>
          <w:top w:val="nil"/>
          <w:left w:val="nil"/>
          <w:bottom w:val="nil"/>
          <w:right w:val="nil"/>
          <w:between w:val="nil"/>
        </w:pBdr>
        <w:spacing w:after="0" w:line="360" w:lineRule="auto"/>
        <w:ind w:right="-10" w:firstLine="567"/>
        <w:jc w:val="both"/>
        <w:rPr>
          <w:rFonts w:ascii="Times New Roman" w:eastAsia="Times New Roman" w:hAnsi="Times New Roman" w:cs="Times New Roman"/>
          <w:sz w:val="24"/>
          <w:szCs w:val="24"/>
        </w:rPr>
      </w:pPr>
      <w:r w:rsidRPr="005F3350">
        <w:rPr>
          <w:rFonts w:ascii="Times New Roman" w:eastAsia="Times New Roman" w:hAnsi="Times New Roman" w:cs="Times New Roman"/>
          <w:sz w:val="24"/>
          <w:szCs w:val="24"/>
        </w:rPr>
        <w:t xml:space="preserve">Por fim, a análise do crédito rural em Santa Catarina </w:t>
      </w:r>
      <w:r w:rsidR="003737E4">
        <w:rPr>
          <w:rFonts w:ascii="Times New Roman" w:eastAsia="Times New Roman" w:hAnsi="Times New Roman" w:cs="Times New Roman"/>
          <w:sz w:val="24"/>
          <w:szCs w:val="24"/>
        </w:rPr>
        <w:t>demonstrou</w:t>
      </w:r>
      <w:r w:rsidRPr="005F3350">
        <w:rPr>
          <w:rFonts w:ascii="Times New Roman" w:eastAsia="Times New Roman" w:hAnsi="Times New Roman" w:cs="Times New Roman"/>
          <w:sz w:val="24"/>
          <w:szCs w:val="24"/>
        </w:rPr>
        <w:t xml:space="preserve"> a importância de</w:t>
      </w:r>
      <w:r w:rsidR="003737E4">
        <w:rPr>
          <w:rFonts w:ascii="Times New Roman" w:eastAsia="Times New Roman" w:hAnsi="Times New Roman" w:cs="Times New Roman"/>
          <w:sz w:val="24"/>
          <w:szCs w:val="24"/>
        </w:rPr>
        <w:t>ssa</w:t>
      </w:r>
      <w:r w:rsidRPr="005F3350">
        <w:rPr>
          <w:rFonts w:ascii="Times New Roman" w:eastAsia="Times New Roman" w:hAnsi="Times New Roman" w:cs="Times New Roman"/>
          <w:sz w:val="24"/>
          <w:szCs w:val="24"/>
        </w:rPr>
        <w:t xml:space="preserve"> política pública </w:t>
      </w:r>
      <w:r w:rsidR="003737E4">
        <w:rPr>
          <w:rFonts w:ascii="Times New Roman" w:eastAsia="Times New Roman" w:hAnsi="Times New Roman" w:cs="Times New Roman"/>
          <w:sz w:val="24"/>
          <w:szCs w:val="24"/>
        </w:rPr>
        <w:t>para o desenvolvimento das principais atividades econômicas do rural catarinense</w:t>
      </w:r>
      <w:r w:rsidRPr="005F3350">
        <w:rPr>
          <w:rFonts w:ascii="Times New Roman" w:eastAsia="Times New Roman" w:hAnsi="Times New Roman" w:cs="Times New Roman"/>
          <w:sz w:val="24"/>
          <w:szCs w:val="24"/>
        </w:rPr>
        <w:t xml:space="preserve">. </w:t>
      </w:r>
      <w:r w:rsidR="00DB22E3">
        <w:rPr>
          <w:rFonts w:ascii="Times New Roman" w:eastAsia="Times New Roman" w:hAnsi="Times New Roman" w:cs="Times New Roman"/>
          <w:sz w:val="24"/>
          <w:szCs w:val="24"/>
        </w:rPr>
        <w:t>Contudo</w:t>
      </w:r>
      <w:r w:rsidRPr="005F3350">
        <w:rPr>
          <w:rFonts w:ascii="Times New Roman" w:eastAsia="Times New Roman" w:hAnsi="Times New Roman" w:cs="Times New Roman"/>
          <w:sz w:val="24"/>
          <w:szCs w:val="24"/>
        </w:rPr>
        <w:t xml:space="preserve">, a limitação dos dados disponíveis, que dificulta a segmentação precisa entre atividades e finalidades, reforça a necessidade de aprimoramentos metodológicos e de </w:t>
      </w:r>
      <w:r w:rsidR="00DB22E3">
        <w:rPr>
          <w:rFonts w:ascii="Times New Roman" w:eastAsia="Times New Roman" w:hAnsi="Times New Roman" w:cs="Times New Roman"/>
          <w:sz w:val="24"/>
          <w:szCs w:val="24"/>
        </w:rPr>
        <w:t>busca de fontes complementares</w:t>
      </w:r>
      <w:r w:rsidRPr="005F3350">
        <w:rPr>
          <w:rFonts w:ascii="Times New Roman" w:eastAsia="Times New Roman" w:hAnsi="Times New Roman" w:cs="Times New Roman"/>
          <w:sz w:val="24"/>
          <w:szCs w:val="24"/>
        </w:rPr>
        <w:t xml:space="preserve">, de modo a permitir análises mais detalhadas e </w:t>
      </w:r>
      <w:r w:rsidR="00DB22E3">
        <w:rPr>
          <w:rFonts w:ascii="Times New Roman" w:eastAsia="Times New Roman" w:hAnsi="Times New Roman" w:cs="Times New Roman"/>
          <w:sz w:val="24"/>
          <w:szCs w:val="24"/>
        </w:rPr>
        <w:t xml:space="preserve">a caracterização precisa da relação entre o </w:t>
      </w:r>
      <w:r w:rsidRPr="005F3350">
        <w:rPr>
          <w:rFonts w:ascii="Times New Roman" w:eastAsia="Times New Roman" w:hAnsi="Times New Roman" w:cs="Times New Roman"/>
          <w:sz w:val="24"/>
          <w:szCs w:val="24"/>
        </w:rPr>
        <w:t>setor agropecuário catarinense</w:t>
      </w:r>
      <w:r w:rsidR="00DB22E3">
        <w:rPr>
          <w:rFonts w:ascii="Times New Roman" w:eastAsia="Times New Roman" w:hAnsi="Times New Roman" w:cs="Times New Roman"/>
          <w:sz w:val="24"/>
          <w:szCs w:val="24"/>
        </w:rPr>
        <w:t xml:space="preserve"> e a política de crédito rural, possibilitando a identificação de eventuais gargalos e a proposição de ajustes</w:t>
      </w:r>
      <w:r w:rsidRPr="005F3350">
        <w:rPr>
          <w:rFonts w:ascii="Times New Roman" w:eastAsia="Times New Roman" w:hAnsi="Times New Roman" w:cs="Times New Roman"/>
          <w:sz w:val="24"/>
          <w:szCs w:val="24"/>
        </w:rPr>
        <w:t>.</w:t>
      </w:r>
    </w:p>
    <w:p w:rsidR="00750840" w:rsidRDefault="00CA309A" w:rsidP="005F3350">
      <w:pPr>
        <w:pBdr>
          <w:top w:val="nil"/>
          <w:left w:val="nil"/>
          <w:bottom w:val="nil"/>
          <w:right w:val="nil"/>
          <w:between w:val="nil"/>
        </w:pBdr>
        <w:spacing w:before="360" w:after="240" w:line="36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REFERÊNCIAS BIBLIOGRÁFICAS</w:t>
      </w:r>
    </w:p>
    <w:p w:rsidR="000B2939" w:rsidRDefault="000B2939" w:rsidP="000B2939">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AMARAL, G.; GUIMARÃES, D.; NASCIMENTO, J.C.; CUSTÓDIO, S. </w:t>
      </w:r>
      <w:r w:rsidRPr="000B2939">
        <w:rPr>
          <w:rFonts w:ascii="Times New Roman" w:eastAsia="Times New Roman" w:hAnsi="Times New Roman" w:cs="Times New Roman"/>
          <w:sz w:val="24"/>
          <w:szCs w:val="24"/>
        </w:rPr>
        <w:t>Avicultura de postura: estrutura da cadeia</w:t>
      </w:r>
      <w:r>
        <w:rPr>
          <w:rFonts w:ascii="Times New Roman" w:eastAsia="Times New Roman" w:hAnsi="Times New Roman" w:cs="Times New Roman"/>
          <w:sz w:val="24"/>
          <w:szCs w:val="24"/>
        </w:rPr>
        <w:t xml:space="preserve"> </w:t>
      </w:r>
      <w:r w:rsidRPr="000B2939">
        <w:rPr>
          <w:rFonts w:ascii="Times New Roman" w:eastAsia="Times New Roman" w:hAnsi="Times New Roman" w:cs="Times New Roman"/>
          <w:sz w:val="24"/>
          <w:szCs w:val="24"/>
        </w:rPr>
        <w:t>produtiva, panorama do setor no Brasil e no mundo</w:t>
      </w:r>
      <w:r>
        <w:rPr>
          <w:rFonts w:ascii="Times New Roman" w:eastAsia="Times New Roman" w:hAnsi="Times New Roman" w:cs="Times New Roman"/>
          <w:sz w:val="24"/>
          <w:szCs w:val="24"/>
        </w:rPr>
        <w:t xml:space="preserve"> </w:t>
      </w:r>
      <w:r w:rsidRPr="000B2939">
        <w:rPr>
          <w:rFonts w:ascii="Times New Roman" w:eastAsia="Times New Roman" w:hAnsi="Times New Roman" w:cs="Times New Roman"/>
          <w:sz w:val="24"/>
          <w:szCs w:val="24"/>
        </w:rPr>
        <w:t>e o apoio do BNDES</w:t>
      </w:r>
      <w:r>
        <w:rPr>
          <w:rFonts w:ascii="Times New Roman" w:eastAsia="Times New Roman" w:hAnsi="Times New Roman" w:cs="Times New Roman"/>
          <w:sz w:val="24"/>
          <w:szCs w:val="24"/>
        </w:rPr>
        <w:t xml:space="preserve">. </w:t>
      </w:r>
      <w:r w:rsidRPr="001D1146">
        <w:rPr>
          <w:rFonts w:ascii="Times New Roman" w:eastAsia="Times New Roman" w:hAnsi="Times New Roman" w:cs="Times New Roman"/>
          <w:sz w:val="24"/>
          <w:szCs w:val="24"/>
          <w:u w:val="single"/>
        </w:rPr>
        <w:t>In</w:t>
      </w:r>
      <w:r>
        <w:rPr>
          <w:rFonts w:ascii="Times New Roman" w:eastAsia="Times New Roman" w:hAnsi="Times New Roman" w:cs="Times New Roman"/>
          <w:sz w:val="24"/>
          <w:szCs w:val="24"/>
        </w:rPr>
        <w:t xml:space="preserve">: </w:t>
      </w:r>
      <w:r w:rsidRPr="000B2939">
        <w:rPr>
          <w:rFonts w:ascii="Times New Roman" w:eastAsia="Times New Roman" w:hAnsi="Times New Roman" w:cs="Times New Roman"/>
          <w:b/>
          <w:sz w:val="24"/>
          <w:szCs w:val="24"/>
        </w:rPr>
        <w:t>BNDES Setorial</w:t>
      </w:r>
      <w:r>
        <w:rPr>
          <w:rFonts w:ascii="Times New Roman" w:eastAsia="Times New Roman" w:hAnsi="Times New Roman" w:cs="Times New Roman"/>
          <w:sz w:val="24"/>
          <w:szCs w:val="24"/>
        </w:rPr>
        <w:t xml:space="preserve">, </w:t>
      </w:r>
      <w:r w:rsidR="001D1146">
        <w:rPr>
          <w:rFonts w:ascii="Times New Roman" w:eastAsia="Times New Roman" w:hAnsi="Times New Roman" w:cs="Times New Roman"/>
          <w:sz w:val="24"/>
          <w:szCs w:val="24"/>
        </w:rPr>
        <w:t xml:space="preserve">Rio de Janeiro: BNDES, </w:t>
      </w:r>
      <w:r>
        <w:rPr>
          <w:rFonts w:ascii="Times New Roman" w:eastAsia="Times New Roman" w:hAnsi="Times New Roman" w:cs="Times New Roman"/>
          <w:sz w:val="24"/>
          <w:szCs w:val="24"/>
        </w:rPr>
        <w:t>n.</w:t>
      </w:r>
      <w:r w:rsidRPr="000B2939">
        <w:rPr>
          <w:rFonts w:ascii="Times New Roman" w:eastAsia="Times New Roman" w:hAnsi="Times New Roman" w:cs="Times New Roman"/>
          <w:sz w:val="24"/>
          <w:szCs w:val="24"/>
        </w:rPr>
        <w:t xml:space="preserve"> 43, </w:t>
      </w:r>
      <w:r w:rsidR="001D1146">
        <w:rPr>
          <w:rFonts w:ascii="Times New Roman" w:eastAsia="Times New Roman" w:hAnsi="Times New Roman" w:cs="Times New Roman"/>
          <w:sz w:val="24"/>
          <w:szCs w:val="24"/>
        </w:rPr>
        <w:t xml:space="preserve">mar.2016, </w:t>
      </w:r>
      <w:r w:rsidRPr="000B2939">
        <w:rPr>
          <w:rFonts w:ascii="Times New Roman" w:eastAsia="Times New Roman" w:hAnsi="Times New Roman" w:cs="Times New Roman"/>
          <w:sz w:val="24"/>
          <w:szCs w:val="24"/>
        </w:rPr>
        <w:t>p. 167-207</w:t>
      </w:r>
      <w:r w:rsidR="001D1146">
        <w:rPr>
          <w:rFonts w:ascii="Times New Roman" w:eastAsia="Times New Roman" w:hAnsi="Times New Roman" w:cs="Times New Roman"/>
          <w:sz w:val="24"/>
          <w:szCs w:val="24"/>
        </w:rPr>
        <w:t>.</w:t>
      </w:r>
    </w:p>
    <w:p w:rsidR="00750840" w:rsidRDefault="00CA309A">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BACHA, C. J. C.; SILVA, G. S. Os novos instrumentos de financiamento do agronegócio. In: </w:t>
      </w:r>
      <w:r>
        <w:rPr>
          <w:rFonts w:ascii="Times New Roman" w:eastAsia="Times New Roman" w:hAnsi="Times New Roman" w:cs="Times New Roman"/>
          <w:b/>
          <w:sz w:val="24"/>
          <w:szCs w:val="24"/>
        </w:rPr>
        <w:t>Agroanalysis</w:t>
      </w:r>
      <w:r>
        <w:rPr>
          <w:rFonts w:ascii="Times New Roman" w:eastAsia="Times New Roman" w:hAnsi="Times New Roman" w:cs="Times New Roman"/>
          <w:sz w:val="24"/>
          <w:szCs w:val="24"/>
        </w:rPr>
        <w:t>, Rio de Janeiro, v. 25, n. 9, p. 36-38, set. 2005.</w:t>
      </w:r>
    </w:p>
    <w:p w:rsidR="00750840" w:rsidRDefault="00CA309A">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BCB. Banco Central do Brasil. </w:t>
      </w:r>
      <w:r>
        <w:rPr>
          <w:rFonts w:ascii="Times New Roman" w:eastAsia="Times New Roman" w:hAnsi="Times New Roman" w:cs="Times New Roman"/>
          <w:b/>
          <w:sz w:val="24"/>
          <w:szCs w:val="24"/>
        </w:rPr>
        <w:t>Tabelas de crédito rural</w:t>
      </w:r>
      <w:r>
        <w:rPr>
          <w:rFonts w:ascii="Times New Roman" w:eastAsia="Times New Roman" w:hAnsi="Times New Roman" w:cs="Times New Roman"/>
          <w:sz w:val="24"/>
          <w:szCs w:val="24"/>
        </w:rPr>
        <w:t>. Disponível em:</w:t>
      </w:r>
      <w:hyperlink r:id="rId14">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https://www.bcb.gov.br/</w:t>
      </w:r>
      <w:r>
        <w:rPr>
          <w:rFonts w:ascii="Times New Roman" w:eastAsia="Times New Roman" w:hAnsi="Times New Roman" w:cs="Times New Roman"/>
          <w:sz w:val="24"/>
          <w:szCs w:val="24"/>
        </w:rPr>
        <w:t>. Acesso em: 16 de fevereiro de 2025.</w:t>
      </w:r>
    </w:p>
    <w:p w:rsidR="00750840" w:rsidRDefault="00CA309A">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BELIK, W. </w:t>
      </w:r>
      <w:r>
        <w:rPr>
          <w:rFonts w:ascii="Times New Roman" w:eastAsia="Times New Roman" w:hAnsi="Times New Roman" w:cs="Times New Roman"/>
          <w:b/>
          <w:sz w:val="24"/>
          <w:szCs w:val="24"/>
        </w:rPr>
        <w:t>O Financiamento da Agropecuária Brasileira no Período Recente</w:t>
      </w:r>
      <w:r>
        <w:rPr>
          <w:rFonts w:ascii="Times New Roman" w:eastAsia="Times New Roman" w:hAnsi="Times New Roman" w:cs="Times New Roman"/>
          <w:sz w:val="24"/>
          <w:szCs w:val="24"/>
        </w:rPr>
        <w:t>. Brasília: Instituto de Pesquisa Econômica Aplicada – IPEA, 2015.</w:t>
      </w:r>
    </w:p>
    <w:p w:rsidR="00750840" w:rsidRDefault="00CA309A">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COELHO, Carlos N.; BORGES, Marisa. O Complexo Agro-industrial (CAI) da avicultura. In: </w:t>
      </w:r>
      <w:r>
        <w:rPr>
          <w:rFonts w:ascii="Times New Roman" w:eastAsia="Times New Roman" w:hAnsi="Times New Roman" w:cs="Times New Roman"/>
          <w:b/>
          <w:sz w:val="24"/>
          <w:szCs w:val="24"/>
        </w:rPr>
        <w:t>Revista de Política Agrícola</w:t>
      </w:r>
      <w:r>
        <w:rPr>
          <w:rFonts w:ascii="Times New Roman" w:eastAsia="Times New Roman" w:hAnsi="Times New Roman" w:cs="Times New Roman"/>
          <w:sz w:val="24"/>
          <w:szCs w:val="24"/>
        </w:rPr>
        <w:t xml:space="preserve">, São Paulo, v. 8, n. 3, jul./ago./set. 1999, p. 10-22. </w:t>
      </w:r>
    </w:p>
    <w:p w:rsidR="00750840" w:rsidRDefault="00CA309A">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DORNELAS, L.N.D. Evolução da política de crédito rural no Brasil: uma análise histórica. In: </w:t>
      </w:r>
      <w:r>
        <w:rPr>
          <w:rFonts w:ascii="Times New Roman" w:eastAsia="Times New Roman" w:hAnsi="Times New Roman" w:cs="Times New Roman"/>
          <w:b/>
          <w:sz w:val="24"/>
          <w:szCs w:val="24"/>
        </w:rPr>
        <w:t>Extensão Rural</w:t>
      </w:r>
      <w:r>
        <w:rPr>
          <w:rFonts w:ascii="Times New Roman" w:eastAsia="Times New Roman" w:hAnsi="Times New Roman" w:cs="Times New Roman"/>
          <w:sz w:val="24"/>
          <w:szCs w:val="24"/>
        </w:rPr>
        <w:t>, DEAER – CCR – UFSM, Santa Maria, v.27, n.2, abr./jun. 2020.</w:t>
      </w:r>
    </w:p>
    <w:p w:rsidR="00750840" w:rsidRDefault="00CA309A">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EMBRAPA/CIAS. </w:t>
      </w:r>
      <w:r>
        <w:rPr>
          <w:rFonts w:ascii="Times New Roman" w:eastAsia="Times New Roman" w:hAnsi="Times New Roman" w:cs="Times New Roman"/>
          <w:b/>
          <w:sz w:val="24"/>
          <w:szCs w:val="24"/>
        </w:rPr>
        <w:t>Custos de produção de suínos e frangos de corte por estado</w:t>
      </w:r>
      <w:r>
        <w:rPr>
          <w:rFonts w:ascii="Times New Roman" w:eastAsia="Times New Roman" w:hAnsi="Times New Roman" w:cs="Times New Roman"/>
          <w:sz w:val="24"/>
          <w:szCs w:val="24"/>
        </w:rPr>
        <w:t xml:space="preserve">. Disponível em: </w:t>
      </w:r>
      <w:hyperlink r:id="rId15">
        <w:r>
          <w:rPr>
            <w:rFonts w:ascii="Times New Roman" w:eastAsia="Times New Roman" w:hAnsi="Times New Roman" w:cs="Times New Roman"/>
            <w:color w:val="0000FF"/>
            <w:sz w:val="24"/>
            <w:szCs w:val="24"/>
            <w:u w:val="single"/>
          </w:rPr>
          <w:t>https://www.embrapa.br/suinos-e-aves/cias</w:t>
        </w:r>
      </w:hyperlink>
      <w:r>
        <w:rPr>
          <w:rFonts w:ascii="Times New Roman" w:eastAsia="Times New Roman" w:hAnsi="Times New Roman" w:cs="Times New Roman"/>
          <w:sz w:val="24"/>
          <w:szCs w:val="24"/>
        </w:rPr>
        <w:t xml:space="preserve">. Acesso em: 22 de fevereiro de 2025. </w:t>
      </w:r>
    </w:p>
    <w:p w:rsidR="00750840" w:rsidRDefault="00CA309A">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EPAGRI/CEPA. </w:t>
      </w:r>
      <w:r>
        <w:rPr>
          <w:rFonts w:ascii="Times New Roman" w:eastAsia="Times New Roman" w:hAnsi="Times New Roman" w:cs="Times New Roman"/>
          <w:b/>
          <w:sz w:val="24"/>
          <w:szCs w:val="24"/>
        </w:rPr>
        <w:t>Síntese Anual da Agricultura de Santa Catarina.</w:t>
      </w:r>
      <w:r>
        <w:rPr>
          <w:rFonts w:ascii="Times New Roman" w:eastAsia="Times New Roman" w:hAnsi="Times New Roman" w:cs="Times New Roman"/>
          <w:sz w:val="24"/>
          <w:szCs w:val="24"/>
        </w:rPr>
        <w:t xml:space="preserve"> v.1, Florianópolis: Epagri/Cepa, 2024.</w:t>
      </w:r>
    </w:p>
    <w:p w:rsidR="005F3350" w:rsidRDefault="005F3350" w:rsidP="005F3350">
      <w:pPr>
        <w:spacing w:before="240" w:after="240" w:line="288"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xml:space="preserve">GIEHL, A.L.; MONDARDO, M. Evolução do abate de suínos em Santa Catarina (2013/2018): entre a consolidação e a concentração agroindustrial. </w:t>
      </w:r>
      <w:r>
        <w:rPr>
          <w:rFonts w:ascii="Times New Roman" w:eastAsia="Times New Roman" w:hAnsi="Times New Roman" w:cs="Times New Roman"/>
          <w:sz w:val="24"/>
          <w:szCs w:val="24"/>
          <w:u w:val="single"/>
        </w:rPr>
        <w:t>In</w:t>
      </w:r>
      <w:r>
        <w:rPr>
          <w:rFonts w:ascii="Times New Roman" w:eastAsia="Times New Roman" w:hAnsi="Times New Roman" w:cs="Times New Roman"/>
          <w:sz w:val="24"/>
          <w:szCs w:val="24"/>
        </w:rPr>
        <w:t xml:space="preserve">: Anais do </w:t>
      </w:r>
      <w:r>
        <w:rPr>
          <w:rFonts w:ascii="Times New Roman" w:eastAsia="Times New Roman" w:hAnsi="Times New Roman" w:cs="Times New Roman"/>
          <w:color w:val="000000"/>
          <w:sz w:val="24"/>
          <w:szCs w:val="24"/>
          <w:highlight w:val="white"/>
        </w:rPr>
        <w:t xml:space="preserve">XIII Encontro de Economia, Catarinense. </w:t>
      </w:r>
      <w:r>
        <w:rPr>
          <w:rFonts w:ascii="Times New Roman" w:eastAsia="Times New Roman" w:hAnsi="Times New Roman" w:cs="Times New Roman"/>
          <w:b/>
          <w:color w:val="000000"/>
          <w:sz w:val="24"/>
          <w:szCs w:val="24"/>
          <w:highlight w:val="white"/>
        </w:rPr>
        <w:t xml:space="preserve">Anais... </w:t>
      </w:r>
      <w:r>
        <w:rPr>
          <w:rFonts w:ascii="Times New Roman" w:eastAsia="Times New Roman" w:hAnsi="Times New Roman" w:cs="Times New Roman"/>
          <w:color w:val="000000"/>
          <w:sz w:val="24"/>
          <w:szCs w:val="24"/>
          <w:highlight w:val="white"/>
        </w:rPr>
        <w:t xml:space="preserve">Criciúma: APEC, 2019. </w:t>
      </w:r>
    </w:p>
    <w:p w:rsidR="00750840" w:rsidRDefault="00CA309A">
      <w:pPr>
        <w:spacing w:before="240" w:after="240" w:line="288"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xml:space="preserve">GIEHL, A.L.; MONDARDO, M. Caracterização e dinâmica do abate de frangos em Santa Catarina. </w:t>
      </w:r>
      <w:r>
        <w:rPr>
          <w:rFonts w:ascii="Times New Roman" w:eastAsia="Times New Roman" w:hAnsi="Times New Roman" w:cs="Times New Roman"/>
          <w:sz w:val="24"/>
          <w:szCs w:val="24"/>
          <w:u w:val="single"/>
        </w:rPr>
        <w:t>In</w:t>
      </w:r>
      <w:r>
        <w:rPr>
          <w:rFonts w:ascii="Times New Roman" w:eastAsia="Times New Roman" w:hAnsi="Times New Roman" w:cs="Times New Roman"/>
          <w:sz w:val="24"/>
          <w:szCs w:val="24"/>
        </w:rPr>
        <w:t xml:space="preserve">: Anais do </w:t>
      </w:r>
      <w:r>
        <w:rPr>
          <w:rFonts w:ascii="Times New Roman" w:eastAsia="Times New Roman" w:hAnsi="Times New Roman" w:cs="Times New Roman"/>
          <w:color w:val="000000"/>
          <w:sz w:val="24"/>
          <w:szCs w:val="24"/>
          <w:highlight w:val="white"/>
        </w:rPr>
        <w:t xml:space="preserve">59º Congresso da Sociedade Brasileira de Economia, Administração e Sociologia Rural (SOBER) &amp; 6º Encontro Brasileiro de Pesquisadores em Cooperativismo (EBPC). </w:t>
      </w:r>
      <w:r>
        <w:rPr>
          <w:rFonts w:ascii="Times New Roman" w:eastAsia="Times New Roman" w:hAnsi="Times New Roman" w:cs="Times New Roman"/>
          <w:b/>
          <w:color w:val="000000"/>
          <w:sz w:val="24"/>
          <w:szCs w:val="24"/>
          <w:highlight w:val="white"/>
        </w:rPr>
        <w:t>Anais...</w:t>
      </w:r>
      <w:r w:rsidR="005F3350">
        <w:rPr>
          <w:rFonts w:ascii="Times New Roman" w:eastAsia="Times New Roman" w:hAnsi="Times New Roman" w:cs="Times New Roman"/>
          <w:b/>
          <w:color w:val="000000"/>
          <w:sz w:val="24"/>
          <w:szCs w:val="24"/>
          <w:highlight w:val="white"/>
        </w:rPr>
        <w:t xml:space="preserve"> </w:t>
      </w:r>
      <w:r w:rsidR="005F3350">
        <w:rPr>
          <w:rFonts w:ascii="Times New Roman" w:eastAsia="Times New Roman" w:hAnsi="Times New Roman" w:cs="Times New Roman"/>
          <w:color w:val="000000"/>
          <w:sz w:val="24"/>
          <w:szCs w:val="24"/>
          <w:highlight w:val="white"/>
        </w:rPr>
        <w:t>Brasília:</w:t>
      </w:r>
      <w:r>
        <w:rPr>
          <w:rFonts w:ascii="Times New Roman" w:eastAsia="Times New Roman" w:hAnsi="Times New Roman" w:cs="Times New Roman"/>
          <w:color w:val="000000"/>
          <w:sz w:val="24"/>
          <w:szCs w:val="24"/>
          <w:highlight w:val="white"/>
        </w:rPr>
        <w:t xml:space="preserve"> UnB, 2021. Disponível em: </w:t>
      </w:r>
      <w:hyperlink r:id="rId16">
        <w:r>
          <w:rPr>
            <w:rFonts w:ascii="Times New Roman" w:eastAsia="Times New Roman" w:hAnsi="Times New Roman" w:cs="Times New Roman"/>
            <w:color w:val="0000FF"/>
            <w:sz w:val="24"/>
            <w:szCs w:val="24"/>
            <w:highlight w:val="white"/>
            <w:u w:val="single"/>
          </w:rPr>
          <w:t>https://sober.org.br/anais/caracterizacao-e-dinamica-do-abate-de-frangos-em-santa-catarina/</w:t>
        </w:r>
      </w:hyperlink>
    </w:p>
    <w:p w:rsidR="00750840" w:rsidRDefault="00CA309A">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IBGE. </w:t>
      </w:r>
      <w:r>
        <w:rPr>
          <w:rFonts w:ascii="Times New Roman" w:eastAsia="Times New Roman" w:hAnsi="Times New Roman" w:cs="Times New Roman"/>
          <w:b/>
          <w:sz w:val="24"/>
          <w:szCs w:val="24"/>
        </w:rPr>
        <w:t>Pesquisa Agrícola Municipal - PAM.</w:t>
      </w:r>
      <w:r>
        <w:rPr>
          <w:rFonts w:ascii="Times New Roman" w:eastAsia="Times New Roman" w:hAnsi="Times New Roman" w:cs="Times New Roman"/>
          <w:sz w:val="24"/>
          <w:szCs w:val="24"/>
        </w:rPr>
        <w:t xml:space="preserve"> Disponível em:</w:t>
      </w:r>
      <w:hyperlink r:id="rId17">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 xml:space="preserve"> </w:t>
      </w:r>
      <w:hyperlink r:id="rId18">
        <w:r>
          <w:rPr>
            <w:rFonts w:ascii="Times New Roman" w:eastAsia="Times New Roman" w:hAnsi="Times New Roman" w:cs="Times New Roman"/>
            <w:color w:val="0000FF"/>
            <w:sz w:val="24"/>
            <w:szCs w:val="24"/>
            <w:u w:val="single"/>
          </w:rPr>
          <w:t>https://sidra.ibge.gov.br/pesquisa/pam/tabelas</w:t>
        </w:r>
      </w:hyperlink>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Acesso em: 18 de fevereiro de 2025. (2025a) </w:t>
      </w:r>
    </w:p>
    <w:p w:rsidR="00750840" w:rsidRDefault="00CA309A">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IBGE. </w:t>
      </w:r>
      <w:r>
        <w:rPr>
          <w:rFonts w:ascii="Times New Roman" w:eastAsia="Times New Roman" w:hAnsi="Times New Roman" w:cs="Times New Roman"/>
          <w:b/>
          <w:sz w:val="24"/>
          <w:szCs w:val="24"/>
        </w:rPr>
        <w:t>Pesquisa Pecuária Municipal - PPM</w:t>
      </w:r>
      <w:r>
        <w:rPr>
          <w:rFonts w:ascii="Times New Roman" w:eastAsia="Times New Roman" w:hAnsi="Times New Roman" w:cs="Times New Roman"/>
          <w:sz w:val="24"/>
          <w:szCs w:val="24"/>
        </w:rPr>
        <w:t>. Disponível em:</w:t>
      </w:r>
      <w:hyperlink r:id="rId19">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 xml:space="preserve"> </w:t>
      </w:r>
      <w:hyperlink r:id="rId20">
        <w:r>
          <w:rPr>
            <w:rFonts w:ascii="Times New Roman" w:eastAsia="Times New Roman" w:hAnsi="Times New Roman" w:cs="Times New Roman"/>
            <w:color w:val="0000FF"/>
            <w:sz w:val="24"/>
            <w:szCs w:val="24"/>
            <w:u w:val="single"/>
          </w:rPr>
          <w:t>https://sidra.ibge.gov.br/pesquisa/ppm/quadros/brasil/2023</w:t>
        </w:r>
      </w:hyperlink>
      <w:r>
        <w:rPr>
          <w:rFonts w:ascii="Times New Roman" w:eastAsia="Times New Roman" w:hAnsi="Times New Roman" w:cs="Times New Roman"/>
          <w:sz w:val="24"/>
          <w:szCs w:val="24"/>
        </w:rPr>
        <w:t xml:space="preserve">. Acesso em: 18 de fevereiro de 2025. (2025b) </w:t>
      </w:r>
    </w:p>
    <w:p w:rsidR="00750840" w:rsidRDefault="00CA309A">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IBGE. </w:t>
      </w:r>
      <w:r>
        <w:rPr>
          <w:rFonts w:ascii="Times New Roman" w:eastAsia="Times New Roman" w:hAnsi="Times New Roman" w:cs="Times New Roman"/>
          <w:b/>
          <w:sz w:val="24"/>
          <w:szCs w:val="24"/>
        </w:rPr>
        <w:t>Pesquisa Trimestral do Abate de Animais</w:t>
      </w:r>
      <w:r>
        <w:rPr>
          <w:rFonts w:ascii="Times New Roman" w:eastAsia="Times New Roman" w:hAnsi="Times New Roman" w:cs="Times New Roman"/>
          <w:sz w:val="24"/>
          <w:szCs w:val="24"/>
        </w:rPr>
        <w:t>. Disponível em:</w:t>
      </w:r>
      <w:hyperlink r:id="rId21">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 xml:space="preserve"> </w:t>
      </w:r>
      <w:hyperlink r:id="rId22">
        <w:r>
          <w:rPr>
            <w:rFonts w:ascii="Times New Roman" w:eastAsia="Times New Roman" w:hAnsi="Times New Roman" w:cs="Times New Roman"/>
            <w:color w:val="0000FF"/>
            <w:sz w:val="24"/>
            <w:szCs w:val="24"/>
            <w:u w:val="single"/>
          </w:rPr>
          <w:t>https://sidra.ibge.gov.br/home/abate/brasil</w:t>
        </w:r>
      </w:hyperlink>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Acesso em: 18 de fevereiro de 2025. (2025c) </w:t>
      </w:r>
    </w:p>
    <w:p w:rsidR="00750840" w:rsidRDefault="00CA309A">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MACEDO, L.O.B. Modernização da pecuária de corte bovina no Brasil e a importância do crédito rural. In: </w:t>
      </w:r>
      <w:r>
        <w:rPr>
          <w:rFonts w:ascii="Times New Roman" w:eastAsia="Times New Roman" w:hAnsi="Times New Roman" w:cs="Times New Roman"/>
          <w:b/>
          <w:sz w:val="24"/>
          <w:szCs w:val="24"/>
        </w:rPr>
        <w:t>Informações Econômicas</w:t>
      </w:r>
      <w:r>
        <w:rPr>
          <w:rFonts w:ascii="Times New Roman" w:eastAsia="Times New Roman" w:hAnsi="Times New Roman" w:cs="Times New Roman"/>
          <w:sz w:val="24"/>
          <w:szCs w:val="24"/>
        </w:rPr>
        <w:t>, v.36, n.7, jul. 2006. p. 83-95.</w:t>
      </w:r>
    </w:p>
    <w:p w:rsidR="00750840" w:rsidRDefault="00CA309A">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MOORI. R.G.; CALDEIRA, A.; PROCÓPIO, E.M. O papel do crédito bancário no desempenho da cadeia produtiva: um estudo de caso na cadeia produtiva da avicultura de corte brasileira. In: </w:t>
      </w:r>
      <w:r>
        <w:rPr>
          <w:rFonts w:ascii="Times New Roman" w:eastAsia="Times New Roman" w:hAnsi="Times New Roman" w:cs="Times New Roman"/>
          <w:b/>
          <w:sz w:val="24"/>
          <w:szCs w:val="24"/>
        </w:rPr>
        <w:t>Revista Sistemas &amp; Gestão</w:t>
      </w:r>
      <w:r>
        <w:rPr>
          <w:rFonts w:ascii="Times New Roman" w:eastAsia="Times New Roman" w:hAnsi="Times New Roman" w:cs="Times New Roman"/>
          <w:sz w:val="24"/>
          <w:szCs w:val="24"/>
        </w:rPr>
        <w:t>. v. 8, n. 3, 2013, p. 252-265.</w:t>
      </w:r>
    </w:p>
    <w:p w:rsidR="00750840" w:rsidRDefault="00CA309A">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NINAUT, E.S.; MATOS, M.A.; CAIADO, R.C. O crédito rural no Brasil – Evolução e panorama atual. In: </w:t>
      </w:r>
      <w:r>
        <w:rPr>
          <w:rFonts w:ascii="Times New Roman" w:eastAsia="Times New Roman" w:hAnsi="Times New Roman" w:cs="Times New Roman"/>
          <w:b/>
          <w:sz w:val="24"/>
          <w:szCs w:val="24"/>
        </w:rPr>
        <w:t>Revista de Política Agrícola</w:t>
      </w:r>
      <w:r>
        <w:rPr>
          <w:rFonts w:ascii="Times New Roman" w:eastAsia="Times New Roman" w:hAnsi="Times New Roman" w:cs="Times New Roman"/>
          <w:sz w:val="24"/>
          <w:szCs w:val="24"/>
        </w:rPr>
        <w:t>. Ano XVIII – No 3 – Jul./Ago./Set. 2009.</w:t>
      </w:r>
    </w:p>
    <w:p w:rsidR="00750840" w:rsidRDefault="00CA309A">
      <w:pPr>
        <w:spacing w:before="240" w:after="24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PINTOR, F.; SILVA, G.M.; PIACENTINI, C.A. Crédito rural e crescimento econômico no Brasil. In: </w:t>
      </w:r>
      <w:r>
        <w:rPr>
          <w:rFonts w:ascii="Times New Roman" w:eastAsia="Times New Roman" w:hAnsi="Times New Roman" w:cs="Times New Roman"/>
          <w:b/>
          <w:sz w:val="24"/>
          <w:szCs w:val="24"/>
        </w:rPr>
        <w:t>Revista de Política Agrícola</w:t>
      </w:r>
      <w:r>
        <w:rPr>
          <w:rFonts w:ascii="Times New Roman" w:eastAsia="Times New Roman" w:hAnsi="Times New Roman" w:cs="Times New Roman"/>
          <w:sz w:val="24"/>
          <w:szCs w:val="24"/>
        </w:rPr>
        <w:t>, ano XXIV, n.1, Jan./Fev./Mar. 2015. p. 5-19.</w:t>
      </w:r>
    </w:p>
    <w:p w:rsidR="00750840" w:rsidRDefault="00750840">
      <w:pPr>
        <w:spacing w:before="120" w:after="120" w:line="288" w:lineRule="auto"/>
        <w:ind w:firstLine="708"/>
        <w:jc w:val="both"/>
        <w:rPr>
          <w:rFonts w:ascii="Times New Roman" w:eastAsia="Times New Roman" w:hAnsi="Times New Roman" w:cs="Times New Roman"/>
          <w:sz w:val="24"/>
          <w:szCs w:val="24"/>
        </w:rPr>
      </w:pPr>
    </w:p>
    <w:sectPr w:rsidR="00750840">
      <w:pgSz w:w="11906" w:h="16838"/>
      <w:pgMar w:top="1701" w:right="1134" w:bottom="1134" w:left="156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56C" w:rsidRDefault="00F2356C">
      <w:pPr>
        <w:spacing w:after="0" w:line="240" w:lineRule="auto"/>
      </w:pPr>
      <w:r>
        <w:separator/>
      </w:r>
    </w:p>
  </w:endnote>
  <w:endnote w:type="continuationSeparator" w:id="0">
    <w:p w:rsidR="00F2356C" w:rsidRDefault="00F2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ttawaPlain">
    <w:panose1 w:val="00000000000000000000"/>
    <w:charset w:val="00"/>
    <w:family w:val="roman"/>
    <w:notTrueType/>
    <w:pitch w:val="default"/>
  </w:font>
  <w:font w:name="Ottawa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56C" w:rsidRDefault="00F2356C">
      <w:pPr>
        <w:spacing w:after="0" w:line="240" w:lineRule="auto"/>
      </w:pPr>
      <w:r>
        <w:separator/>
      </w:r>
    </w:p>
  </w:footnote>
  <w:footnote w:type="continuationSeparator" w:id="0">
    <w:p w:rsidR="00F2356C" w:rsidRDefault="00F2356C">
      <w:pPr>
        <w:spacing w:after="0" w:line="240" w:lineRule="auto"/>
      </w:pPr>
      <w:r>
        <w:continuationSeparator/>
      </w:r>
    </w:p>
  </w:footnote>
  <w:footnote w:id="1">
    <w:p w:rsidR="00CA309A" w:rsidRDefault="00CA309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 “sistema de integração” consiste no estabelecimento de um contrato de parceria entre o produtor e a agroindústria, no qual o agricultor é responsável pela produção da matéria-prima e a empresa se responsabiliza pelo fornecimento de assistência técnica, insumos (leitões ou pintinhos, rações, medicamentos, etc.) e toda a logística do processo. A primeira experiência brasileira de integração foi instalada em 1960, em Santa Catarina, pela empresa Sadia, tendo como base o modelo de produção verticalizado adotado nos Estados Unidos (Coelho e Borges, 1999).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40"/>
    <w:rsid w:val="00007A07"/>
    <w:rsid w:val="00046853"/>
    <w:rsid w:val="000B2939"/>
    <w:rsid w:val="000B5ECB"/>
    <w:rsid w:val="000D4B04"/>
    <w:rsid w:val="0010546B"/>
    <w:rsid w:val="001329F6"/>
    <w:rsid w:val="001A1C83"/>
    <w:rsid w:val="001D1146"/>
    <w:rsid w:val="001F6948"/>
    <w:rsid w:val="00222DD0"/>
    <w:rsid w:val="00252001"/>
    <w:rsid w:val="003737E4"/>
    <w:rsid w:val="004F2422"/>
    <w:rsid w:val="00556745"/>
    <w:rsid w:val="005D4A7F"/>
    <w:rsid w:val="005F3350"/>
    <w:rsid w:val="007036E7"/>
    <w:rsid w:val="00713EF1"/>
    <w:rsid w:val="00750840"/>
    <w:rsid w:val="007A261D"/>
    <w:rsid w:val="008C27BA"/>
    <w:rsid w:val="0091615D"/>
    <w:rsid w:val="00986B1F"/>
    <w:rsid w:val="00A00B32"/>
    <w:rsid w:val="00AF2B61"/>
    <w:rsid w:val="00B555AB"/>
    <w:rsid w:val="00B56EB9"/>
    <w:rsid w:val="00BA3C74"/>
    <w:rsid w:val="00BC2EFD"/>
    <w:rsid w:val="00BC6107"/>
    <w:rsid w:val="00BC72BD"/>
    <w:rsid w:val="00CA309A"/>
    <w:rsid w:val="00D167F7"/>
    <w:rsid w:val="00D20EA7"/>
    <w:rsid w:val="00D47FBF"/>
    <w:rsid w:val="00D80582"/>
    <w:rsid w:val="00DB104D"/>
    <w:rsid w:val="00DB22E3"/>
    <w:rsid w:val="00E04079"/>
    <w:rsid w:val="00E125CB"/>
    <w:rsid w:val="00E90EA8"/>
    <w:rsid w:val="00ED285E"/>
    <w:rsid w:val="00EF5FEB"/>
    <w:rsid w:val="00F2121C"/>
    <w:rsid w:val="00F2356C"/>
    <w:rsid w:val="00F85E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5288B-1AFE-4062-88EF-D4A6AD0B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2C4A0C"/>
    <w:rPr>
      <w:color w:val="0000FF" w:themeColor="hyperlink"/>
      <w:u w:val="single"/>
    </w:rPr>
  </w:style>
  <w:style w:type="paragraph" w:customStyle="1" w:styleId="LO-normal">
    <w:name w:val="LO-normal"/>
    <w:qFormat/>
    <w:rsid w:val="00B058A1"/>
    <w:pPr>
      <w:spacing w:after="0" w:line="240" w:lineRule="auto"/>
    </w:pPr>
    <w:rPr>
      <w:rFonts w:ascii="Cambria" w:eastAsia="Cambria" w:hAnsi="Cambria" w:cs="Cambria"/>
      <w:color w:val="00000A"/>
      <w:sz w:val="24"/>
      <w:szCs w:val="24"/>
      <w:lang w:val="en-US" w:eastAsia="zh-CN" w:bidi="hi-IN"/>
    </w:rPr>
  </w:style>
  <w:style w:type="character" w:customStyle="1" w:styleId="fontstyle01">
    <w:name w:val="fontstyle01"/>
    <w:basedOn w:val="Fontepargpadro"/>
    <w:rsid w:val="00AC1948"/>
    <w:rPr>
      <w:rFonts w:ascii="OttawaPlain" w:hAnsi="OttawaPlain" w:hint="default"/>
      <w:b w:val="0"/>
      <w:bCs w:val="0"/>
      <w:i w:val="0"/>
      <w:iCs w:val="0"/>
      <w:color w:val="231F20"/>
      <w:sz w:val="18"/>
      <w:szCs w:val="18"/>
    </w:rPr>
  </w:style>
  <w:style w:type="character" w:customStyle="1" w:styleId="fontstyle21">
    <w:name w:val="fontstyle21"/>
    <w:basedOn w:val="Fontepargpadro"/>
    <w:rsid w:val="00AC1948"/>
    <w:rPr>
      <w:rFonts w:ascii="OttawaBold" w:hAnsi="OttawaBold" w:hint="default"/>
      <w:b/>
      <w:bCs/>
      <w:i w:val="0"/>
      <w:iCs w:val="0"/>
      <w:color w:val="231F20"/>
      <w:sz w:val="18"/>
      <w:szCs w:val="18"/>
    </w:rPr>
  </w:style>
  <w:style w:type="paragraph" w:styleId="Textodebalo">
    <w:name w:val="Balloon Text"/>
    <w:basedOn w:val="Normal"/>
    <w:link w:val="TextodebaloChar"/>
    <w:uiPriority w:val="99"/>
    <w:semiHidden/>
    <w:unhideWhenUsed/>
    <w:rsid w:val="00045A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5A85"/>
    <w:rPr>
      <w:rFonts w:ascii="Tahoma" w:hAnsi="Tahoma" w:cs="Tahoma"/>
      <w:sz w:val="16"/>
      <w:szCs w:val="16"/>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paragraph" w:styleId="Textodenotaderodap">
    <w:name w:val="footnote text"/>
    <w:basedOn w:val="Normal"/>
    <w:link w:val="TextodenotaderodapChar"/>
    <w:uiPriority w:val="99"/>
    <w:semiHidden/>
    <w:unhideWhenUsed/>
    <w:rsid w:val="005546D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546DC"/>
    <w:rPr>
      <w:sz w:val="20"/>
      <w:szCs w:val="20"/>
    </w:rPr>
  </w:style>
  <w:style w:type="character" w:styleId="Refdenotaderodap">
    <w:name w:val="footnote reference"/>
    <w:basedOn w:val="Fontepargpadro"/>
    <w:uiPriority w:val="99"/>
    <w:semiHidden/>
    <w:unhideWhenUsed/>
    <w:rsid w:val="005546DC"/>
    <w:rPr>
      <w:vertAlign w:val="superscript"/>
    </w:r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90226">
      <w:bodyDiv w:val="1"/>
      <w:marLeft w:val="0"/>
      <w:marRight w:val="0"/>
      <w:marTop w:val="0"/>
      <w:marBottom w:val="0"/>
      <w:divBdr>
        <w:top w:val="none" w:sz="0" w:space="0" w:color="auto"/>
        <w:left w:val="none" w:sz="0" w:space="0" w:color="auto"/>
        <w:bottom w:val="none" w:sz="0" w:space="0" w:color="auto"/>
        <w:right w:val="none" w:sz="0" w:space="0" w:color="auto"/>
      </w:divBdr>
    </w:div>
    <w:div w:id="158861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exandregiehl@epagri.sc.gov.br" TargetMode="External"/><Relationship Id="rId13" Type="http://schemas.openxmlformats.org/officeDocument/2006/relationships/chart" Target="charts/chart5.xml"/><Relationship Id="rId18" Type="http://schemas.openxmlformats.org/officeDocument/2006/relationships/hyperlink" Target="https://sidra.ibge.gov.br/pesquisa/pam/tabelas" TargetMode="External"/><Relationship Id="rId3" Type="http://schemas.openxmlformats.org/officeDocument/2006/relationships/styles" Target="styles.xml"/><Relationship Id="rId21" Type="http://schemas.openxmlformats.org/officeDocument/2006/relationships/hyperlink" Target="http://www.ibge.gov.br/"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ibge.gov.br/" TargetMode="External"/><Relationship Id="rId2" Type="http://schemas.openxmlformats.org/officeDocument/2006/relationships/customXml" Target="../customXml/item2.xml"/><Relationship Id="rId16" Type="http://schemas.openxmlformats.org/officeDocument/2006/relationships/hyperlink" Target="https://sober.org.br/anais/caracterizacao-e-dinamica-do-abate-de-frangos-em-santa-catarina/" TargetMode="External"/><Relationship Id="rId20" Type="http://schemas.openxmlformats.org/officeDocument/2006/relationships/hyperlink" Target="https://sidra.ibge.gov.br/pesquisa/ppm/quadros/brasil/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mbrapa.br/suinos-e-aves/cias"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www.ibge.gov.br/"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ibge.gov.br/" TargetMode="External"/><Relationship Id="rId22" Type="http://schemas.openxmlformats.org/officeDocument/2006/relationships/hyperlink" Target="https://sidra.ibge.gov.br/home/abate/brasi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andregiehl\AppData\Local\Temp\8ce3965b-57e6-4c61-8878-690b0a9d9597_APEC%202025%20-%20Crici&#250;ma-20250225T161008Z-001.zip.597\APEC%202025%20-%20Crici&#250;ma\Cr&#233;dito%20rural%20por%20produto%20-%202013%20a%202024%20(19.02.2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exandregiehl\AppData\Local\Temp\8ce3965b-57e6-4c61-8878-690b0a9d9597_APEC%202025%20-%20Crici&#250;ma-20250225T161008Z-001.zip.597\APEC%202025%20-%20Crici&#250;ma\Cr&#233;dito%20rural%20por%20produto%20-%202013%20a%202024%20(19.02.25).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alexandregiehl\Downloads\0%20-%20Cr&#233;dito%20rural%20por%20produto%20-%202013%20a%202024%20(12.03.25)%20-%20arquivo%20para%20ajustes.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lexandregiehl\Downloads\0%20-%20Cr&#233;dito%20rural%20por%20produto%20-%202013%20a%202024%20(12.03.25)%20-%20arquivo%20para%20ajustes.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lexandregiehl\Downloads\0%20-%20Cr&#233;dito%20rural%20por%20produto%20-%202013%20a%202024%20(12.03.25)%20-%20arquivo%20para%20ajust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952230258386739E-2"/>
          <c:y val="1.57255182273052E-2"/>
          <c:w val="0.83261934417057337"/>
          <c:h val="0.83169888812029591"/>
        </c:manualLayout>
      </c:layout>
      <c:barChart>
        <c:barDir val="col"/>
        <c:grouping val="clustered"/>
        <c:varyColors val="0"/>
        <c:ser>
          <c:idx val="0"/>
          <c:order val="0"/>
          <c:tx>
            <c:strRef>
              <c:f>'C:\Users\alexandregiehl\AppData\Local\Temp\8ce3965b-57e6-4c61-8878-690b0a9d9597_APEC 2025 - Criciúma-20250225T161008Z-001.zip.597\APEC 2025 - Criciúma\[Crédito rural por produto - 2013 a 2024 (18.02.25).xlsx]Gráficos'!$A$3</c:f>
              <c:strCache>
                <c:ptCount val="1"/>
                <c:pt idx="0">
                  <c:v>Valor (R$)</c:v>
                </c:pt>
              </c:strCache>
            </c:strRef>
          </c:tx>
          <c:spPr>
            <a:solidFill>
              <a:schemeClr val="accent1">
                <a:lumMod val="40000"/>
                <a:lumOff val="60000"/>
              </a:schemeClr>
            </a:solidFill>
          </c:spPr>
          <c:invertIfNegative val="0"/>
          <c:dLbls>
            <c:dLbl>
              <c:idx val="1"/>
              <c:layout>
                <c:manualLayout>
                  <c:x val="0"/>
                  <c:y val="1.797752808988764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8.74882233915093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7116634507655364E-3"/>
                  <c:y val="9.855841022954507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4231921266581087E-3"/>
                  <c:y val="8.988764044943821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9.3480567459420974E-2"/>
                </c:manualLayout>
              </c:layout>
              <c:showLegendKey val="0"/>
              <c:showVal val="1"/>
              <c:showCatName val="0"/>
              <c:showSerName val="0"/>
              <c:showPercent val="0"/>
              <c:showBubbleSize val="0"/>
              <c:extLst>
                <c:ext xmlns:c15="http://schemas.microsoft.com/office/drawing/2012/chart" uri="{CE6537A1-D6FC-4f65-9D91-7224C49458BB}"/>
              </c:extLst>
            </c:dLbl>
            <c:numFmt formatCode="[$$-340A]\ #,##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'C:\Users\alexandregiehl\AppData\Local\Temp\8ce3965b-57e6-4c61-8878-690b0a9d9597_APEC 2025 - Criciúma-20250225T161008Z-001.zip.597\APEC 2025 - Criciúma\[Crédito rural por produto - 2013 a 2024 (18.02.25).xlsx]Gráficos'!$A$5:$A$16</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'C:\Users\alexandregiehl\AppData\Local\Temp\8ce3965b-57e6-4c61-8878-690b0a9d9597_APEC 2025 - Criciúma-20250225T161008Z-001.zip.597\APEC 2025 - Criciúma\[Crédito rural por produto - 2013 a 2024 (18.02.25).xlsx]Gráficos'!$D$5:$D$16</c:f>
              <c:numCache>
                <c:formatCode>General</c:formatCode>
                <c:ptCount val="12"/>
                <c:pt idx="0">
                  <c:v>9070645178.4999924</c:v>
                </c:pt>
                <c:pt idx="1">
                  <c:v>10831547138.649986</c:v>
                </c:pt>
                <c:pt idx="2">
                  <c:v>9092145177.2899895</c:v>
                </c:pt>
                <c:pt idx="3">
                  <c:v>7582248448.4799929</c:v>
                </c:pt>
                <c:pt idx="4">
                  <c:v>10884797962.93998</c:v>
                </c:pt>
                <c:pt idx="5">
                  <c:v>12292318405.259972</c:v>
                </c:pt>
                <c:pt idx="6">
                  <c:v>8888325690.939991</c:v>
                </c:pt>
                <c:pt idx="7">
                  <c:v>10602746399.409992</c:v>
                </c:pt>
                <c:pt idx="8">
                  <c:v>15027469901.169983</c:v>
                </c:pt>
                <c:pt idx="9">
                  <c:v>18024127326.059986</c:v>
                </c:pt>
                <c:pt idx="10">
                  <c:v>20780565456.859978</c:v>
                </c:pt>
                <c:pt idx="11">
                  <c:v>20894746181.989971</c:v>
                </c:pt>
              </c:numCache>
            </c:numRef>
          </c:val>
          <c:extLst/>
        </c:ser>
        <c:dLbls>
          <c:showLegendKey val="0"/>
          <c:showVal val="0"/>
          <c:showCatName val="0"/>
          <c:showSerName val="0"/>
          <c:showPercent val="0"/>
          <c:showBubbleSize val="0"/>
        </c:dLbls>
        <c:gapWidth val="99"/>
        <c:overlap val="76"/>
        <c:axId val="1525452096"/>
        <c:axId val="1525461344"/>
      </c:barChart>
      <c:lineChart>
        <c:grouping val="standard"/>
        <c:varyColors val="0"/>
        <c:ser>
          <c:idx val="1"/>
          <c:order val="1"/>
          <c:tx>
            <c:strRef>
              <c:f>'C:\Users\alexandregiehl\AppData\Local\Temp\8ce3965b-57e6-4c61-8878-690b0a9d9597_APEC 2025 - Criciúma-20250225T161008Z-001.zip.597\APEC 2025 - Criciúma\[Crédito rural por produto - 2013 a 2024 (18.02.25).xlsx]Gráficos'!$A$21</c:f>
              <c:strCache>
                <c:ptCount val="1"/>
                <c:pt idx="0">
                  <c:v>N. de contratos</c:v>
                </c:pt>
              </c:strCache>
            </c:strRef>
          </c:tx>
          <c:marker>
            <c:symbol val="square"/>
            <c:size val="4"/>
            <c:spPr>
              <a:solidFill>
                <a:srgbClr val="FF0000"/>
              </a:solidFill>
            </c:spPr>
          </c:marker>
          <c:dLbls>
            <c:dLbl>
              <c:idx val="2"/>
              <c:layout>
                <c:manualLayout>
                  <c:x val="-2.4214479554012621E-2"/>
                  <c:y val="-4.341415682980343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4.4577003744531024E-2"/>
                  <c:y val="-3.4531429118980335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'C:\Users\alexandregiehl\AppData\Local\Temp\8ce3965b-57e6-4c61-8878-690b0a9d9597_APEC 2025 - Criciúma-20250225T161008Z-001.zip.597\APEC 2025 - Criciúma\[Crédito rural por produto - 2013 a 2024 (18.02.25).xlsx]Gráficos'!$A$5:$A$16</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'C:\Users\alexandregiehl\AppData\Local\Temp\8ce3965b-57e6-4c61-8878-690b0a9d9597_APEC 2025 - Criciúma-20250225T161008Z-001.zip.597\APEC 2025 - Criciúma\[Crédito rural por produto - 2013 a 2024 (18.02.25).xlsx]Gráficos'!$D$23:$D$34</c:f>
              <c:numCache>
                <c:formatCode>General</c:formatCode>
                <c:ptCount val="12"/>
                <c:pt idx="0">
                  <c:v>214702</c:v>
                </c:pt>
                <c:pt idx="1">
                  <c:v>187094</c:v>
                </c:pt>
                <c:pt idx="2">
                  <c:v>146230</c:v>
                </c:pt>
                <c:pt idx="3">
                  <c:v>114215</c:v>
                </c:pt>
                <c:pt idx="4">
                  <c:v>135525</c:v>
                </c:pt>
                <c:pt idx="5">
                  <c:v>135422</c:v>
                </c:pt>
                <c:pt idx="6">
                  <c:v>118707</c:v>
                </c:pt>
                <c:pt idx="7">
                  <c:v>122352</c:v>
                </c:pt>
                <c:pt idx="8">
                  <c:v>130051</c:v>
                </c:pt>
                <c:pt idx="9">
                  <c:v>128083</c:v>
                </c:pt>
                <c:pt idx="10">
                  <c:v>137444</c:v>
                </c:pt>
                <c:pt idx="11">
                  <c:v>145064</c:v>
                </c:pt>
              </c:numCache>
            </c:numRef>
          </c:val>
          <c:smooth val="0"/>
        </c:ser>
        <c:dLbls>
          <c:showLegendKey val="0"/>
          <c:showVal val="0"/>
          <c:showCatName val="0"/>
          <c:showSerName val="0"/>
          <c:showPercent val="0"/>
          <c:showBubbleSize val="0"/>
        </c:dLbls>
        <c:hiLowLines>
          <c:spPr>
            <a:ln w="0">
              <a:noFill/>
            </a:ln>
          </c:spPr>
        </c:hiLowLines>
        <c:marker val="1"/>
        <c:smooth val="0"/>
        <c:axId val="1525446656"/>
        <c:axId val="1525459168"/>
      </c:lineChart>
      <c:catAx>
        <c:axId val="1525452096"/>
        <c:scaling>
          <c:orientation val="minMax"/>
        </c:scaling>
        <c:delete val="0"/>
        <c:axPos val="b"/>
        <c:numFmt formatCode="General" sourceLinked="0"/>
        <c:majorTickMark val="out"/>
        <c:minorTickMark val="none"/>
        <c:tickLblPos val="nextTo"/>
        <c:spPr>
          <a:ln w="6480">
            <a:solidFill>
              <a:srgbClr val="8B8B8B"/>
            </a:solidFill>
            <a:round/>
          </a:ln>
        </c:spPr>
        <c:txPr>
          <a:bodyPr/>
          <a:lstStyle/>
          <a:p>
            <a:pPr>
              <a:defRPr sz="800"/>
            </a:pPr>
            <a:endParaRPr lang="pt-BR"/>
          </a:p>
        </c:txPr>
        <c:crossAx val="1525461344"/>
        <c:crosses val="autoZero"/>
        <c:auto val="1"/>
        <c:lblAlgn val="ctr"/>
        <c:lblOffset val="100"/>
        <c:noMultiLvlLbl val="0"/>
      </c:catAx>
      <c:valAx>
        <c:axId val="1525461344"/>
        <c:scaling>
          <c:orientation val="minMax"/>
          <c:max val="24000000000"/>
          <c:min val="0"/>
        </c:scaling>
        <c:delete val="0"/>
        <c:axPos val="l"/>
        <c:majorGridlines>
          <c:spPr>
            <a:ln w="6480">
              <a:solidFill>
                <a:srgbClr val="8B8B8B"/>
              </a:solidFill>
              <a:round/>
            </a:ln>
          </c:spPr>
        </c:majorGridlines>
        <c:numFmt formatCode="&quot;R$&quot;\ #,##0" sourceLinked="0"/>
        <c:majorTickMark val="out"/>
        <c:minorTickMark val="none"/>
        <c:tickLblPos val="nextTo"/>
        <c:spPr>
          <a:ln w="6480">
            <a:solidFill>
              <a:srgbClr val="8B8B8B"/>
            </a:solidFill>
            <a:round/>
          </a:ln>
        </c:spPr>
        <c:txPr>
          <a:bodyPr/>
          <a:lstStyle/>
          <a:p>
            <a:pPr>
              <a:defRPr sz="800"/>
            </a:pPr>
            <a:endParaRPr lang="pt-BR"/>
          </a:p>
        </c:txPr>
        <c:crossAx val="1525452096"/>
        <c:crosses val="autoZero"/>
        <c:crossBetween val="between"/>
        <c:majorUnit val="12000000000"/>
        <c:dispUnits>
          <c:builtInUnit val="billions"/>
          <c:dispUnitsLbl>
            <c:layout>
              <c:manualLayout>
                <c:xMode val="edge"/>
                <c:yMode val="edge"/>
                <c:x val="6.261802116364415E-4"/>
                <c:y val="0.16123618021852626"/>
              </c:manualLayout>
            </c:layout>
            <c:tx>
              <c:rich>
                <a:bodyPr/>
                <a:lstStyle/>
                <a:p>
                  <a:pPr>
                    <a:defRPr sz="900"/>
                  </a:pPr>
                  <a:r>
                    <a:rPr lang="en-US" sz="900"/>
                    <a:t>Valor financiado (Bilhões - R$)</a:t>
                  </a:r>
                </a:p>
              </c:rich>
            </c:tx>
          </c:dispUnitsLbl>
        </c:dispUnits>
      </c:valAx>
      <c:catAx>
        <c:axId val="1525446656"/>
        <c:scaling>
          <c:orientation val="minMax"/>
        </c:scaling>
        <c:delete val="1"/>
        <c:axPos val="b"/>
        <c:numFmt formatCode="General" sourceLinked="1"/>
        <c:majorTickMark val="out"/>
        <c:minorTickMark val="none"/>
        <c:tickLblPos val="nextTo"/>
        <c:crossAx val="1525459168"/>
        <c:crosses val="autoZero"/>
        <c:auto val="1"/>
        <c:lblAlgn val="ctr"/>
        <c:lblOffset val="100"/>
        <c:noMultiLvlLbl val="0"/>
      </c:catAx>
      <c:valAx>
        <c:axId val="1525459168"/>
        <c:scaling>
          <c:orientation val="minMax"/>
          <c:max val="240000"/>
          <c:min val="0"/>
        </c:scaling>
        <c:delete val="0"/>
        <c:axPos val="r"/>
        <c:numFmt formatCode="#,##0" sourceLinked="0"/>
        <c:majorTickMark val="out"/>
        <c:minorTickMark val="none"/>
        <c:tickLblPos val="nextTo"/>
        <c:spPr>
          <a:ln w="6480">
            <a:solidFill>
              <a:srgbClr val="8B8B8B"/>
            </a:solidFill>
            <a:round/>
          </a:ln>
        </c:spPr>
        <c:txPr>
          <a:bodyPr/>
          <a:lstStyle/>
          <a:p>
            <a:pPr>
              <a:defRPr sz="800"/>
            </a:pPr>
            <a:endParaRPr lang="pt-BR"/>
          </a:p>
        </c:txPr>
        <c:crossAx val="1525446656"/>
        <c:crosses val="max"/>
        <c:crossBetween val="between"/>
        <c:majorUnit val="120000"/>
        <c:dispUnits>
          <c:builtInUnit val="thousands"/>
          <c:dispUnitsLbl>
            <c:layout>
              <c:manualLayout>
                <c:xMode val="edge"/>
                <c:yMode val="edge"/>
                <c:x val="0.97199583758751129"/>
                <c:y val="0.25838707814334938"/>
              </c:manualLayout>
            </c:layout>
            <c:tx>
              <c:rich>
                <a:bodyPr/>
                <a:lstStyle/>
                <a:p>
                  <a:pPr>
                    <a:defRPr sz="900"/>
                  </a:pPr>
                  <a:r>
                    <a:rPr lang="en-US" sz="900"/>
                    <a:t>Contratos (x1.000)</a:t>
                  </a:r>
                </a:p>
              </c:rich>
            </c:tx>
          </c:dispUnitsLbl>
        </c:dispUnits>
      </c:valAx>
      <c:spPr>
        <a:noFill/>
        <a:ln w="0">
          <a:noFill/>
        </a:ln>
      </c:spPr>
    </c:plotArea>
    <c:legend>
      <c:legendPos val="r"/>
      <c:layout>
        <c:manualLayout>
          <c:xMode val="edge"/>
          <c:yMode val="edge"/>
          <c:x val="0.27125512060483276"/>
          <c:y val="0.93099078885421604"/>
          <c:w val="0.4599690313659876"/>
          <c:h val="6.6143208661417305E-2"/>
        </c:manualLayout>
      </c:layout>
      <c:overlay val="0"/>
      <c:spPr>
        <a:noFill/>
        <a:ln w="0">
          <a:noFill/>
        </a:ln>
      </c:spPr>
    </c:legend>
    <c:plotVisOnly val="1"/>
    <c:dispBlanksAs val="gap"/>
    <c:showDLblsOverMax val="1"/>
  </c:chart>
  <c:spPr>
    <a:solidFill>
      <a:srgbClr val="FFFFFF"/>
    </a:solidFill>
    <a:ln>
      <a:solidFill>
        <a:schemeClr val="bg1">
          <a:lumMod val="85000"/>
        </a:schemeClr>
      </a:solidFill>
    </a:ln>
  </c:spPr>
  <c:txPr>
    <a:bodyPr/>
    <a:lstStyle/>
    <a:p>
      <a:pPr>
        <a:defRPr>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350426665098638E-2"/>
          <c:y val="5.5151667084482325E-2"/>
          <c:w val="0.90275706371734088"/>
          <c:h val="0.80021237541385759"/>
        </c:manualLayout>
      </c:layout>
      <c:barChart>
        <c:barDir val="col"/>
        <c:grouping val="stacked"/>
        <c:varyColors val="0"/>
        <c:ser>
          <c:idx val="0"/>
          <c:order val="0"/>
          <c:tx>
            <c:strRef>
              <c:f>'[Crédito rural por produto - 2013 a 2024 (19.02.25).xlsx]Gráficos'!$E$22</c:f>
              <c:strCache>
                <c:ptCount val="1"/>
                <c:pt idx="0">
                  <c:v>Agrícola</c:v>
                </c:pt>
              </c:strCache>
            </c:strRef>
          </c:tx>
          <c:spPr>
            <a:solidFill>
              <a:schemeClr val="accent1">
                <a:lumMod val="40000"/>
                <a:lumOff val="60000"/>
              </a:schemeClr>
            </a:solidFill>
            <a:ln>
              <a:noFill/>
            </a:ln>
            <a:effectLst/>
          </c:spPr>
          <c:invertIfNegative val="0"/>
          <c:dLbls>
            <c:spPr>
              <a:noFill/>
              <a:ln>
                <a:noFill/>
              </a:ln>
              <a:effectLst/>
            </c:spPr>
            <c:txPr>
              <a:bodyPr/>
              <a:lstStyle/>
              <a:p>
                <a:pPr>
                  <a:defRPr sz="900" b="0"/>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'[Crédito rural por produto - 2013 a 2024 (19.02.25).xlsx]Gráficos'!$A$23:$A$34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'[Crédito rural por produto - 2013 a 2024 (19.02.25).xlsx]Gráficos'!$E$23:$E$34</c:f>
              <c:numCache>
                <c:formatCode>0.0%</c:formatCode>
                <c:ptCount val="12"/>
                <c:pt idx="0">
                  <c:v>0.6912092109062794</c:v>
                </c:pt>
                <c:pt idx="1">
                  <c:v>0.69239526655050398</c:v>
                </c:pt>
                <c:pt idx="2">
                  <c:v>0.66071941462080286</c:v>
                </c:pt>
                <c:pt idx="3">
                  <c:v>0.68901632885347808</c:v>
                </c:pt>
                <c:pt idx="4">
                  <c:v>0.62111049621840986</c:v>
                </c:pt>
                <c:pt idx="5">
                  <c:v>0.60485002436827107</c:v>
                </c:pt>
                <c:pt idx="6">
                  <c:v>0.55807155433125255</c:v>
                </c:pt>
                <c:pt idx="7">
                  <c:v>0.53534882960638164</c:v>
                </c:pt>
                <c:pt idx="8">
                  <c:v>0.53407509361711947</c:v>
                </c:pt>
                <c:pt idx="9">
                  <c:v>0.50906053106188953</c:v>
                </c:pt>
                <c:pt idx="10">
                  <c:v>0.47812199877768402</c:v>
                </c:pt>
                <c:pt idx="11">
                  <c:v>0.46354712402801523</c:v>
                </c:pt>
              </c:numCache>
            </c:numRef>
          </c:val>
        </c:ser>
        <c:ser>
          <c:idx val="1"/>
          <c:order val="1"/>
          <c:tx>
            <c:strRef>
              <c:f>'[Crédito rural por produto - 2013 a 2024 (19.02.25).xlsx]Gráficos'!$F$22</c:f>
              <c:strCache>
                <c:ptCount val="1"/>
                <c:pt idx="0">
                  <c:v>Pecuário</c:v>
                </c:pt>
              </c:strCache>
            </c:strRef>
          </c:tx>
          <c:spPr>
            <a:solidFill>
              <a:schemeClr val="accent6">
                <a:lumMod val="60000"/>
                <a:lumOff val="40000"/>
              </a:schemeClr>
            </a:solidFill>
            <a:ln>
              <a:noFill/>
            </a:ln>
            <a:effectLst/>
          </c:spPr>
          <c:invertIfNegative val="0"/>
          <c:dLbls>
            <c:spPr>
              <a:noFill/>
              <a:ln>
                <a:noFill/>
              </a:ln>
              <a:effectLst/>
            </c:spPr>
            <c:txPr>
              <a:bodyPr/>
              <a:lstStyle/>
              <a:p>
                <a:pPr algn="just">
                  <a:defRPr sz="900" b="0"/>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'[Crédito rural por produto - 2013 a 2024 (19.02.25).xlsx]Gráficos'!$A$23:$A$34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'[Crédito rural por produto - 2013 a 2024 (19.02.25).xlsx]Gráficos'!$F$23:$F$34</c:f>
              <c:numCache>
                <c:formatCode>0.0%</c:formatCode>
                <c:ptCount val="12"/>
                <c:pt idx="0">
                  <c:v>0.3087907890937206</c:v>
                </c:pt>
                <c:pt idx="1">
                  <c:v>0.30760473344949596</c:v>
                </c:pt>
                <c:pt idx="2">
                  <c:v>0.33928058537919714</c:v>
                </c:pt>
                <c:pt idx="3">
                  <c:v>0.31098367114652192</c:v>
                </c:pt>
                <c:pt idx="4">
                  <c:v>0.37888950378159009</c:v>
                </c:pt>
                <c:pt idx="5">
                  <c:v>0.39514997563172899</c:v>
                </c:pt>
                <c:pt idx="6">
                  <c:v>0.44192844566874739</c:v>
                </c:pt>
                <c:pt idx="7">
                  <c:v>0.46465117039361842</c:v>
                </c:pt>
                <c:pt idx="8">
                  <c:v>0.46592490638288059</c:v>
                </c:pt>
                <c:pt idx="9">
                  <c:v>0.49093946893811047</c:v>
                </c:pt>
                <c:pt idx="10">
                  <c:v>0.52187800122231598</c:v>
                </c:pt>
                <c:pt idx="11">
                  <c:v>0.53645287597198477</c:v>
                </c:pt>
              </c:numCache>
            </c:numRef>
          </c:val>
        </c:ser>
        <c:dLbls>
          <c:showLegendKey val="0"/>
          <c:showVal val="0"/>
          <c:showCatName val="0"/>
          <c:showSerName val="0"/>
          <c:showPercent val="0"/>
          <c:showBubbleSize val="0"/>
        </c:dLbls>
        <c:gapWidth val="60"/>
        <c:overlap val="100"/>
        <c:axId val="1525457536"/>
        <c:axId val="1525459712"/>
      </c:barChart>
      <c:catAx>
        <c:axId val="152545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800"/>
            </a:pPr>
            <a:endParaRPr lang="pt-BR"/>
          </a:p>
        </c:txPr>
        <c:crossAx val="1525459712"/>
        <c:crosses val="autoZero"/>
        <c:auto val="1"/>
        <c:lblAlgn val="ctr"/>
        <c:lblOffset val="100"/>
        <c:noMultiLvlLbl val="0"/>
      </c:catAx>
      <c:valAx>
        <c:axId val="152545971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sz="800"/>
            </a:pPr>
            <a:endParaRPr lang="pt-BR"/>
          </a:p>
        </c:txPr>
        <c:crossAx val="1525457536"/>
        <c:crosses val="autoZero"/>
        <c:crossBetween val="between"/>
        <c:majorUnit val="0.2"/>
      </c:valAx>
      <c:spPr>
        <a:noFill/>
        <a:ln>
          <a:noFill/>
        </a:ln>
        <a:effectLst/>
      </c:spPr>
    </c:plotArea>
    <c:legend>
      <c:legendPos val="b"/>
      <c:layout>
        <c:manualLayout>
          <c:xMode val="edge"/>
          <c:yMode val="edge"/>
          <c:x val="0.39014616553786174"/>
          <c:y val="0.92045447816140058"/>
          <c:w val="0.21970749073881041"/>
          <c:h val="7.9545521838599462E-2"/>
        </c:manualLayout>
      </c:layout>
      <c:overlay val="0"/>
      <c:spPr>
        <a:noFill/>
        <a:ln>
          <a:noFill/>
        </a:ln>
        <a:effectLst/>
      </c:spPr>
      <c:txPr>
        <a:bodyPr rot="0" vert="horz"/>
        <a:lstStyle/>
        <a:p>
          <a:pPr>
            <a:defRPr sz="900"/>
          </a:pPr>
          <a:endParaRPr lang="pt-BR"/>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646473556538544E-2"/>
          <c:y val="4.5478028773235868E-2"/>
          <c:w val="0.92268849425123345"/>
          <c:h val="0.79246197603825497"/>
        </c:manualLayout>
      </c:layout>
      <c:barChart>
        <c:barDir val="col"/>
        <c:grouping val="percentStacked"/>
        <c:varyColors val="0"/>
        <c:ser>
          <c:idx val="0"/>
          <c:order val="0"/>
          <c:tx>
            <c:strRef>
              <c:f>'[0 - Crédito rural por produto - 2013 a 2024 (12.03.25) - arquivo para ajustes.xlsx]Gráficos'!$J$124</c:f>
              <c:strCache>
                <c:ptCount val="1"/>
                <c:pt idx="0">
                  <c:v>Investimento</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'[0 - Crédito rural por produto - 2013 a 2024 (12.03.25) - arquivo para ajustes.xlsx]Gráficos'!$I$125:$I$136</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'[0 - Crédito rural por produto - 2013 a 2024 (12.03.25) - arquivo para ajustes.xlsx]Gráficos'!$J$142:$J$153</c:f>
              <c:numCache>
                <c:formatCode>0.0%</c:formatCode>
                <c:ptCount val="12"/>
                <c:pt idx="0">
                  <c:v>7.9945551201621196E-2</c:v>
                </c:pt>
                <c:pt idx="1">
                  <c:v>5.8332548706594732E-2</c:v>
                </c:pt>
                <c:pt idx="2">
                  <c:v>0.12582380606711185</c:v>
                </c:pt>
                <c:pt idx="3">
                  <c:v>0.10265528666449124</c:v>
                </c:pt>
                <c:pt idx="4">
                  <c:v>4.476928378096269E-2</c:v>
                </c:pt>
                <c:pt idx="5">
                  <c:v>5.790378610256107E-2</c:v>
                </c:pt>
                <c:pt idx="6">
                  <c:v>0.12390269418232741</c:v>
                </c:pt>
                <c:pt idx="7">
                  <c:v>0.70468908891163118</c:v>
                </c:pt>
                <c:pt idx="8">
                  <c:v>0.22642789696212559</c:v>
                </c:pt>
                <c:pt idx="9">
                  <c:v>0.23694663161735052</c:v>
                </c:pt>
                <c:pt idx="10">
                  <c:v>8.5337795674179637E-2</c:v>
                </c:pt>
                <c:pt idx="11">
                  <c:v>7.1961022207244027E-2</c:v>
                </c:pt>
              </c:numCache>
            </c:numRef>
          </c:val>
        </c:ser>
        <c:ser>
          <c:idx val="1"/>
          <c:order val="1"/>
          <c:tx>
            <c:strRef>
              <c:f>'[0 - Crédito rural por produto - 2013 a 2024 (12.03.25) - arquivo para ajustes.xlsx]Gráficos'!$K$124</c:f>
              <c:strCache>
                <c:ptCount val="1"/>
                <c:pt idx="0">
                  <c:v>Custeio</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'[0 - Crédito rural por produto - 2013 a 2024 (12.03.25) - arquivo para ajustes.xlsx]Gráficos'!$I$125:$I$136</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'[0 - Crédito rural por produto - 2013 a 2024 (12.03.25) - arquivo para ajustes.xlsx]Gráficos'!$K$142:$K$153</c:f>
              <c:numCache>
                <c:formatCode>0.0%</c:formatCode>
                <c:ptCount val="12"/>
                <c:pt idx="0">
                  <c:v>0.92005444879837883</c:v>
                </c:pt>
                <c:pt idx="1">
                  <c:v>0.69668324526500947</c:v>
                </c:pt>
                <c:pt idx="2">
                  <c:v>0.87417619393288815</c:v>
                </c:pt>
                <c:pt idx="3">
                  <c:v>0.70901662705485391</c:v>
                </c:pt>
                <c:pt idx="4">
                  <c:v>0.91563747060566125</c:v>
                </c:pt>
                <c:pt idx="5">
                  <c:v>0.64864946873759999</c:v>
                </c:pt>
                <c:pt idx="6">
                  <c:v>0.87609730581767253</c:v>
                </c:pt>
                <c:pt idx="7">
                  <c:v>0.29506410326947718</c:v>
                </c:pt>
                <c:pt idx="8">
                  <c:v>0.56266711068764841</c:v>
                </c:pt>
                <c:pt idx="9">
                  <c:v>0.5084080997620648</c:v>
                </c:pt>
                <c:pt idx="10">
                  <c:v>0.64490999002134952</c:v>
                </c:pt>
                <c:pt idx="11">
                  <c:v>0.79899572826391363</c:v>
                </c:pt>
              </c:numCache>
            </c:numRef>
          </c:val>
        </c:ser>
        <c:ser>
          <c:idx val="2"/>
          <c:order val="2"/>
          <c:tx>
            <c:strRef>
              <c:f>'[0 - Crédito rural por produto - 2013 a 2024 (12.03.25) - arquivo para ajustes.xlsx]Gráficos'!$L$124</c:f>
              <c:strCache>
                <c:ptCount val="1"/>
                <c:pt idx="0">
                  <c:v>Industrialização</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'[0 - Crédito rural por produto - 2013 a 2024 (12.03.25) - arquivo para ajustes.xlsx]Gráficos'!$I$125:$I$136</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'[0 - Crédito rural por produto - 2013 a 2024 (12.03.25) - arquivo para ajustes.xlsx]Gráficos'!$L$142:$L$153</c:f>
              <c:numCache>
                <c:formatCode>General</c:formatCode>
                <c:ptCount val="12"/>
                <c:pt idx="3" formatCode="0.0%">
                  <c:v>0.18832808628065481</c:v>
                </c:pt>
                <c:pt idx="4" formatCode="0.0%">
                  <c:v>3.3870328105837927E-2</c:v>
                </c:pt>
                <c:pt idx="5" formatCode="0.0%">
                  <c:v>0.29344674515983898</c:v>
                </c:pt>
                <c:pt idx="8" formatCode="0.0%">
                  <c:v>0.20605076894642596</c:v>
                </c:pt>
                <c:pt idx="9" formatCode="0.0%">
                  <c:v>0.15239814161185747</c:v>
                </c:pt>
                <c:pt idx="10" formatCode="0.0%">
                  <c:v>0.26975221430447099</c:v>
                </c:pt>
                <c:pt idx="11" formatCode="0.0%">
                  <c:v>6.9753107853428323E-2</c:v>
                </c:pt>
              </c:numCache>
            </c:numRef>
          </c:val>
        </c:ser>
        <c:ser>
          <c:idx val="3"/>
          <c:order val="3"/>
          <c:tx>
            <c:strRef>
              <c:f>'[0 - Crédito rural por produto - 2013 a 2024 (12.03.25) - arquivo para ajustes.xlsx]Gráficos'!$M$124</c:f>
              <c:strCache>
                <c:ptCount val="1"/>
                <c:pt idx="0">
                  <c:v>Comercialização</c:v>
                </c:pt>
              </c:strCache>
            </c:strRef>
          </c:tx>
          <c:spPr>
            <a:solidFill>
              <a:schemeClr val="accent3">
                <a:lumMod val="40000"/>
                <a:lumOff val="60000"/>
              </a:schemeClr>
            </a:solidFill>
            <a:ln>
              <a:noFill/>
            </a:ln>
            <a:effectLst/>
          </c:spPr>
          <c:invertIfNegative val="0"/>
          <c:dLbls>
            <c:dLbl>
              <c:idx val="4"/>
              <c:layout>
                <c:manualLayout>
                  <c:x val="0"/>
                  <c:y val="-1.159420289855072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'[0 - Crédito rural por produto - 2013 a 2024 (12.03.25) - arquivo para ajustes.xlsx]Gráficos'!$I$125:$I$136</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'[0 - Crédito rural por produto - 2013 a 2024 (12.03.25) - arquivo para ajustes.xlsx]Gráficos'!$M$142:$M$153</c:f>
              <c:numCache>
                <c:formatCode>0.0%</c:formatCode>
                <c:ptCount val="12"/>
                <c:pt idx="1">
                  <c:v>0.24498420602839577</c:v>
                </c:pt>
                <c:pt idx="4">
                  <c:v>5.7229175075381323E-3</c:v>
                </c:pt>
                <c:pt idx="8">
                  <c:v>4.8542234038001248E-3</c:v>
                </c:pt>
                <c:pt idx="9">
                  <c:v>0.10224712700872716</c:v>
                </c:pt>
                <c:pt idx="11">
                  <c:v>5.9290141675414076E-2</c:v>
                </c:pt>
              </c:numCache>
            </c:numRef>
          </c:val>
        </c:ser>
        <c:dLbls>
          <c:showLegendKey val="0"/>
          <c:showVal val="0"/>
          <c:showCatName val="0"/>
          <c:showSerName val="0"/>
          <c:showPercent val="0"/>
          <c:showBubbleSize val="0"/>
        </c:dLbls>
        <c:gapWidth val="60"/>
        <c:overlap val="100"/>
        <c:axId val="1525449920"/>
        <c:axId val="1525450464"/>
      </c:barChart>
      <c:catAx>
        <c:axId val="152544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25450464"/>
        <c:crosses val="autoZero"/>
        <c:auto val="1"/>
        <c:lblAlgn val="ctr"/>
        <c:lblOffset val="100"/>
        <c:noMultiLvlLbl val="0"/>
      </c:catAx>
      <c:valAx>
        <c:axId val="1525450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crossAx val="1525449920"/>
        <c:crosses val="autoZero"/>
        <c:crossBetween val="between"/>
      </c:valAx>
      <c:spPr>
        <a:noFill/>
        <a:ln>
          <a:noFill/>
        </a:ln>
        <a:effectLst/>
      </c:spPr>
    </c:plotArea>
    <c:legend>
      <c:legendPos val="r"/>
      <c:layout>
        <c:manualLayout>
          <c:xMode val="edge"/>
          <c:yMode val="edge"/>
          <c:x val="0.13965701655714086"/>
          <c:y val="0.89793161237353969"/>
          <c:w val="0.7475610285556411"/>
          <c:h val="0.101293926420651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629506837961044E-2"/>
          <c:y val="4.5478028773235868E-2"/>
          <c:w val="0.8941327728770746"/>
          <c:h val="0.79246197603825497"/>
        </c:manualLayout>
      </c:layout>
      <c:barChart>
        <c:barDir val="col"/>
        <c:grouping val="percentStacked"/>
        <c:varyColors val="0"/>
        <c:ser>
          <c:idx val="0"/>
          <c:order val="0"/>
          <c:tx>
            <c:strRef>
              <c:f>'[0 - Crédito rural por produto - 2013 a 2024 (12.03.25) - arquivo para ajustes.xlsx]Gráficos'!$J$124</c:f>
              <c:strCache>
                <c:ptCount val="1"/>
                <c:pt idx="0">
                  <c:v>Investimento</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'[0 - Crédito rural por produto - 2013 a 2024 (12.03.25) - arquivo para ajustes.xlsx]Gráficos'!$I$125:$I$136</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'[0 - Crédito rural por produto - 2013 a 2024 (12.03.25) - arquivo para ajustes.xlsx]Gráficos'!$J$159:$J$170</c:f>
              <c:numCache>
                <c:formatCode>0.0%</c:formatCode>
                <c:ptCount val="12"/>
                <c:pt idx="0">
                  <c:v>4.9857340048760079E-2</c:v>
                </c:pt>
                <c:pt idx="1">
                  <c:v>5.5926647008983178E-2</c:v>
                </c:pt>
                <c:pt idx="2">
                  <c:v>0.1262605860790815</c:v>
                </c:pt>
                <c:pt idx="3">
                  <c:v>4.4480463308884374E-2</c:v>
                </c:pt>
                <c:pt idx="4">
                  <c:v>0.11709389491924407</c:v>
                </c:pt>
                <c:pt idx="5">
                  <c:v>0.17989591783915662</c:v>
                </c:pt>
                <c:pt idx="6">
                  <c:v>0.2840858280369572</c:v>
                </c:pt>
                <c:pt idx="7">
                  <c:v>0.38122580903223968</c:v>
                </c:pt>
                <c:pt idx="8">
                  <c:v>0.16406408874367007</c:v>
                </c:pt>
                <c:pt idx="9">
                  <c:v>5.0059535129142581E-2</c:v>
                </c:pt>
                <c:pt idx="10">
                  <c:v>3.6065777587569479E-2</c:v>
                </c:pt>
                <c:pt idx="11">
                  <c:v>4.7633963624794745E-2</c:v>
                </c:pt>
              </c:numCache>
            </c:numRef>
          </c:val>
        </c:ser>
        <c:ser>
          <c:idx val="1"/>
          <c:order val="1"/>
          <c:tx>
            <c:strRef>
              <c:f>'[0 - Crédito rural por produto - 2013 a 2024 (12.03.25) - arquivo para ajustes.xlsx]Gráficos'!$K$124</c:f>
              <c:strCache>
                <c:ptCount val="1"/>
                <c:pt idx="0">
                  <c:v>Custeio</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'[0 - Crédito rural por produto - 2013 a 2024 (12.03.25) - arquivo para ajustes.xlsx]Gráficos'!$I$125:$I$136</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'[0 - Crédito rural por produto - 2013 a 2024 (12.03.25) - arquivo para ajustes.xlsx]Gráficos'!$K$159:$K$170</c:f>
              <c:numCache>
                <c:formatCode>0.0%</c:formatCode>
                <c:ptCount val="12"/>
                <c:pt idx="0">
                  <c:v>0.94699101293212906</c:v>
                </c:pt>
                <c:pt idx="1">
                  <c:v>0.93285153963392609</c:v>
                </c:pt>
                <c:pt idx="2">
                  <c:v>0.84723220901729701</c:v>
                </c:pt>
                <c:pt idx="3">
                  <c:v>0.81130027205648392</c:v>
                </c:pt>
                <c:pt idx="4">
                  <c:v>0.862698226997614</c:v>
                </c:pt>
                <c:pt idx="5">
                  <c:v>0.68589665031014546</c:v>
                </c:pt>
                <c:pt idx="6">
                  <c:v>0.64808351535342967</c:v>
                </c:pt>
                <c:pt idx="7">
                  <c:v>0.59020729914069991</c:v>
                </c:pt>
                <c:pt idx="8">
                  <c:v>0.46691707652462083</c:v>
                </c:pt>
                <c:pt idx="9">
                  <c:v>0.49168755439032913</c:v>
                </c:pt>
                <c:pt idx="10">
                  <c:v>0.68068609054302243</c:v>
                </c:pt>
                <c:pt idx="11">
                  <c:v>0.43860421772706609</c:v>
                </c:pt>
              </c:numCache>
            </c:numRef>
          </c:val>
        </c:ser>
        <c:ser>
          <c:idx val="2"/>
          <c:order val="2"/>
          <c:tx>
            <c:strRef>
              <c:f>'[0 - Crédito rural por produto - 2013 a 2024 (12.03.25) - arquivo para ajustes.xlsx]Gráficos'!$L$124</c:f>
              <c:strCache>
                <c:ptCount val="1"/>
                <c:pt idx="0">
                  <c:v>Industrialização</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'[0 - Crédito rural por produto - 2013 a 2024 (12.03.25) - arquivo para ajustes.xlsx]Gráficos'!$I$125:$I$136</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'[0 - Crédito rural por produto - 2013 a 2024 (12.03.25) - arquivo para ajustes.xlsx]Gráficos'!$L$159:$L$170</c:f>
              <c:numCache>
                <c:formatCode>General</c:formatCode>
                <c:ptCount val="12"/>
                <c:pt idx="3" formatCode="0.0%">
                  <c:v>0.11540349494373139</c:v>
                </c:pt>
                <c:pt idx="4" formatCode="0.0%">
                  <c:v>1.4048884759761977E-2</c:v>
                </c:pt>
                <c:pt idx="5" formatCode="0.0%">
                  <c:v>0.12297941071462595</c:v>
                </c:pt>
                <c:pt idx="6" formatCode="0.0%">
                  <c:v>4.4636980794570756E-2</c:v>
                </c:pt>
                <c:pt idx="7" formatCode="0.0%">
                  <c:v>9.8351439014368706E-3</c:v>
                </c:pt>
                <c:pt idx="8" formatCode="0.0%">
                  <c:v>0.3690188347317091</c:v>
                </c:pt>
                <c:pt idx="9" formatCode="0.0%">
                  <c:v>0.45293901916267865</c:v>
                </c:pt>
                <c:pt idx="10" formatCode="0.0%">
                  <c:v>0.28273465917482471</c:v>
                </c:pt>
                <c:pt idx="11" formatCode="0.0%">
                  <c:v>0.50166268855475826</c:v>
                </c:pt>
              </c:numCache>
            </c:numRef>
          </c:val>
        </c:ser>
        <c:ser>
          <c:idx val="3"/>
          <c:order val="3"/>
          <c:tx>
            <c:strRef>
              <c:f>'[0 - Crédito rural por produto - 2013 a 2024 (12.03.25) - arquivo para ajustes.xlsx]Gráficos'!$M$124</c:f>
              <c:strCache>
                <c:ptCount val="1"/>
                <c:pt idx="0">
                  <c:v>Comercialização</c:v>
                </c:pt>
              </c:strCache>
            </c:strRef>
          </c:tx>
          <c:spPr>
            <a:solidFill>
              <a:schemeClr val="accent3">
                <a:lumMod val="40000"/>
                <a:lumOff val="60000"/>
              </a:schemeClr>
            </a:solidFill>
            <a:ln>
              <a:noFill/>
            </a:ln>
            <a:effectLst/>
          </c:spPr>
          <c:invertIfNegative val="0"/>
          <c:dLbls>
            <c:dLbl>
              <c:idx val="3"/>
              <c:layout>
                <c:manualLayout>
                  <c:x val="4.4223327805416948E-3"/>
                  <c:y val="-2.35096557514693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5478164731896076E-2"/>
                  <c:y val="-1.679261125104953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'[0 - Crédito rural por produto - 2013 a 2024 (12.03.25) - arquivo para ajustes.xlsx]Gráficos'!$I$125:$I$136</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'[0 - Crédito rural por produto - 2013 a 2024 (12.03.25) - arquivo para ajustes.xlsx]Gráficos'!$M$159:$M$170</c:f>
              <c:numCache>
                <c:formatCode>0.0%</c:formatCode>
                <c:ptCount val="12"/>
                <c:pt idx="0">
                  <c:v>3.1516470191108406E-3</c:v>
                </c:pt>
                <c:pt idx="1">
                  <c:v>1.12218133570907E-2</c:v>
                </c:pt>
                <c:pt idx="2">
                  <c:v>2.65072049036215E-2</c:v>
                </c:pt>
                <c:pt idx="3">
                  <c:v>2.8815769690900401E-2</c:v>
                </c:pt>
                <c:pt idx="4">
                  <c:v>6.158993323379912E-3</c:v>
                </c:pt>
                <c:pt idx="5">
                  <c:v>1.1228021136072039E-2</c:v>
                </c:pt>
                <c:pt idx="6">
                  <c:v>2.3193675815042569E-2</c:v>
                </c:pt>
                <c:pt idx="7">
                  <c:v>1.8731747925623578E-2</c:v>
                </c:pt>
                <c:pt idx="9">
                  <c:v>5.3138913178496098E-3</c:v>
                </c:pt>
                <c:pt idx="10">
                  <c:v>5.1347269458336788E-4</c:v>
                </c:pt>
                <c:pt idx="11">
                  <c:v>1.2099130093380856E-2</c:v>
                </c:pt>
              </c:numCache>
            </c:numRef>
          </c:val>
        </c:ser>
        <c:dLbls>
          <c:showLegendKey val="0"/>
          <c:showVal val="0"/>
          <c:showCatName val="0"/>
          <c:showSerName val="0"/>
          <c:showPercent val="0"/>
          <c:showBubbleSize val="0"/>
        </c:dLbls>
        <c:gapWidth val="60"/>
        <c:overlap val="100"/>
        <c:axId val="1525452640"/>
        <c:axId val="1525448832"/>
      </c:barChart>
      <c:catAx>
        <c:axId val="152545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25448832"/>
        <c:crosses val="autoZero"/>
        <c:auto val="1"/>
        <c:lblAlgn val="ctr"/>
        <c:lblOffset val="100"/>
        <c:noMultiLvlLbl val="0"/>
      </c:catAx>
      <c:valAx>
        <c:axId val="1525448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crossAx val="1525452640"/>
        <c:crosses val="autoZero"/>
        <c:crossBetween val="between"/>
      </c:valAx>
      <c:spPr>
        <a:noFill/>
        <a:ln>
          <a:noFill/>
        </a:ln>
        <a:effectLst/>
      </c:spPr>
    </c:plotArea>
    <c:legend>
      <c:legendPos val="r"/>
      <c:layout>
        <c:manualLayout>
          <c:xMode val="edge"/>
          <c:yMode val="edge"/>
          <c:x val="0.13965701655714086"/>
          <c:y val="0.89793161237353969"/>
          <c:w val="0.7475610285556411"/>
          <c:h val="0.101293926420651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629506837961044E-2"/>
          <c:y val="4.5478028773235868E-2"/>
          <c:w val="0.8941327728770746"/>
          <c:h val="0.81597175667902977"/>
        </c:manualLayout>
      </c:layout>
      <c:barChart>
        <c:barDir val="col"/>
        <c:grouping val="percentStacked"/>
        <c:varyColors val="0"/>
        <c:ser>
          <c:idx val="0"/>
          <c:order val="0"/>
          <c:tx>
            <c:strRef>
              <c:f>'[0 - Crédito rural por produto - 2013 a 2024 (12.03.25) - arquivo para ajustes.xlsx]Gráficos'!$J$124</c:f>
              <c:strCache>
                <c:ptCount val="1"/>
                <c:pt idx="0">
                  <c:v>Investimento</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'[0 - Crédito rural por produto - 2013 a 2024 (12.03.25) - arquivo para ajustes.xlsx]Gráficos'!$I$125:$I$136</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'[0 - Crédito rural por produto - 2013 a 2024 (12.03.25) - arquivo para ajustes.xlsx]Gráficos'!$J$125:$J$136</c:f>
              <c:numCache>
                <c:formatCode>0.0%</c:formatCode>
                <c:ptCount val="12"/>
                <c:pt idx="0">
                  <c:v>0.37425795821977137</c:v>
                </c:pt>
                <c:pt idx="1">
                  <c:v>0.38003074265126602</c:v>
                </c:pt>
                <c:pt idx="2">
                  <c:v>0.2858618800903846</c:v>
                </c:pt>
                <c:pt idx="3">
                  <c:v>0.18551573657641271</c:v>
                </c:pt>
                <c:pt idx="4">
                  <c:v>0.16144491090898377</c:v>
                </c:pt>
                <c:pt idx="5">
                  <c:v>0.15565590499762719</c:v>
                </c:pt>
                <c:pt idx="6">
                  <c:v>0.11464157999032824</c:v>
                </c:pt>
                <c:pt idx="7">
                  <c:v>0.11912617049363682</c:v>
                </c:pt>
                <c:pt idx="8">
                  <c:v>0.1110019106141887</c:v>
                </c:pt>
                <c:pt idx="9">
                  <c:v>8.0062928975939168E-2</c:v>
                </c:pt>
                <c:pt idx="10">
                  <c:v>7.2917267584554676E-2</c:v>
                </c:pt>
                <c:pt idx="11">
                  <c:v>0.10091542643010371</c:v>
                </c:pt>
              </c:numCache>
            </c:numRef>
          </c:val>
        </c:ser>
        <c:ser>
          <c:idx val="1"/>
          <c:order val="1"/>
          <c:tx>
            <c:strRef>
              <c:f>'[0 - Crédito rural por produto - 2013 a 2024 (12.03.25) - arquivo para ajustes.xlsx]Gráficos'!$K$124</c:f>
              <c:strCache>
                <c:ptCount val="1"/>
                <c:pt idx="0">
                  <c:v>Custeio</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'[0 - Crédito rural por produto - 2013 a 2024 (12.03.25) - arquivo para ajustes.xlsx]Gráficos'!$I$125:$I$136</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'[0 - Crédito rural por produto - 2013 a 2024 (12.03.25) - arquivo para ajustes.xlsx]Gráficos'!$K$125:$K$136</c:f>
              <c:numCache>
                <c:formatCode>0.0%</c:formatCode>
                <c:ptCount val="12"/>
                <c:pt idx="0">
                  <c:v>0.50775878274423081</c:v>
                </c:pt>
                <c:pt idx="1">
                  <c:v>0.51683471387210844</c:v>
                </c:pt>
                <c:pt idx="2">
                  <c:v>0.63283964199715081</c:v>
                </c:pt>
                <c:pt idx="3">
                  <c:v>0.68996714907271772</c:v>
                </c:pt>
                <c:pt idx="4">
                  <c:v>0.69121346946194118</c:v>
                </c:pt>
                <c:pt idx="5">
                  <c:v>0.73281653121044255</c:v>
                </c:pt>
                <c:pt idx="6">
                  <c:v>0.76730082882292339</c:v>
                </c:pt>
                <c:pt idx="7">
                  <c:v>0.7922163977448472</c:v>
                </c:pt>
                <c:pt idx="8">
                  <c:v>0.7819207912056686</c:v>
                </c:pt>
                <c:pt idx="9">
                  <c:v>0.86194461713395532</c:v>
                </c:pt>
                <c:pt idx="10">
                  <c:v>0.85798196532071003</c:v>
                </c:pt>
                <c:pt idx="11">
                  <c:v>0.87499308576949386</c:v>
                </c:pt>
              </c:numCache>
            </c:numRef>
          </c:val>
        </c:ser>
        <c:ser>
          <c:idx val="2"/>
          <c:order val="2"/>
          <c:tx>
            <c:strRef>
              <c:f>'[0 - Crédito rural por produto - 2013 a 2024 (12.03.25) - arquivo para ajustes.xlsx]Gráficos'!$L$124</c:f>
              <c:strCache>
                <c:ptCount val="1"/>
                <c:pt idx="0">
                  <c:v>Industrialização</c:v>
                </c:pt>
              </c:strCache>
            </c:strRef>
          </c:tx>
          <c:spPr>
            <a:solidFill>
              <a:schemeClr val="accent6">
                <a:lumMod val="40000"/>
                <a:lumOff val="60000"/>
              </a:schemeClr>
            </a:solidFill>
            <a:ln>
              <a:noFill/>
            </a:ln>
            <a:effectLst/>
          </c:spPr>
          <c:invertIfNegative val="0"/>
          <c:dLbls>
            <c:dLbl>
              <c:idx val="10"/>
              <c:layout>
                <c:manualLayout>
                  <c:x val="2.8398950131217299E-4"/>
                  <c:y val="-1.209582844697620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'[0 - Crédito rural por produto - 2013 a 2024 (12.03.25) - arquivo para ajustes.xlsx]Gráficos'!$I$125:$I$136</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'[0 - Crédito rural por produto - 2013 a 2024 (12.03.25) - arquivo para ajustes.xlsx]Gráficos'!$L$125:$L$136</c:f>
              <c:numCache>
                <c:formatCode>General</c:formatCode>
                <c:ptCount val="12"/>
                <c:pt idx="3" formatCode="0.0%">
                  <c:v>2.0880789846324643E-2</c:v>
                </c:pt>
                <c:pt idx="4" formatCode="0.0%">
                  <c:v>4.8540647490177523E-2</c:v>
                </c:pt>
                <c:pt idx="5" formatCode="0.0%">
                  <c:v>5.505178169155614E-2</c:v>
                </c:pt>
                <c:pt idx="6" formatCode="0.0%">
                  <c:v>5.1260102229101275E-2</c:v>
                </c:pt>
                <c:pt idx="7" formatCode="0.0%">
                  <c:v>4.6001021934472301E-2</c:v>
                </c:pt>
                <c:pt idx="8" formatCode="0.0%">
                  <c:v>3.8604916868387039E-2</c:v>
                </c:pt>
                <c:pt idx="9" formatCode="0.0%">
                  <c:v>2.7521028842199056E-2</c:v>
                </c:pt>
                <c:pt idx="10" formatCode="0.0%">
                  <c:v>6.3370355541848139E-2</c:v>
                </c:pt>
                <c:pt idx="11" formatCode="0.0%">
                  <c:v>2.0774380929651011E-2</c:v>
                </c:pt>
              </c:numCache>
            </c:numRef>
          </c:val>
        </c:ser>
        <c:ser>
          <c:idx val="3"/>
          <c:order val="3"/>
          <c:tx>
            <c:strRef>
              <c:f>'[0 - Crédito rural por produto - 2013 a 2024 (12.03.25) - arquivo para ajustes.xlsx]Gráficos'!$M$124</c:f>
              <c:strCache>
                <c:ptCount val="1"/>
                <c:pt idx="0">
                  <c:v>Comercialização</c:v>
                </c:pt>
              </c:strCache>
            </c:strRef>
          </c:tx>
          <c:spPr>
            <a:solidFill>
              <a:schemeClr val="accent3">
                <a:lumMod val="40000"/>
                <a:lumOff val="60000"/>
              </a:schemeClr>
            </a:solidFill>
            <a:ln>
              <a:noFill/>
            </a:ln>
            <a:effectLst/>
          </c:spPr>
          <c:invertIfNegative val="0"/>
          <c:dLbls>
            <c:dLbl>
              <c:idx val="10"/>
              <c:layout>
                <c:manualLayout>
                  <c:x val="-2.2222222222222222E-3"/>
                  <c:y val="-1.4184397163120572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2.1276595744680854E-2"/>
                </c:manualLayout>
              </c:layout>
              <c:showLegendKey val="0"/>
              <c:showVal val="1"/>
              <c:showCatName val="0"/>
              <c:showSerName val="0"/>
              <c:showPercent val="0"/>
              <c:showBubbleSize val="0"/>
              <c:extLst>
                <c:ext xmlns:c15="http://schemas.microsoft.com/office/drawing/2012/chart" uri="{CE6537A1-D6FC-4f65-9D91-7224C49458BB}">
                  <c15:layout>
                    <c:manualLayout>
                      <c:w val="5.7377777777777778E-2"/>
                      <c:h val="4.8049645390070922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'[0 - Crédito rural por produto - 2013 a 2024 (12.03.25) - arquivo para ajustes.xlsx]Gráficos'!$I$125:$I$136</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'[0 - Crédito rural por produto - 2013 a 2024 (12.03.25) - arquivo para ajustes.xlsx]Gráficos'!$M$125:$M$136</c:f>
              <c:numCache>
                <c:formatCode>0.0%</c:formatCode>
                <c:ptCount val="12"/>
                <c:pt idx="0">
                  <c:v>0.11798325903599784</c:v>
                </c:pt>
                <c:pt idx="1">
                  <c:v>0.10313454347662561</c:v>
                </c:pt>
                <c:pt idx="2">
                  <c:v>8.129847791246464E-2</c:v>
                </c:pt>
                <c:pt idx="3">
                  <c:v>0.10363632450454495</c:v>
                </c:pt>
                <c:pt idx="4">
                  <c:v>9.880097213889763E-2</c:v>
                </c:pt>
                <c:pt idx="5">
                  <c:v>5.6475782100374232E-2</c:v>
                </c:pt>
                <c:pt idx="6">
                  <c:v>6.6797488957647089E-2</c:v>
                </c:pt>
                <c:pt idx="7">
                  <c:v>4.2656409827043711E-2</c:v>
                </c:pt>
                <c:pt idx="8">
                  <c:v>6.8472381311755814E-2</c:v>
                </c:pt>
                <c:pt idx="9">
                  <c:v>3.0471425047906349E-2</c:v>
                </c:pt>
                <c:pt idx="10">
                  <c:v>5.7304115528871991E-3</c:v>
                </c:pt>
                <c:pt idx="11">
                  <c:v>3.317106870751498E-3</c:v>
                </c:pt>
              </c:numCache>
            </c:numRef>
          </c:val>
        </c:ser>
        <c:dLbls>
          <c:showLegendKey val="0"/>
          <c:showVal val="0"/>
          <c:showCatName val="0"/>
          <c:showSerName val="0"/>
          <c:showPercent val="0"/>
          <c:showBubbleSize val="0"/>
        </c:dLbls>
        <c:gapWidth val="60"/>
        <c:overlap val="100"/>
        <c:axId val="1525453728"/>
        <c:axId val="1525460800"/>
      </c:barChart>
      <c:catAx>
        <c:axId val="152545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25460800"/>
        <c:crosses val="autoZero"/>
        <c:auto val="1"/>
        <c:lblAlgn val="ctr"/>
        <c:lblOffset val="100"/>
        <c:noMultiLvlLbl val="0"/>
      </c:catAx>
      <c:valAx>
        <c:axId val="1525460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crossAx val="1525453728"/>
        <c:crosses val="autoZero"/>
        <c:crossBetween val="between"/>
      </c:valAx>
      <c:spPr>
        <a:noFill/>
        <a:ln>
          <a:noFill/>
        </a:ln>
        <a:effectLst/>
      </c:spPr>
    </c:plotArea>
    <c:legend>
      <c:legendPos val="r"/>
      <c:layout>
        <c:manualLayout>
          <c:xMode val="edge"/>
          <c:yMode val="edge"/>
          <c:x val="0.13965701655714086"/>
          <c:y val="0.91808273336110069"/>
          <c:w val="0.7475610285556411"/>
          <c:h val="8.114269091678401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z0bjdNE2Wx8Oox6ILgLR6ppZTA==">CgMxLjAyCWguMzBqMHpsbDIIaC5namRneHMyCWguMWZvYjl0ZTIOaC5md2pvYjB6MGtrNGsyDmguZndqb2IwejBrazRrMg5oLnV0bTg3YnVqeWcxMjIOaC43dm9ndmxoaHlxMjIyDmgubjB5ZzRiMWd4ODNyOAByITFmMGxCNUhQYVVkeE9iYWt0ZXBzYUFjZmFYS0llOGExcg==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8AE37F-CA33-4F8E-A96C-6508C209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17</Pages>
  <Words>6204</Words>
  <Characters>33507</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Luis Giehl</dc:creator>
  <cp:lastModifiedBy>Alexandre Luis Giehl</cp:lastModifiedBy>
  <cp:revision>16</cp:revision>
  <dcterms:created xsi:type="dcterms:W3CDTF">2025-02-25T16:32:00Z</dcterms:created>
  <dcterms:modified xsi:type="dcterms:W3CDTF">2025-03-12T22:33:00Z</dcterms:modified>
</cp:coreProperties>
</file>