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4367AC1B" w:rsidR="004B77FA" w:rsidRDefault="00B70A66" w:rsidP="004B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EFICÁCIA DA TOXINA BOTULÍNICA PARA O </w:t>
      </w:r>
      <w:r w:rsidR="00900DE9">
        <w:rPr>
          <w:rFonts w:ascii="Times New Roman" w:hAnsi="Times New Roman" w:cs="Times New Roman"/>
          <w:b/>
          <w:sz w:val="28"/>
          <w:szCs w:val="28"/>
        </w:rPr>
        <w:t>ALÍVIO</w:t>
      </w:r>
      <w:r>
        <w:rPr>
          <w:rFonts w:ascii="Times New Roman" w:hAnsi="Times New Roman" w:cs="Times New Roman"/>
          <w:b/>
          <w:sz w:val="28"/>
          <w:szCs w:val="28"/>
        </w:rPr>
        <w:t xml:space="preserve"> DOS SINTOMAS DE PACIENTES COM DISFUNÇÃO TEMPOROMANDIBULAR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0AC055D" w14:textId="19E270B4" w:rsidR="005613D5" w:rsidRDefault="0046205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Naiane Caroline Silva</w:t>
      </w:r>
    </w:p>
    <w:p w14:paraId="0308D4AD" w14:textId="3F5495F2" w:rsidR="005613D5" w:rsidRDefault="0046205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</w:t>
      </w:r>
      <w:r w:rsidR="005613D5">
        <w:rPr>
          <w:rFonts w:ascii="Times New Roman" w:hAnsi="Times New Roman" w:cs="Times New Roman"/>
          <w:sz w:val="20"/>
          <w:szCs w:val="20"/>
        </w:rPr>
        <w:t xml:space="preserve"> - Centro Universitário Fametro - Unifametro)</w:t>
      </w:r>
    </w:p>
    <w:p w14:paraId="4556E135" w14:textId="0C0D23FF" w:rsidR="005613D5" w:rsidRDefault="00000000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462059" w:rsidRPr="008E4C28">
          <w:rPr>
            <w:rStyle w:val="Hyperlink"/>
            <w:rFonts w:ascii="Times New Roman" w:hAnsi="Times New Roman" w:cs="Times New Roman"/>
            <w:sz w:val="20"/>
            <w:szCs w:val="20"/>
          </w:rPr>
          <w:t>naiane.silva01@aluno.unifametro.edu.br</w:t>
        </w:r>
      </w:hyperlink>
    </w:p>
    <w:p w14:paraId="6F2AA53B" w14:textId="1046C941" w:rsidR="00462059" w:rsidRDefault="00462059" w:rsidP="0046205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Letícia Teixeira</w:t>
      </w:r>
    </w:p>
    <w:p w14:paraId="5211C018" w14:textId="77777777" w:rsidR="00462059" w:rsidRDefault="00462059" w:rsidP="0046205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- Centro Universitário Fametro - Unifametro)</w:t>
      </w:r>
    </w:p>
    <w:p w14:paraId="0E0335B5" w14:textId="4567E0E2" w:rsidR="00462059" w:rsidRDefault="00000000" w:rsidP="00462059">
      <w:pPr>
        <w:pStyle w:val="Corpodetexto"/>
        <w:spacing w:after="0" w:line="360" w:lineRule="atLeast"/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hyperlink r:id="rId7" w:history="1">
        <w:r w:rsidR="00462059" w:rsidRPr="008E4C28">
          <w:rPr>
            <w:rStyle w:val="Hyperlink"/>
            <w:rFonts w:ascii="Times New Roman" w:hAnsi="Times New Roman" w:cs="Times New Roman"/>
            <w:sz w:val="20"/>
            <w:szCs w:val="20"/>
          </w:rPr>
          <w:t>leticia.teixeira03@aluno.unifametro.edu.br</w:t>
        </w:r>
      </w:hyperlink>
    </w:p>
    <w:p w14:paraId="08B128A1" w14:textId="44AA9405" w:rsidR="00EF6A9B" w:rsidRDefault="00EF6A9B" w:rsidP="00EF6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Enzo </w:t>
      </w:r>
      <w:r w:rsidR="00165AE4">
        <w:rPr>
          <w:rFonts w:ascii="Times New Roman" w:hAnsi="Times New Roman" w:cs="Times New Roman"/>
          <w:b/>
          <w:bCs/>
        </w:rPr>
        <w:t>Oliveira Lima de Vasconcelos</w:t>
      </w:r>
    </w:p>
    <w:p w14:paraId="0F706E8D" w14:textId="77777777" w:rsidR="00EF6A9B" w:rsidRDefault="00EF6A9B" w:rsidP="00EF6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- Centro Universitário Fametro - Unifametro)</w:t>
      </w:r>
    </w:p>
    <w:p w14:paraId="674DC454" w14:textId="4FEEF0CB" w:rsidR="00EF6A9B" w:rsidRDefault="00000000" w:rsidP="00EF6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="00165AE4" w:rsidRPr="00BC2A8B">
          <w:rPr>
            <w:rStyle w:val="Hyperlink"/>
            <w:rFonts w:ascii="Times New Roman" w:hAnsi="Times New Roman" w:cs="Times New Roman"/>
            <w:sz w:val="20"/>
            <w:szCs w:val="20"/>
          </w:rPr>
          <w:t>enzo.vasconcelos@aluno.unifametro.edu.br</w:t>
        </w:r>
      </w:hyperlink>
    </w:p>
    <w:p w14:paraId="479C47AE" w14:textId="768F8A67" w:rsidR="00165AE4" w:rsidRDefault="00241BA2" w:rsidP="00165AE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Lucas Lustosa da Cunha</w:t>
      </w:r>
    </w:p>
    <w:p w14:paraId="5176C0E4" w14:textId="77777777" w:rsidR="00165AE4" w:rsidRDefault="00165AE4" w:rsidP="00165AE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- Centro Universitário Fametro - Unifametro)</w:t>
      </w:r>
    </w:p>
    <w:p w14:paraId="3968E8A1" w14:textId="08E9E9E9" w:rsidR="00EF6A9B" w:rsidRDefault="00000000" w:rsidP="00241BA2">
      <w:pPr>
        <w:pStyle w:val="Corpodetexto"/>
        <w:spacing w:after="0" w:line="360" w:lineRule="atLeast"/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hyperlink r:id="rId9" w:history="1">
        <w:r w:rsidR="00241BA2" w:rsidRPr="00BC2A8B">
          <w:rPr>
            <w:rStyle w:val="Hyperlink"/>
            <w:rFonts w:ascii="Times New Roman" w:hAnsi="Times New Roman" w:cs="Times New Roman"/>
            <w:sz w:val="20"/>
            <w:szCs w:val="20"/>
          </w:rPr>
          <w:t>lucas.lustosa@aluno.unifametro.edu.br</w:t>
        </w:r>
      </w:hyperlink>
    </w:p>
    <w:p w14:paraId="0D7E46B6" w14:textId="1E3E6F92" w:rsidR="00D42240" w:rsidRDefault="00172223" w:rsidP="0068048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Antonia </w:t>
      </w:r>
      <w:proofErr w:type="spellStart"/>
      <w:r>
        <w:rPr>
          <w:rFonts w:ascii="Times New Roman" w:hAnsi="Times New Roman" w:cs="Times New Roman"/>
          <w:b/>
          <w:bCs/>
        </w:rPr>
        <w:t>L</w:t>
      </w:r>
      <w:r w:rsidR="008D0E0F">
        <w:rPr>
          <w:rFonts w:ascii="Times New Roman" w:hAnsi="Times New Roman" w:cs="Times New Roman"/>
          <w:b/>
          <w:bCs/>
        </w:rPr>
        <w:t>iciene</w:t>
      </w:r>
      <w:proofErr w:type="spellEnd"/>
      <w:r w:rsidR="00C327C3">
        <w:rPr>
          <w:rFonts w:ascii="Times New Roman" w:hAnsi="Times New Roman" w:cs="Times New Roman"/>
          <w:b/>
          <w:bCs/>
        </w:rPr>
        <w:t xml:space="preserve"> Rodrigues </w:t>
      </w:r>
      <w:r w:rsidR="00E02DDB">
        <w:rPr>
          <w:rFonts w:ascii="Times New Roman" w:hAnsi="Times New Roman" w:cs="Times New Roman"/>
          <w:b/>
          <w:bCs/>
        </w:rPr>
        <w:t>Mene</w:t>
      </w:r>
      <w:r w:rsidR="00AC6F93">
        <w:rPr>
          <w:rFonts w:ascii="Times New Roman" w:hAnsi="Times New Roman" w:cs="Times New Roman"/>
          <w:b/>
          <w:bCs/>
        </w:rPr>
        <w:t>zes</w:t>
      </w:r>
    </w:p>
    <w:p w14:paraId="406B5A68" w14:textId="77777777" w:rsidR="00D42240" w:rsidRDefault="00D42240" w:rsidP="0068048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- Centro Universitário Fametro - Unifametro)</w:t>
      </w:r>
    </w:p>
    <w:p w14:paraId="66ACC7EA" w14:textId="274BC13D" w:rsidR="00D42240" w:rsidRDefault="00D42240" w:rsidP="00D4224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E10098">
          <w:rPr>
            <w:rStyle w:val="Hyperlink"/>
            <w:rFonts w:ascii="Times New Roman" w:hAnsi="Times New Roman" w:cs="Times New Roman"/>
            <w:sz w:val="20"/>
            <w:szCs w:val="20"/>
          </w:rPr>
          <w:t>antonia.</w:t>
        </w:r>
        <w:r w:rsidR="0050765F">
          <w:rPr>
            <w:rStyle w:val="Hyperlink"/>
            <w:rFonts w:ascii="Times New Roman" w:hAnsi="Times New Roman" w:cs="Times New Roman"/>
            <w:sz w:val="20"/>
            <w:szCs w:val="20"/>
          </w:rPr>
          <w:t>menezes</w:t>
        </w:r>
        <w:r w:rsidRPr="00BC2A8B">
          <w:rPr>
            <w:rStyle w:val="Hyperlink"/>
            <w:rFonts w:ascii="Times New Roman" w:hAnsi="Times New Roman" w:cs="Times New Roman"/>
            <w:sz w:val="20"/>
            <w:szCs w:val="20"/>
          </w:rPr>
          <w:t>@aluno.unifametro.edu.br</w:t>
        </w:r>
      </w:hyperlink>
    </w:p>
    <w:p w14:paraId="261A9D8D" w14:textId="48797571" w:rsidR="006B15F8" w:rsidRDefault="006B15F8" w:rsidP="006B15F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Daniela Reis</w:t>
      </w:r>
    </w:p>
    <w:p w14:paraId="661AF4B3" w14:textId="78599757" w:rsidR="006B15F8" w:rsidRDefault="006B15F8" w:rsidP="006B15F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Docente- Centro Universitário Fametro - Unifametro)</w:t>
      </w:r>
    </w:p>
    <w:p w14:paraId="4F6D8CF0" w14:textId="5973447F" w:rsidR="006B15F8" w:rsidRDefault="00000000" w:rsidP="006B15F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6B15F8" w:rsidRPr="008E4C28">
          <w:rPr>
            <w:rStyle w:val="Hyperlink"/>
            <w:rFonts w:ascii="Times New Roman" w:hAnsi="Times New Roman" w:cs="Times New Roman"/>
            <w:sz w:val="20"/>
            <w:szCs w:val="20"/>
          </w:rPr>
          <w:t>daniela.reis@professor.unifametro.edu.br</w:t>
        </w:r>
      </w:hyperlink>
    </w:p>
    <w:p w14:paraId="4661B955" w14:textId="77777777" w:rsidR="006B15F8" w:rsidRDefault="006B15F8" w:rsidP="006B15F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4C830CD6" w14:textId="4B5C1190" w:rsidR="00462059" w:rsidRDefault="00462059" w:rsidP="0046205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3BF55B8B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29745C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127643FF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29745C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3ECDF647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900DE9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3EB5DBCA" w:rsidR="005613D5" w:rsidRPr="005613D5" w:rsidRDefault="005613D5" w:rsidP="002061C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B70A66">
        <w:rPr>
          <w:rFonts w:ascii="Times New Roman" w:hAnsi="Times New Roman" w:cs="Times New Roman"/>
          <w:bCs/>
        </w:rPr>
        <w:t xml:space="preserve"> A disfunção temporomandibular é uma patologia multifatorial e </w:t>
      </w:r>
      <w:proofErr w:type="spellStart"/>
      <w:r w:rsidR="00B70A66">
        <w:rPr>
          <w:rFonts w:ascii="Times New Roman" w:hAnsi="Times New Roman" w:cs="Times New Roman"/>
          <w:bCs/>
        </w:rPr>
        <w:t>polissintomática</w:t>
      </w:r>
      <w:proofErr w:type="spellEnd"/>
      <w:r w:rsidR="00B70A66">
        <w:rPr>
          <w:rFonts w:ascii="Times New Roman" w:hAnsi="Times New Roman" w:cs="Times New Roman"/>
          <w:bCs/>
        </w:rPr>
        <w:t xml:space="preserve"> que têm sido descrita como um conjunto de condições </w:t>
      </w:r>
      <w:r w:rsidR="00900DE9">
        <w:rPr>
          <w:rFonts w:ascii="Times New Roman" w:hAnsi="Times New Roman" w:cs="Times New Roman"/>
          <w:bCs/>
        </w:rPr>
        <w:t>musculoesqueléticas</w:t>
      </w:r>
      <w:r w:rsidR="00B70A66">
        <w:rPr>
          <w:rFonts w:ascii="Times New Roman" w:hAnsi="Times New Roman" w:cs="Times New Roman"/>
          <w:bCs/>
        </w:rPr>
        <w:t xml:space="preserve"> e neuromusculares que envolvem a articulação temporomandibular (ATM), os músculos da mastigação e todos os tecidos associados. Essa disfunção é dividida em DTM miofasciais, que estão associadas a dor dos músculos </w:t>
      </w:r>
      <w:proofErr w:type="spellStart"/>
      <w:r w:rsidR="00B70A66">
        <w:rPr>
          <w:rFonts w:ascii="Times New Roman" w:hAnsi="Times New Roman" w:cs="Times New Roman"/>
          <w:bCs/>
        </w:rPr>
        <w:t>hiperfuncionais</w:t>
      </w:r>
      <w:proofErr w:type="spellEnd"/>
      <w:r w:rsidR="00B70A66">
        <w:rPr>
          <w:rFonts w:ascii="Times New Roman" w:hAnsi="Times New Roman" w:cs="Times New Roman"/>
          <w:bCs/>
        </w:rPr>
        <w:t xml:space="preserve"> da mastigação, ou seja, </w:t>
      </w:r>
      <w:r w:rsidR="00900DE9">
        <w:rPr>
          <w:rFonts w:ascii="Times New Roman" w:hAnsi="Times New Roman" w:cs="Times New Roman"/>
          <w:bCs/>
        </w:rPr>
        <w:t>distúrbios</w:t>
      </w:r>
      <w:r w:rsidR="00B70A66">
        <w:rPr>
          <w:rFonts w:ascii="Times New Roman" w:hAnsi="Times New Roman" w:cs="Times New Roman"/>
          <w:bCs/>
        </w:rPr>
        <w:t xml:space="preserve"> musculares mastigatórios, e DTM </w:t>
      </w:r>
      <w:proofErr w:type="spellStart"/>
      <w:r w:rsidR="00B70A66">
        <w:rPr>
          <w:rFonts w:ascii="Times New Roman" w:hAnsi="Times New Roman" w:cs="Times New Roman"/>
          <w:bCs/>
        </w:rPr>
        <w:t>artrogênica</w:t>
      </w:r>
      <w:proofErr w:type="spellEnd"/>
      <w:r w:rsidR="00B70A66">
        <w:rPr>
          <w:rFonts w:ascii="Times New Roman" w:hAnsi="Times New Roman" w:cs="Times New Roman"/>
          <w:bCs/>
        </w:rPr>
        <w:t xml:space="preserve"> que está relacionada a articulação propriamente dita. Alguns sintomas </w:t>
      </w:r>
      <w:r w:rsidR="00B70A66">
        <w:rPr>
          <w:rFonts w:ascii="Times New Roman" w:hAnsi="Times New Roman" w:cs="Times New Roman"/>
          <w:bCs/>
        </w:rPr>
        <w:lastRenderedPageBreak/>
        <w:t>incluem dor na ATM, sons articulares, dores de cabeça, dor periauricular, dor no pescoço entre outros. Existem diversos métodos para o alívio dos sintomas das DTMs entre eles, a injeção intra-articular com a Toxina Botulínica</w:t>
      </w:r>
      <w:r w:rsidR="002061CF">
        <w:rPr>
          <w:rFonts w:ascii="Times New Roman" w:hAnsi="Times New Roman" w:cs="Times New Roman"/>
          <w:bCs/>
        </w:rPr>
        <w:t xml:space="preserve">, que é a exotoxina de uma bactéria aeróbica gram-positiva chamada </w:t>
      </w:r>
      <w:proofErr w:type="spellStart"/>
      <w:r w:rsidR="002061CF">
        <w:rPr>
          <w:rFonts w:ascii="Times New Roman" w:hAnsi="Times New Roman" w:cs="Times New Roman"/>
          <w:bCs/>
        </w:rPr>
        <w:t>Clostridium</w:t>
      </w:r>
      <w:proofErr w:type="spellEnd"/>
      <w:r w:rsidR="002061CF">
        <w:rPr>
          <w:rFonts w:ascii="Times New Roman" w:hAnsi="Times New Roman" w:cs="Times New Roman"/>
          <w:bCs/>
        </w:rPr>
        <w:t xml:space="preserve"> </w:t>
      </w:r>
      <w:proofErr w:type="spellStart"/>
      <w:r w:rsidR="002061CF">
        <w:rPr>
          <w:rFonts w:ascii="Times New Roman" w:hAnsi="Times New Roman" w:cs="Times New Roman"/>
          <w:bCs/>
        </w:rPr>
        <w:t>Botulinium</w:t>
      </w:r>
      <w:proofErr w:type="spellEnd"/>
      <w:r w:rsidR="002061CF">
        <w:rPr>
          <w:rFonts w:ascii="Times New Roman" w:hAnsi="Times New Roman" w:cs="Times New Roman"/>
          <w:bCs/>
        </w:rPr>
        <w:t xml:space="preserve"> a qual possui oito tipos diferentes. A toxina tipo A (BTX-A) é uma variante biológica que inibe temporariamente o músculo esquelético, dificultando a produção de acetilcolina e inativando os canais de cálcio das terminações nervosas, causando assim a inatividade dos músculos ou glândulas. Os efeitos clínicos são observados no primeiro a terceiro dia após a injeção e a duração típica do efeito é de três a quatro meses. </w:t>
      </w:r>
      <w:r>
        <w:rPr>
          <w:rFonts w:ascii="Times New Roman" w:hAnsi="Times New Roman" w:cs="Times New Roman"/>
          <w:b/>
          <w:bCs/>
        </w:rPr>
        <w:t>Objetivo:</w:t>
      </w:r>
      <w:r w:rsidR="00B70A66">
        <w:rPr>
          <w:rFonts w:ascii="Times New Roman" w:hAnsi="Times New Roman" w:cs="Times New Roman"/>
          <w:bCs/>
        </w:rPr>
        <w:t xml:space="preserve"> </w:t>
      </w:r>
      <w:r w:rsidR="00900DE9">
        <w:rPr>
          <w:rFonts w:ascii="Times New Roman" w:hAnsi="Times New Roman" w:cs="Times New Roman"/>
          <w:bCs/>
        </w:rPr>
        <w:t xml:space="preserve">Verificar, através de uma revisão de literatura, a eficácia da utilização da Toxina Botulínica em pacientes que apresentam algum tipo de Disfunção Temporomandibular. </w:t>
      </w:r>
      <w:r>
        <w:rPr>
          <w:rFonts w:ascii="Times New Roman" w:hAnsi="Times New Roman" w:cs="Times New Roman"/>
          <w:b/>
          <w:bCs/>
        </w:rPr>
        <w:t>Metodologia:</w:t>
      </w:r>
      <w:r w:rsidR="00900DE9" w:rsidRPr="00900DE9">
        <w:rPr>
          <w:rFonts w:ascii="Times New Roman" w:hAnsi="Times New Roman" w:cs="Times New Roman"/>
          <w:bCs/>
        </w:rPr>
        <w:t xml:space="preserve"> </w:t>
      </w:r>
      <w:r w:rsidR="00900DE9">
        <w:rPr>
          <w:rFonts w:ascii="Times New Roman" w:hAnsi="Times New Roman" w:cs="Times New Roman"/>
          <w:bCs/>
        </w:rPr>
        <w:t>Trata-se de uma revisão de literatura, realizada na base de dados Google Acadêmico,</w:t>
      </w:r>
      <w:r w:rsidR="008F7BAA">
        <w:rPr>
          <w:rFonts w:ascii="Times New Roman" w:hAnsi="Times New Roman" w:cs="Times New Roman"/>
          <w:bCs/>
        </w:rPr>
        <w:t xml:space="preserve"> PubMed e </w:t>
      </w:r>
      <w:proofErr w:type="spellStart"/>
      <w:r w:rsidR="008F7BAA">
        <w:rPr>
          <w:rFonts w:ascii="Times New Roman" w:hAnsi="Times New Roman" w:cs="Times New Roman"/>
          <w:bCs/>
        </w:rPr>
        <w:t>Medline</w:t>
      </w:r>
      <w:proofErr w:type="spellEnd"/>
      <w:r w:rsidR="00900DE9">
        <w:rPr>
          <w:rFonts w:ascii="Times New Roman" w:hAnsi="Times New Roman" w:cs="Times New Roman"/>
          <w:bCs/>
        </w:rPr>
        <w:t xml:space="preserve"> por meio dos descritores </w:t>
      </w:r>
      <w:proofErr w:type="spellStart"/>
      <w:r w:rsidR="00900DE9">
        <w:rPr>
          <w:rFonts w:ascii="Times New Roman" w:hAnsi="Times New Roman" w:cs="Times New Roman"/>
          <w:bCs/>
        </w:rPr>
        <w:t>B</w:t>
      </w:r>
      <w:r w:rsidR="00900DE9" w:rsidRPr="00900DE9">
        <w:rPr>
          <w:rFonts w:ascii="Times New Roman" w:hAnsi="Times New Roman" w:cs="Times New Roman"/>
          <w:bCs/>
        </w:rPr>
        <w:t>otulinum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 </w:t>
      </w:r>
      <w:proofErr w:type="spellStart"/>
      <w:r w:rsidR="00900DE9">
        <w:rPr>
          <w:rFonts w:ascii="Times New Roman" w:hAnsi="Times New Roman" w:cs="Times New Roman"/>
          <w:bCs/>
        </w:rPr>
        <w:t>T</w:t>
      </w:r>
      <w:r w:rsidR="00900DE9" w:rsidRPr="00900DE9">
        <w:rPr>
          <w:rFonts w:ascii="Times New Roman" w:hAnsi="Times New Roman" w:cs="Times New Roman"/>
          <w:bCs/>
        </w:rPr>
        <w:t>oxin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; </w:t>
      </w:r>
      <w:proofErr w:type="spellStart"/>
      <w:r w:rsidR="00900DE9">
        <w:rPr>
          <w:rFonts w:ascii="Times New Roman" w:hAnsi="Times New Roman" w:cs="Times New Roman"/>
          <w:bCs/>
        </w:rPr>
        <w:t>B</w:t>
      </w:r>
      <w:r w:rsidR="00900DE9" w:rsidRPr="00900DE9">
        <w:rPr>
          <w:rFonts w:ascii="Times New Roman" w:hAnsi="Times New Roman" w:cs="Times New Roman"/>
          <w:bCs/>
        </w:rPr>
        <w:t>ruxism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; </w:t>
      </w:r>
      <w:r w:rsidR="00900DE9">
        <w:rPr>
          <w:rFonts w:ascii="Times New Roman" w:hAnsi="Times New Roman" w:cs="Times New Roman"/>
          <w:bCs/>
        </w:rPr>
        <w:t>S</w:t>
      </w:r>
      <w:r w:rsidR="00900DE9" w:rsidRPr="00900DE9">
        <w:rPr>
          <w:rFonts w:ascii="Times New Roman" w:hAnsi="Times New Roman" w:cs="Times New Roman"/>
          <w:bCs/>
        </w:rPr>
        <w:t xml:space="preserve">ide </w:t>
      </w:r>
      <w:proofErr w:type="spellStart"/>
      <w:r w:rsidR="00900DE9" w:rsidRPr="00900DE9">
        <w:rPr>
          <w:rFonts w:ascii="Times New Roman" w:hAnsi="Times New Roman" w:cs="Times New Roman"/>
          <w:bCs/>
        </w:rPr>
        <w:t>effects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; </w:t>
      </w:r>
      <w:proofErr w:type="spellStart"/>
      <w:r w:rsidR="00900DE9">
        <w:rPr>
          <w:rFonts w:ascii="Times New Roman" w:hAnsi="Times New Roman" w:cs="Times New Roman"/>
          <w:bCs/>
        </w:rPr>
        <w:t>T</w:t>
      </w:r>
      <w:r w:rsidR="00900DE9" w:rsidRPr="00900DE9">
        <w:rPr>
          <w:rFonts w:ascii="Times New Roman" w:hAnsi="Times New Roman" w:cs="Times New Roman"/>
          <w:bCs/>
        </w:rPr>
        <w:t>emporomandibular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 </w:t>
      </w:r>
      <w:proofErr w:type="spellStart"/>
      <w:r w:rsidR="00900DE9">
        <w:rPr>
          <w:rFonts w:ascii="Times New Roman" w:hAnsi="Times New Roman" w:cs="Times New Roman"/>
          <w:bCs/>
        </w:rPr>
        <w:t>J</w:t>
      </w:r>
      <w:r w:rsidR="00900DE9" w:rsidRPr="00900DE9">
        <w:rPr>
          <w:rFonts w:ascii="Times New Roman" w:hAnsi="Times New Roman" w:cs="Times New Roman"/>
          <w:bCs/>
        </w:rPr>
        <w:t>oints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 </w:t>
      </w:r>
      <w:proofErr w:type="spellStart"/>
      <w:r w:rsidR="00900DE9">
        <w:rPr>
          <w:rFonts w:ascii="Times New Roman" w:hAnsi="Times New Roman" w:cs="Times New Roman"/>
          <w:bCs/>
        </w:rPr>
        <w:t>D</w:t>
      </w:r>
      <w:r w:rsidR="00900DE9" w:rsidRPr="00900DE9">
        <w:rPr>
          <w:rFonts w:ascii="Times New Roman" w:hAnsi="Times New Roman" w:cs="Times New Roman"/>
          <w:bCs/>
        </w:rPr>
        <w:t>isorders</w:t>
      </w:r>
      <w:proofErr w:type="spellEnd"/>
      <w:r w:rsidR="00900DE9" w:rsidRPr="00900DE9">
        <w:rPr>
          <w:rFonts w:ascii="Times New Roman" w:hAnsi="Times New Roman" w:cs="Times New Roman"/>
          <w:bCs/>
        </w:rPr>
        <w:t xml:space="preserve">; </w:t>
      </w:r>
      <w:proofErr w:type="spellStart"/>
      <w:r w:rsidR="00900DE9">
        <w:rPr>
          <w:rFonts w:ascii="Times New Roman" w:hAnsi="Times New Roman" w:cs="Times New Roman"/>
          <w:bCs/>
        </w:rPr>
        <w:t>T</w:t>
      </w:r>
      <w:r w:rsidR="00900DE9" w:rsidRPr="00900DE9">
        <w:rPr>
          <w:rFonts w:ascii="Times New Roman" w:hAnsi="Times New Roman" w:cs="Times New Roman"/>
          <w:bCs/>
        </w:rPr>
        <w:t>reatment</w:t>
      </w:r>
      <w:proofErr w:type="spellEnd"/>
      <w:r w:rsidR="00900DE9">
        <w:rPr>
          <w:rFonts w:ascii="Times New Roman" w:hAnsi="Times New Roman" w:cs="Times New Roman"/>
          <w:bCs/>
        </w:rPr>
        <w:t xml:space="preserve">, apenas em inglês. Considerando artigos dos últimos 10 anos, foram </w:t>
      </w:r>
      <w:r w:rsidR="008D0EE0">
        <w:rPr>
          <w:rFonts w:ascii="Times New Roman" w:hAnsi="Times New Roman" w:cs="Times New Roman"/>
          <w:bCs/>
        </w:rPr>
        <w:t>lidos</w:t>
      </w:r>
      <w:r w:rsidR="00900DE9">
        <w:rPr>
          <w:rFonts w:ascii="Times New Roman" w:hAnsi="Times New Roman" w:cs="Times New Roman"/>
          <w:bCs/>
        </w:rPr>
        <w:t xml:space="preserve"> </w:t>
      </w:r>
      <w:r w:rsidR="00AD39A3">
        <w:rPr>
          <w:rFonts w:ascii="Times New Roman" w:hAnsi="Times New Roman" w:cs="Times New Roman"/>
          <w:bCs/>
        </w:rPr>
        <w:t>54</w:t>
      </w:r>
      <w:r w:rsidR="00900DE9">
        <w:rPr>
          <w:rFonts w:ascii="Times New Roman" w:hAnsi="Times New Roman" w:cs="Times New Roman"/>
          <w:bCs/>
        </w:rPr>
        <w:t xml:space="preserve"> artigos dos quais, por meio dos critérios de inclusão e exclusão, </w:t>
      </w:r>
      <w:r w:rsidR="001A45B8">
        <w:rPr>
          <w:rFonts w:ascii="Times New Roman" w:hAnsi="Times New Roman" w:cs="Times New Roman"/>
          <w:bCs/>
        </w:rPr>
        <w:t>10</w:t>
      </w:r>
      <w:r w:rsidR="00900DE9">
        <w:rPr>
          <w:rFonts w:ascii="Times New Roman" w:hAnsi="Times New Roman" w:cs="Times New Roman"/>
          <w:bCs/>
        </w:rPr>
        <w:t xml:space="preserve"> foram selecionados.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D06AF2">
        <w:rPr>
          <w:rFonts w:ascii="Times New Roman" w:hAnsi="Times New Roman" w:cs="Times New Roman"/>
          <w:bCs/>
        </w:rPr>
        <w:t>Existem diversas técnicas terapêuticas para aliviar os sintomas dos distúrbios temporomandibulares. A toxina botulínica é uma opção segura e eficaz para pacientes com DTM devido as suas habilidades</w:t>
      </w:r>
      <w:r w:rsidR="00A35756">
        <w:rPr>
          <w:rFonts w:ascii="Times New Roman" w:hAnsi="Times New Roman" w:cs="Times New Roman"/>
          <w:bCs/>
        </w:rPr>
        <w:t xml:space="preserve"> analgésicas e relaxante. É recomendada especialmente para pacientes com DTM miofascial que não conseguem uma resposta completa no manejo conservador e medicamentoso com agentes anti-inflamatórios, analgésicos, relaxantes musculares e, em alguns casos, antidepressivos cíclicos. É recomendada a utilização de baixas doses de toxina botulínica em casos de dor orofacial persistente relacionadas a distúrbios temporomandibulares por causa do desenvolvimento de efeitos adversos. Além disso, </w:t>
      </w:r>
      <w:r w:rsidR="00B415DB">
        <w:rPr>
          <w:rFonts w:ascii="Times New Roman" w:hAnsi="Times New Roman" w:cs="Times New Roman"/>
          <w:bCs/>
        </w:rPr>
        <w:t>ensaios clínicos controlados também demonstram a eficiência dessa</w:t>
      </w:r>
      <w:r w:rsidR="008632E0">
        <w:rPr>
          <w:rFonts w:ascii="Times New Roman" w:hAnsi="Times New Roman" w:cs="Times New Roman"/>
          <w:bCs/>
        </w:rPr>
        <w:t xml:space="preserve"> toxina em patologias como paralisia facial, dor neuropática e </w:t>
      </w:r>
      <w:r w:rsidR="00A35756">
        <w:rPr>
          <w:rFonts w:ascii="Times New Roman" w:hAnsi="Times New Roman" w:cs="Times New Roman"/>
          <w:bCs/>
        </w:rPr>
        <w:t>bruxismos relacionados a DTM,</w:t>
      </w:r>
      <w:r w:rsidR="008632E0">
        <w:rPr>
          <w:rFonts w:ascii="Times New Roman" w:hAnsi="Times New Roman" w:cs="Times New Roman"/>
          <w:bCs/>
        </w:rPr>
        <w:t xml:space="preserve"> promovendo o </w:t>
      </w:r>
      <w:r w:rsidR="00AF49E9">
        <w:rPr>
          <w:rFonts w:ascii="Times New Roman" w:hAnsi="Times New Roman" w:cs="Times New Roman"/>
          <w:bCs/>
        </w:rPr>
        <w:t>alívio</w:t>
      </w:r>
      <w:r w:rsidR="008632E0">
        <w:rPr>
          <w:rFonts w:ascii="Times New Roman" w:hAnsi="Times New Roman" w:cs="Times New Roman"/>
          <w:bCs/>
        </w:rPr>
        <w:t xml:space="preserve"> da dor,</w:t>
      </w:r>
      <w:r w:rsidR="00A35756">
        <w:rPr>
          <w:rFonts w:ascii="Times New Roman" w:hAnsi="Times New Roman" w:cs="Times New Roman"/>
          <w:bCs/>
        </w:rPr>
        <w:t xml:space="preserve"> reduzindo a inflamação, repousando os músculos e reduzindo a força de contração das fibras musculares.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F5653D">
        <w:rPr>
          <w:rFonts w:ascii="Times New Roman" w:hAnsi="Times New Roman" w:cs="Times New Roman"/>
          <w:bCs/>
        </w:rPr>
        <w:t xml:space="preserve">A Toxina Botulínica </w:t>
      </w:r>
      <w:r w:rsidR="002061CF">
        <w:rPr>
          <w:rFonts w:ascii="Times New Roman" w:hAnsi="Times New Roman" w:cs="Times New Roman"/>
          <w:bCs/>
        </w:rPr>
        <w:t>mostra-se benéfica e eficaz no auxílio do alívio dos sintomas causados pela disfunção temporomandibular, reduzindo os sintomas relacionados a atividades musculares nas regiões afetadas melhorando assim a qualidade de vida do paciente, especialmente em casos que o tratamento conversador e medicamentoso não apresenta efetividade</w:t>
      </w:r>
      <w:r w:rsidR="009E59C1">
        <w:rPr>
          <w:rFonts w:ascii="Times New Roman" w:hAnsi="Times New Roman" w:cs="Times New Roman"/>
          <w:bCs/>
        </w:rPr>
        <w:t>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3FA84B" w14:textId="4C892412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900DE9">
        <w:rPr>
          <w:rFonts w:ascii="Times New Roman" w:hAnsi="Times New Roman" w:cs="Times New Roman"/>
          <w:b/>
          <w:bCs/>
          <w:lang w:val="en-US"/>
        </w:rPr>
        <w:t>Palavras-chave</w:t>
      </w:r>
      <w:proofErr w:type="spellEnd"/>
      <w:r w:rsidRPr="00900DE9">
        <w:rPr>
          <w:rFonts w:ascii="Times New Roman" w:hAnsi="Times New Roman" w:cs="Times New Roman"/>
          <w:b/>
          <w:bCs/>
          <w:lang w:val="en-US"/>
        </w:rPr>
        <w:t>:</w:t>
      </w:r>
      <w:r w:rsidRPr="00900DE9">
        <w:rPr>
          <w:rFonts w:ascii="Times New Roman" w:hAnsi="Times New Roman" w:cs="Times New Roman"/>
          <w:bCs/>
          <w:lang w:val="en-US"/>
        </w:rPr>
        <w:t xml:space="preserve"> </w:t>
      </w:r>
      <w:r w:rsidR="00900DE9" w:rsidRPr="00900DE9">
        <w:rPr>
          <w:rFonts w:ascii="Times New Roman" w:hAnsi="Times New Roman" w:cs="Times New Roman"/>
          <w:bCs/>
          <w:lang w:val="en-US"/>
        </w:rPr>
        <w:t xml:space="preserve">Botulinum Toxin; Bruxism; Side effects; Temporomandibular Joints </w:t>
      </w:r>
      <w:r w:rsidR="00900DE9" w:rsidRPr="00900DE9">
        <w:rPr>
          <w:rFonts w:ascii="Times New Roman" w:hAnsi="Times New Roman" w:cs="Times New Roman"/>
          <w:bCs/>
          <w:lang w:val="en-US"/>
        </w:rPr>
        <w:lastRenderedPageBreak/>
        <w:t>Disorders; Treatment</w:t>
      </w:r>
      <w:r w:rsidR="00900DE9">
        <w:rPr>
          <w:rFonts w:ascii="Times New Roman" w:hAnsi="Times New Roman" w:cs="Times New Roman"/>
          <w:bCs/>
          <w:lang w:val="en-US"/>
        </w:rPr>
        <w:t>.</w:t>
      </w:r>
    </w:p>
    <w:p w14:paraId="6DB5BD3D" w14:textId="77777777" w:rsidR="00462059" w:rsidRPr="00900DE9" w:rsidRDefault="00462059" w:rsidP="005613D5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327EDC8" w14:textId="7029BF33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18CC26F4" w14:textId="69F4BD7D" w:rsidR="005E7D8E" w:rsidRP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C72A9E">
        <w:rPr>
          <w:rFonts w:ascii="Times New Roman" w:hAnsi="Times New Roman" w:cs="Times New Roman"/>
          <w:bCs/>
        </w:rPr>
        <w:t>1.</w:t>
      </w:r>
      <w:r w:rsidRPr="00C72A9E">
        <w:rPr>
          <w:rFonts w:ascii="Times New Roman" w:hAnsi="Times New Roman" w:cs="Times New Roman"/>
          <w:color w:val="222222"/>
          <w:shd w:val="clear" w:color="auto" w:fill="FFFFFF"/>
        </w:rPr>
        <w:t xml:space="preserve"> CALIS, A. </w:t>
      </w:r>
      <w:proofErr w:type="spellStart"/>
      <w:r w:rsidRPr="00C72A9E">
        <w:rPr>
          <w:rFonts w:ascii="Times New Roman" w:hAnsi="Times New Roman" w:cs="Times New Roman"/>
          <w:color w:val="222222"/>
          <w:shd w:val="clear" w:color="auto" w:fill="FFFFFF"/>
        </w:rPr>
        <w:t>Sipahi</w:t>
      </w:r>
      <w:proofErr w:type="spellEnd"/>
      <w:r w:rsidRPr="00C72A9E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proofErr w:type="spellStart"/>
      <w:r w:rsidRPr="00C72A9E">
        <w:rPr>
          <w:rFonts w:ascii="Times New Roman" w:hAnsi="Times New Roman" w:cs="Times New Roman"/>
          <w:color w:val="222222"/>
          <w:shd w:val="clear" w:color="auto" w:fill="FFFFFF"/>
        </w:rPr>
        <w:t>COLAKOGLU</w:t>
      </w:r>
      <w:proofErr w:type="spellEnd"/>
      <w:r w:rsidRPr="00C72A9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C72A9E">
        <w:rPr>
          <w:rFonts w:ascii="Times New Roman" w:hAnsi="Times New Roman" w:cs="Times New Roman"/>
          <w:color w:val="222222"/>
          <w:shd w:val="clear" w:color="auto" w:fill="FFFFFF"/>
        </w:rPr>
        <w:t>Zafer</w:t>
      </w:r>
      <w:proofErr w:type="spellEnd"/>
      <w:r w:rsidRPr="00C72A9E">
        <w:rPr>
          <w:rFonts w:ascii="Times New Roman" w:hAnsi="Times New Roman" w:cs="Times New Roman"/>
          <w:color w:val="222222"/>
          <w:shd w:val="clear" w:color="auto" w:fill="FFFFFF"/>
        </w:rPr>
        <w:t xml:space="preserve">; GUNBAY, </w:t>
      </w:r>
      <w:proofErr w:type="spellStart"/>
      <w:r w:rsidRPr="00C72A9E">
        <w:rPr>
          <w:rFonts w:ascii="Times New Roman" w:hAnsi="Times New Roman" w:cs="Times New Roman"/>
          <w:color w:val="222222"/>
          <w:shd w:val="clear" w:color="auto" w:fill="FFFFFF"/>
        </w:rPr>
        <w:t>Sevtap</w:t>
      </w:r>
      <w:proofErr w:type="spellEnd"/>
      <w:r w:rsidRPr="00C72A9E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The use of botulinum toxin-a in the treatment of muscular temporomandibular joint disorders. </w:t>
      </w:r>
      <w:r w:rsidRPr="00462059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Journal of stomatology, oral and maxillofacial surgery</w:t>
      </w: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120, n. 4, p. 322-325, 2019.</w:t>
      </w:r>
    </w:p>
    <w:p w14:paraId="22495A0B" w14:textId="77777777" w:rsidR="00462059" w:rsidRP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4966F4B3" w14:textId="4DDDBAFB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2. ATARAN, Rana et al. The role of botulinum toxin A in treatment of temporomandibular joint disorders: a review. </w:t>
      </w:r>
      <w:r w:rsidRPr="00C72A9E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Journal of Dentistry</w:t>
      </w: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18, n. 3, p. 157, 2017.</w:t>
      </w:r>
    </w:p>
    <w:p w14:paraId="38B4682A" w14:textId="77777777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17D0DFAB" w14:textId="65FF316E" w:rsidR="00462059" w:rsidRP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3. SERRERA-FIGALLO, Maria-Angeles et al. </w:t>
      </w: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Use of botulinum toxin in orofacial clinical practice. </w:t>
      </w:r>
      <w:proofErr w:type="spellStart"/>
      <w:r w:rsidRPr="0046205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Toxins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, v. 12, n. 2, p. 112, 2020.</w:t>
      </w:r>
    </w:p>
    <w:p w14:paraId="4296F2D2" w14:textId="77777777" w:rsidR="00462059" w:rsidRP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5FE4A3A" w14:textId="2E3BF6E7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4. YURTTUTAN, Mehmet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Emre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; SANCAK,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Kevser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Tütüncüler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TÜZÜNER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Ayşegül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 xml:space="preserve"> Mine. </w:t>
      </w: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Which treatment is effective for bruxism: Occlusal splints or botulinum toxin?. </w:t>
      </w:r>
      <w:r w:rsidRPr="00C72A9E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Journal of Oral and Maxillofacial Surgery</w:t>
      </w: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77, n. 12, p. 2431-2438, 2019.</w:t>
      </w:r>
    </w:p>
    <w:p w14:paraId="74B38215" w14:textId="77777777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79EC51B6" w14:textId="621CE286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5. DI FRANCESCO, Fabrizio et al. </w:t>
      </w: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Application of botulinum toxin in temporomandibular disorders: a systematic review of randomized controlled trials (RCTs). </w:t>
      </w:r>
      <w:r w:rsidRPr="00C72A9E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Applied Sciences</w:t>
      </w: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12, n. 23, p. 12409, 2022.</w:t>
      </w:r>
    </w:p>
    <w:p w14:paraId="51C1DCCC" w14:textId="77777777" w:rsidR="00462059" w:rsidRPr="00C72A9E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609D5565" w14:textId="65473846" w:rsid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6. SUNIL DUTT, C. et al. Botulinum toxin in the treatment of muscle specific Oro-facial pain: a literature review. </w:t>
      </w:r>
      <w:r w:rsidRPr="00C72A9E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Journal of maxillofacial and oral surgery</w:t>
      </w:r>
      <w:r w:rsidRPr="00C72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v. 14, p. 171-175, 2015.</w:t>
      </w:r>
    </w:p>
    <w:p w14:paraId="5F11EF6A" w14:textId="77777777" w:rsidR="00AF49E9" w:rsidRPr="00C72A9E" w:rsidRDefault="00AF49E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2E9D5048" w14:textId="53DBC654" w:rsidR="00462059" w:rsidRDefault="00462059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7. MOR, Niv; TANG, Christropher; BLITZER, Andrew.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Temporomandibular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myofacial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pain treated with botulinum toxin injection. </w:t>
      </w:r>
      <w:proofErr w:type="spellStart"/>
      <w:r w:rsidRPr="0046205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Toxins</w:t>
      </w:r>
      <w:proofErr w:type="spellEnd"/>
      <w:r w:rsidRPr="00462059">
        <w:rPr>
          <w:rFonts w:ascii="Times New Roman" w:hAnsi="Times New Roman" w:cs="Times New Roman"/>
          <w:color w:val="222222"/>
          <w:shd w:val="clear" w:color="auto" w:fill="FFFFFF"/>
        </w:rPr>
        <w:t>, v. 7, n. 8, p. 2791-2800, 2015.</w:t>
      </w:r>
    </w:p>
    <w:p w14:paraId="6841D04D" w14:textId="77777777" w:rsidR="005F1B07" w:rsidRDefault="005F1B07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92088BF" w14:textId="437FECE1" w:rsidR="005F1B07" w:rsidRDefault="005F1B07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8.</w:t>
      </w:r>
      <w:r w:rsidRPr="005F1B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5F1B07">
        <w:rPr>
          <w:rFonts w:ascii="Times New Roman" w:hAnsi="Times New Roman" w:cs="Times New Roman"/>
          <w:color w:val="222222"/>
          <w:shd w:val="clear" w:color="auto" w:fill="FFFFFF"/>
        </w:rPr>
        <w:t xml:space="preserve">SERRERA-FIGALLO, Maria-Angeles et al. </w:t>
      </w:r>
      <w:r w:rsidRPr="005F1B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Use of botulinum toxin in orofacial clinical practice. </w:t>
      </w:r>
      <w:proofErr w:type="spellStart"/>
      <w:r w:rsidRPr="005F1B0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Toxins</w:t>
      </w:r>
      <w:proofErr w:type="spellEnd"/>
      <w:r w:rsidRPr="005F1B07">
        <w:rPr>
          <w:rFonts w:ascii="Times New Roman" w:hAnsi="Times New Roman" w:cs="Times New Roman"/>
          <w:color w:val="222222"/>
          <w:shd w:val="clear" w:color="auto" w:fill="FFFFFF"/>
        </w:rPr>
        <w:t>, v. 12, n. 2, p. 112, 2020.</w:t>
      </w:r>
    </w:p>
    <w:p w14:paraId="2A42FE55" w14:textId="77777777" w:rsidR="00975781" w:rsidRDefault="00975781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5E2CFFF" w14:textId="09BDC73E" w:rsidR="00975781" w:rsidRPr="001D7017" w:rsidRDefault="00975781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D701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9. THOMAS, Nicholas J.; ARONOVICH, Sharon. Does adjunctive botulinum toxin A reduce pain scores when combined with temporomandibular joint arthroscopy for the treatment of concomitant temporomandibular joint arthralgia and myofascial pain?. </w:t>
      </w:r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Journal of Oral and </w:t>
      </w:r>
      <w:proofErr w:type="spellStart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Maxillofacial</w:t>
      </w:r>
      <w:proofErr w:type="spellEnd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Surgery</w:t>
      </w:r>
      <w:proofErr w:type="spellEnd"/>
      <w:r w:rsidRPr="001D7017">
        <w:rPr>
          <w:rFonts w:ascii="Times New Roman" w:hAnsi="Times New Roman" w:cs="Times New Roman"/>
          <w:color w:val="222222"/>
          <w:shd w:val="clear" w:color="auto" w:fill="FFFFFF"/>
        </w:rPr>
        <w:t>, v. 75, n. 12, p. 2521-2528, 2017.</w:t>
      </w:r>
    </w:p>
    <w:p w14:paraId="2C397A8B" w14:textId="77777777" w:rsidR="00975781" w:rsidRPr="001D7017" w:rsidRDefault="00975781" w:rsidP="00462059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35A008E" w14:textId="1538B5A5" w:rsidR="00975781" w:rsidRPr="001D7017" w:rsidRDefault="001D7017" w:rsidP="00462059">
      <w:pPr>
        <w:jc w:val="both"/>
        <w:rPr>
          <w:rFonts w:ascii="Times New Roman" w:hAnsi="Times New Roman" w:cs="Times New Roman"/>
          <w:lang w:val="en-US"/>
        </w:rPr>
      </w:pPr>
      <w:r w:rsidRPr="001D701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10. KAYA, D. I.; ATAOĞLU, H. Botulinum toxin treatment of temporomandibular joint pain in patients with bruxism: A prospective and randomized clinical study. </w:t>
      </w:r>
      <w:proofErr w:type="spellStart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Nigerian</w:t>
      </w:r>
      <w:proofErr w:type="spellEnd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journal of </w:t>
      </w:r>
      <w:proofErr w:type="spellStart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clinical</w:t>
      </w:r>
      <w:proofErr w:type="spellEnd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1D70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practice</w:t>
      </w:r>
      <w:proofErr w:type="spellEnd"/>
      <w:r w:rsidRPr="001D7017">
        <w:rPr>
          <w:rFonts w:ascii="Times New Roman" w:hAnsi="Times New Roman" w:cs="Times New Roman"/>
          <w:color w:val="222222"/>
          <w:shd w:val="clear" w:color="auto" w:fill="FFFFFF"/>
        </w:rPr>
        <w:t>, v. 24, n. 3, p. 412-417, 2021.</w:t>
      </w:r>
    </w:p>
    <w:sectPr w:rsidR="00975781" w:rsidRPr="001D7017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9BB" w14:textId="77777777" w:rsidR="00FB1C67" w:rsidRDefault="00FB1C67">
      <w:r>
        <w:separator/>
      </w:r>
    </w:p>
  </w:endnote>
  <w:endnote w:type="continuationSeparator" w:id="0">
    <w:p w14:paraId="71252355" w14:textId="77777777" w:rsidR="00FB1C67" w:rsidRDefault="00FB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2F26" w14:textId="77777777" w:rsidR="00FB1C67" w:rsidRDefault="00FB1C67">
      <w:r>
        <w:separator/>
      </w:r>
    </w:p>
  </w:footnote>
  <w:footnote w:type="continuationSeparator" w:id="0">
    <w:p w14:paraId="4DE79234" w14:textId="77777777" w:rsidR="00FB1C67" w:rsidRDefault="00FB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65AE4"/>
    <w:rsid w:val="00172223"/>
    <w:rsid w:val="00182704"/>
    <w:rsid w:val="001857B5"/>
    <w:rsid w:val="00186AD6"/>
    <w:rsid w:val="001A45B8"/>
    <w:rsid w:val="001D7017"/>
    <w:rsid w:val="002061CF"/>
    <w:rsid w:val="00241BA2"/>
    <w:rsid w:val="002954B8"/>
    <w:rsid w:val="0029745C"/>
    <w:rsid w:val="002C73D2"/>
    <w:rsid w:val="0035039F"/>
    <w:rsid w:val="00452FC8"/>
    <w:rsid w:val="00462059"/>
    <w:rsid w:val="00473EAA"/>
    <w:rsid w:val="004A7A33"/>
    <w:rsid w:val="004B77FA"/>
    <w:rsid w:val="004E015D"/>
    <w:rsid w:val="004E661D"/>
    <w:rsid w:val="00504745"/>
    <w:rsid w:val="0050765F"/>
    <w:rsid w:val="005518CB"/>
    <w:rsid w:val="005613D5"/>
    <w:rsid w:val="005C0C38"/>
    <w:rsid w:val="005E0099"/>
    <w:rsid w:val="005E7D8E"/>
    <w:rsid w:val="005F1B07"/>
    <w:rsid w:val="005F28FC"/>
    <w:rsid w:val="006223F8"/>
    <w:rsid w:val="006B15F8"/>
    <w:rsid w:val="00735513"/>
    <w:rsid w:val="00747665"/>
    <w:rsid w:val="007D7FC5"/>
    <w:rsid w:val="007F2DE6"/>
    <w:rsid w:val="00852AA8"/>
    <w:rsid w:val="00854323"/>
    <w:rsid w:val="008632E0"/>
    <w:rsid w:val="00866A7F"/>
    <w:rsid w:val="008C7E2F"/>
    <w:rsid w:val="008D0E0F"/>
    <w:rsid w:val="008D0EE0"/>
    <w:rsid w:val="008F7BAA"/>
    <w:rsid w:val="00900DE9"/>
    <w:rsid w:val="00975781"/>
    <w:rsid w:val="009D20C6"/>
    <w:rsid w:val="009E59C1"/>
    <w:rsid w:val="00A02AFD"/>
    <w:rsid w:val="00A12282"/>
    <w:rsid w:val="00A163C4"/>
    <w:rsid w:val="00A35756"/>
    <w:rsid w:val="00A55050"/>
    <w:rsid w:val="00AC6F93"/>
    <w:rsid w:val="00AD39A3"/>
    <w:rsid w:val="00AF49E9"/>
    <w:rsid w:val="00B415DB"/>
    <w:rsid w:val="00B44349"/>
    <w:rsid w:val="00B70A66"/>
    <w:rsid w:val="00B7618E"/>
    <w:rsid w:val="00BA226B"/>
    <w:rsid w:val="00BB4E49"/>
    <w:rsid w:val="00BC1C81"/>
    <w:rsid w:val="00BD3D08"/>
    <w:rsid w:val="00C327C3"/>
    <w:rsid w:val="00C4405B"/>
    <w:rsid w:val="00C72A9E"/>
    <w:rsid w:val="00D06AF2"/>
    <w:rsid w:val="00D07AF6"/>
    <w:rsid w:val="00D12B3A"/>
    <w:rsid w:val="00D42240"/>
    <w:rsid w:val="00D658E6"/>
    <w:rsid w:val="00D7794A"/>
    <w:rsid w:val="00E02DDB"/>
    <w:rsid w:val="00E10098"/>
    <w:rsid w:val="00E370D8"/>
    <w:rsid w:val="00E930D9"/>
    <w:rsid w:val="00EE07DE"/>
    <w:rsid w:val="00EE1083"/>
    <w:rsid w:val="00EF6A9B"/>
    <w:rsid w:val="00F5653D"/>
    <w:rsid w:val="00F818B2"/>
    <w:rsid w:val="00FA5C9E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PargrafodaLista">
    <w:name w:val="List Paragraph"/>
    <w:basedOn w:val="Normal"/>
    <w:uiPriority w:val="34"/>
    <w:qFormat/>
    <w:rsid w:val="00462059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4620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224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zo.vasconcelos@aluno.unifametro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ticia.teixeira03@aluno.unifametro.edu.br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iane.silva01@aluno.unifametro.edu.br" TargetMode="External"/><Relationship Id="rId11" Type="http://schemas.openxmlformats.org/officeDocument/2006/relationships/hyperlink" Target="mailto:daniela.reis@professor.unifametro.edu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ucas.lustosa@aluno.unifametr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as.lustosa@aluno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75335"/>
    <w:rsid w:val="004D4204"/>
    <w:rsid w:val="005C2AF5"/>
    <w:rsid w:val="00693F67"/>
    <w:rsid w:val="007F5B3A"/>
    <w:rsid w:val="008200FA"/>
    <w:rsid w:val="00942F21"/>
    <w:rsid w:val="009875D5"/>
    <w:rsid w:val="009A1468"/>
    <w:rsid w:val="009E25CF"/>
    <w:rsid w:val="00A25FE9"/>
    <w:rsid w:val="00C45ED4"/>
    <w:rsid w:val="00C822C4"/>
    <w:rsid w:val="00D011ED"/>
    <w:rsid w:val="00E4155B"/>
    <w:rsid w:val="00F12F78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Naiane Caroline Silva  1-2021119863</cp:lastModifiedBy>
  <cp:revision>36</cp:revision>
  <dcterms:created xsi:type="dcterms:W3CDTF">2023-09-13T22:50:00Z</dcterms:created>
  <dcterms:modified xsi:type="dcterms:W3CDTF">2023-09-15T18:08:00Z</dcterms:modified>
</cp:coreProperties>
</file>