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rPr/>
      </w:pPr>
      <w:r w:rsidDel="00000000" w:rsidR="00000000" w:rsidRPr="00000000">
        <w:rPr>
          <w:b w:val="1"/>
          <w:rtl w:val="0"/>
        </w:rPr>
        <w:t xml:space="preserve">DOENÇAS INFECTOCONTAGIOSAS NA ATENÇÃO PRIMÁRIA E SECUNDÁRIA- AÇÃO INTERDISCIPLINAR NO SUS. COMO PODEMOS EFETIVAMENTE INTERVIR NA DISSEMINAÇÃO DO VÍRUS HIV?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Marcelo Duarte pereira*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; </w:t>
      </w:r>
      <w:r w:rsidDel="00000000" w:rsidR="00000000" w:rsidRPr="00000000">
        <w:rPr>
          <w:rtl w:val="0"/>
        </w:rPr>
        <w:t xml:space="preserve">Júlia Borella Toledo Correia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 Laura Patriota Palhares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 Leonardo Beltrão Cavalcante Brêda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 Maíra Estanislau S. Almeida*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vertAlign w:val="super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Discentes do curso de Medicina do Centro Universitário Cesmac; </w:t>
      </w:r>
      <w:r w:rsidDel="00000000" w:rsidR="00000000" w:rsidRPr="00000000">
        <w:rPr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Docente do curso de Medicina do Centro Universitário Cesmac. </w:t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*</w:t>
      </w:r>
      <w:r w:rsidDel="00000000" w:rsidR="00000000" w:rsidRPr="00000000">
        <w:rPr>
          <w:sz w:val="20"/>
          <w:szCs w:val="20"/>
          <w:rtl w:val="0"/>
        </w:rPr>
        <w:t xml:space="preserve">marcelodpx@hotmail.com</w:t>
      </w:r>
      <w:r w:rsidDel="00000000" w:rsidR="00000000" w:rsidRPr="00000000">
        <w:rPr>
          <w:sz w:val="20"/>
          <w:szCs w:val="20"/>
          <w:rtl w:val="0"/>
        </w:rPr>
        <w:t xml:space="preserve">; *maira.almeida@cesmac.edu.br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O Vírus da Imunodeficiência Humana (HIV) é um lentivírus que afeta o sistema imunológico, propiciando o desenvolvimento de infecções oportunistas e sendo transmitido pelo contato com secreções contaminadas. Os níveis de atenção à saúde possuem uma organização fundamental para tornar a triagem do Sistema Único de Saúde (SUS) mais eficiente, assim, o papel de medidas de controle na atenção primária e orientações de manejo na atenção secundária, assim como uma associação interprofissional, são tópicos extremamente relevantes quando se estuda sobre a disseminação do vírus HIV. </w:t>
      </w:r>
      <w:r w:rsidDel="00000000" w:rsidR="00000000" w:rsidRPr="00000000">
        <w:rPr>
          <w:b w:val="1"/>
          <w:u w:val="single"/>
          <w:rtl w:val="0"/>
        </w:rPr>
        <w:t xml:space="preserve">Objetivos: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Avaliar e analisar as principais estratégias de intervenção da disseminação do vírus HIV, no que se diz respeito à ações voltadas à promoção de saúde. </w:t>
      </w:r>
      <w:r w:rsidDel="00000000" w:rsidR="00000000" w:rsidRPr="00000000">
        <w:rPr>
          <w:b w:val="1"/>
          <w:u w:val="single"/>
          <w:rtl w:val="0"/>
        </w:rPr>
        <w:t xml:space="preserve">Metodologia:</w:t>
      </w:r>
      <w:r w:rsidDel="00000000" w:rsidR="00000000" w:rsidRPr="00000000">
        <w:rPr>
          <w:rtl w:val="0"/>
        </w:rPr>
        <w:t xml:space="preserve"> Revisão integrativa da literatura tendo como base de dados PUBMED e BVS.  Para a pesquisa utilizou-se os descritores “HIV”, “estratégias de intervenção” e “saúde básica” intercaladas pelo operador booleano “AND”, filtrando artigos dos últimos 5 anos.  Ao todo, foram selecionados 14 artigos para construção do presente trabalho. </w:t>
      </w:r>
      <w:r w:rsidDel="00000000" w:rsidR="00000000" w:rsidRPr="00000000">
        <w:rPr>
          <w:b w:val="1"/>
          <w:u w:val="single"/>
          <w:rtl w:val="0"/>
        </w:rPr>
        <w:t xml:space="preserve">Resultados: </w:t>
      </w:r>
      <w:r w:rsidDel="00000000" w:rsidR="00000000" w:rsidRPr="00000000">
        <w:rPr>
          <w:rtl w:val="0"/>
        </w:rPr>
        <w:t xml:space="preserve">Observou-se durante o estudo, que o uso de preservativos e da cobertura de PrEP evitaria significantemente novas infecções, sendo considerado uma das medidas profiláticas mais efetivas contra o HIV. A conscientização quanto ao uso de PrEP  e preservativos mostra-se mais efetiva quando transmitida em ação interdisciplinar, com profissionais da educação e da saúde primária e secundária, enfatizando-a como uma estratégia sensata de prevenção do HIV. Além destes métodos, a educação em saúde e práticas de intervenção em toda a comunidade são considerados importantes agentes na prevenção do vírus. A ação interprofissional iniciada na atenção básica com profissionais de enfermagem, farmácia, psicologia e assistência social é um fator determinante para a efetiva ação de prevenção ao vírus. </w:t>
      </w:r>
      <w:r w:rsidDel="00000000" w:rsidR="00000000" w:rsidRPr="00000000">
        <w:rPr>
          <w:b w:val="1"/>
          <w:u w:val="single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O estudo demonstrou a necessidade da orientação e acolhimento aos infectados com HIV em ações interdisciplinares na integração da saúde e educação. Destacou-se a relevância e contribuição da atenção primária e secundária na atuação efetiva do cuidado com a população carente de uma saúde integral na colaboração para a diminuição da incidência de HIV.</w:t>
      </w:r>
    </w:p>
    <w:p w:rsidR="00000000" w:rsidDel="00000000" w:rsidP="00000000" w:rsidRDefault="00000000" w:rsidRPr="00000000" w14:paraId="00000008">
      <w:pPr>
        <w:spacing w:after="16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40" w:lineRule="auto"/>
        <w:rPr/>
      </w:pPr>
      <w:r w:rsidDel="00000000" w:rsidR="00000000" w:rsidRPr="00000000">
        <w:rPr>
          <w:b w:val="1"/>
          <w:rtl w:val="0"/>
        </w:rPr>
        <w:t xml:space="preserve">Palavras-chave: </w:t>
      </w:r>
      <w:r w:rsidDel="00000000" w:rsidR="00000000" w:rsidRPr="00000000">
        <w:rPr>
          <w:rtl w:val="0"/>
        </w:rPr>
        <w:t xml:space="preserve">HIV. Atenção básica. Intervenção.</w:t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ind w:right="0.11811023622129824"/>
        <w:rPr/>
      </w:pPr>
      <w:r w:rsidDel="00000000" w:rsidR="00000000" w:rsidRPr="00000000">
        <w:rPr>
          <w:rtl w:val="0"/>
        </w:rPr>
        <w:t xml:space="preserve">ADELEYE, Khadija Kofoworola; AKINWAARE, Margaret Omowaleola ; ADEJUMO, Prisca Olabisi. Reproductive Plans And Utilization of Contraceptives Among Women Living With HIV. International Journal of Maternal and Child Health and AIDS (IJMA), v. 8, n. 2, p. 120–130, 2019.</w:t>
      </w:r>
    </w:p>
    <w:p w:rsidR="00000000" w:rsidDel="00000000" w:rsidP="00000000" w:rsidRDefault="00000000" w:rsidRPr="00000000" w14:paraId="0000000D">
      <w:pPr>
        <w:shd w:fill="ffffff" w:val="clear"/>
        <w:rPr/>
      </w:pPr>
      <w:r w:rsidDel="00000000" w:rsidR="00000000" w:rsidRPr="00000000">
        <w:rPr>
          <w:rtl w:val="0"/>
        </w:rPr>
        <w:t xml:space="preserve">APENTENG, Ofosuhene O.; OSEI, Prince P.; ODURO, Bismark;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The impact of implementing HIV prevention policies therapy and control strategy among HIV and AIDS incidence cases in Malaysia. Infectious Disease Modelling, v. 5, p. 755–765, 2020.</w:t>
      </w:r>
    </w:p>
    <w:p w:rsidR="00000000" w:rsidDel="00000000" w:rsidP="00000000" w:rsidRDefault="00000000" w:rsidRPr="00000000" w14:paraId="0000000E">
      <w:pPr>
        <w:shd w:fill="ffffff" w:val="clear"/>
        <w:rPr/>
      </w:pPr>
      <w:r w:rsidDel="00000000" w:rsidR="00000000" w:rsidRPr="00000000">
        <w:rPr>
          <w:rtl w:val="0"/>
        </w:rPr>
        <w:t xml:space="preserve">BEEBWA, Esther; MUZOORA, Conrad; ASHABA, Scholastic;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Knowledge, attitude, and preferred strategies towards HIV/AIDS prevention among adolescents attending secondary schools in South Western Uganda. African Health Sciences, v. 21, n. 3, p. 1067–1073, 2021.</w:t>
      </w:r>
    </w:p>
    <w:p w:rsidR="00000000" w:rsidDel="00000000" w:rsidP="00000000" w:rsidRDefault="00000000" w:rsidRPr="00000000" w14:paraId="0000000F">
      <w:pPr>
        <w:shd w:fill="ffffff" w:val="clear"/>
        <w:rPr/>
      </w:pPr>
      <w:r w:rsidDel="00000000" w:rsidR="00000000" w:rsidRPr="00000000">
        <w:rPr>
          <w:rtl w:val="0"/>
        </w:rPr>
        <w:t xml:space="preserve">BÓRQUEZ, Annick; GUANIRA, Juan Vicente; REVILL, Paul;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The impact and cost-effectiveness of combined HIV prevention scenarios among transgender women sex-workers in Lima, Peru: a mathematical modelling study. The Lancet Public Health, v. 4, n. 3, p. e127–e136, 2019.</w:t>
      </w:r>
    </w:p>
    <w:p w:rsidR="00000000" w:rsidDel="00000000" w:rsidP="00000000" w:rsidRDefault="00000000" w:rsidRPr="00000000" w14:paraId="00000010">
      <w:pPr>
        <w:shd w:fill="ffffff" w:val="clear"/>
        <w:rPr/>
      </w:pPr>
      <w:r w:rsidDel="00000000" w:rsidR="00000000" w:rsidRPr="00000000">
        <w:rPr>
          <w:rtl w:val="0"/>
        </w:rPr>
        <w:t xml:space="preserve">CHANDLER, Rasheeta; HULL, Shawnika; ROSS, Henry;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The pre-exposure prophylaxis (PrEP) consciousness of black college women and the perceived hesitancy of public health institutions to curtail HIV in black women. BMC Public Health, v. 20, n. 1, 2020.</w:t>
      </w:r>
    </w:p>
    <w:p w:rsidR="00000000" w:rsidDel="00000000" w:rsidP="00000000" w:rsidRDefault="00000000" w:rsidRPr="00000000" w14:paraId="00000011">
      <w:pPr>
        <w:shd w:fill="ffffff" w:val="clear"/>
        <w:rPr/>
      </w:pPr>
      <w:r w:rsidDel="00000000" w:rsidR="00000000" w:rsidRPr="00000000">
        <w:rPr>
          <w:rtl w:val="0"/>
        </w:rPr>
        <w:t xml:space="preserve">CHOTTA, Nikolas A. S.; MSUYA, Sia E.; MGONGO, Melina;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Mother’s Knowledge on HIV, Syphilis, Rubella, and Associated Factors in Northern Tanzania: Implications for MTCT Elimination Strategies. International Journal of Pediatrics, v. 2020, p. 1–11, 2020.</w:t>
      </w:r>
    </w:p>
    <w:p w:rsidR="00000000" w:rsidDel="00000000" w:rsidP="00000000" w:rsidRDefault="00000000" w:rsidRPr="00000000" w14:paraId="00000012">
      <w:pPr>
        <w:shd w:fill="ffffff" w:val="clear"/>
        <w:rPr/>
      </w:pPr>
      <w:r w:rsidDel="00000000" w:rsidR="00000000" w:rsidRPr="00000000">
        <w:rPr>
          <w:rtl w:val="0"/>
        </w:rPr>
        <w:t xml:space="preserve">COSTA, Mônica. Educação continuada para os (as) enfermeiros (as) das unidades básicas de saúde do município de Arcoverde/PE sobre testes rápidos para hiv e sífilis no pré-natal. [s.l.: s.n.], 2017.</w:t>
      </w:r>
    </w:p>
    <w:p w:rsidR="00000000" w:rsidDel="00000000" w:rsidP="00000000" w:rsidRDefault="00000000" w:rsidRPr="00000000" w14:paraId="00000013">
      <w:pPr>
        <w:shd w:fill="ffffff" w:val="clear"/>
        <w:rPr/>
      </w:pPr>
      <w:r w:rsidDel="00000000" w:rsidR="00000000" w:rsidRPr="00000000">
        <w:rPr>
          <w:rtl w:val="0"/>
        </w:rPr>
        <w:t xml:space="preserve">ESTIFANOS, Tesfaldet Mekonnen; HUI, Chen; TESFAI, Afewerki Weldezgi;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Predictors of HIV/AIDS comprehensive knowledge and acceptance attitude towards people living with HIV/AIDS among unmarried young females in Uganda: a cross-sectional study. BMC Women’s Health, v. 21, n. 1, 2021.</w:t>
      </w:r>
    </w:p>
    <w:p w:rsidR="00000000" w:rsidDel="00000000" w:rsidP="00000000" w:rsidRDefault="00000000" w:rsidRPr="00000000" w14:paraId="00000014">
      <w:pPr>
        <w:shd w:fill="ffffff" w:val="clear"/>
        <w:rPr/>
      </w:pPr>
      <w:r w:rsidDel="00000000" w:rsidR="00000000" w:rsidRPr="00000000">
        <w:rPr>
          <w:rtl w:val="0"/>
        </w:rPr>
        <w:t xml:space="preserve">JONES, Jeb; SULLIVAN, Patrick S. ; CURRAN, James W. Progress in the HIV epidemic: Identifying goals and measuring success. PLOS Medicine, v. 16, n. 1, p. e1002729, 2019.</w:t>
      </w:r>
    </w:p>
    <w:p w:rsidR="00000000" w:rsidDel="00000000" w:rsidP="00000000" w:rsidRDefault="00000000" w:rsidRPr="00000000" w14:paraId="00000015">
      <w:pPr>
        <w:shd w:fill="ffffff" w:val="clear"/>
        <w:rPr/>
      </w:pPr>
      <w:r w:rsidDel="00000000" w:rsidR="00000000" w:rsidRPr="00000000">
        <w:rPr>
          <w:rtl w:val="0"/>
        </w:rPr>
        <w:t xml:space="preserve">KOESTER, Kimberly A.; ERGUERA, Xavier A.; UDOH, Ifeoma;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Exploring the Shift From HIV Pre-exposure Prophylaxis Awareness to Uptake Among Young Gay and Bisexual Men. Frontiers in Public Health, v. 9, 2021.</w:t>
      </w:r>
    </w:p>
    <w:p w:rsidR="00000000" w:rsidDel="00000000" w:rsidP="00000000" w:rsidRDefault="00000000" w:rsidRPr="00000000" w14:paraId="00000016">
      <w:pPr>
        <w:shd w:fill="ffffff" w:val="clear"/>
        <w:rPr/>
      </w:pPr>
      <w:r w:rsidDel="00000000" w:rsidR="00000000" w:rsidRPr="00000000">
        <w:rPr>
          <w:rtl w:val="0"/>
        </w:rPr>
        <w:t xml:space="preserve">SHEN, Rui; WANG, Ai-Ling; PAN, Xiao-Ping;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Levels of vaccination coverage among HIV-exposed children in China: a retrospective study. Infectious Diseases of Poverty, v. 10, n. 1, 2021.</w:t>
      </w:r>
    </w:p>
    <w:p w:rsidR="00000000" w:rsidDel="00000000" w:rsidP="00000000" w:rsidRDefault="00000000" w:rsidRPr="00000000" w14:paraId="00000017">
      <w:pPr>
        <w:shd w:fill="ffffff" w:val="clear"/>
        <w:rPr/>
      </w:pPr>
      <w:r w:rsidDel="00000000" w:rsidR="00000000" w:rsidRPr="00000000">
        <w:rPr>
          <w:rtl w:val="0"/>
        </w:rPr>
        <w:t xml:space="preserve">TIH, Pius M; TEMGBAIT CHIMOUN, Francois; MBOH KHAN, Eveline;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Assisted HIV partner notification services in resource‐limited settings: experiences and achievements from Cameroon. Journal of the International AIDS Society, v. 22, n. Suppl Suppl 3, p. e25310, 2019.</w:t>
      </w:r>
    </w:p>
    <w:p w:rsidR="00000000" w:rsidDel="00000000" w:rsidP="00000000" w:rsidRDefault="00000000" w:rsidRPr="00000000" w14:paraId="00000018">
      <w:pPr>
        <w:shd w:fill="ffffff" w:val="clear"/>
        <w:rPr/>
      </w:pPr>
      <w:r w:rsidDel="00000000" w:rsidR="00000000" w:rsidRPr="00000000">
        <w:rPr>
          <w:rtl w:val="0"/>
        </w:rPr>
        <w:t xml:space="preserve">VASYLYEVA, Tetyana I; DU PLESSIS, Louis; PINEDA-PEÑA, Andrea C;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Tracing the Impact of Public Health Interventions on HIV-1 Transmission in Portugal Using Molecular Epidemiology. The Journal of Infectious Diseases, v. 220, n. 2, p. 233–243, 2019.</w:t>
      </w:r>
    </w:p>
    <w:p w:rsidR="00000000" w:rsidDel="00000000" w:rsidP="00000000" w:rsidRDefault="00000000" w:rsidRPr="00000000" w14:paraId="00000019">
      <w:pPr>
        <w:shd w:fill="ffffff" w:val="clear"/>
        <w:rPr/>
      </w:pPr>
      <w:r w:rsidDel="00000000" w:rsidR="00000000" w:rsidRPr="00000000">
        <w:rPr>
          <w:rtl w:val="0"/>
        </w:rPr>
        <w:t xml:space="preserve">WATKINS, Rebecca L; BROWNE, Felicia A; KIZAKEVICH, Paul N;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An Evidence-Based HIV Risk–Reduction Intervention for Young African American Women in the US South Using mHealth: Adaptation and Development Study. JMIR Formative Research, v. 6, n. 5, p. e34041, 2022.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8419" w:orient="portrait"/>
      <w:pgMar w:bottom="720" w:top="720" w:left="720" w:right="72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14110" cy="87630"/>
              <wp:effectExtent b="0" l="0" r="0" t="0"/>
              <wp:wrapNone/>
              <wp:docPr id="7467327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14110" cy="87630"/>
              <wp:effectExtent b="0" l="0" r="0" t="0"/>
              <wp:wrapNone/>
              <wp:docPr id="7467327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4110" cy="87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6705.0" w:type="dxa"/>
      <w:jc w:val="left"/>
      <w:tblInd w:w="0.0" w:type="dxa"/>
      <w:tblLayout w:type="fixed"/>
      <w:tblLook w:val="0600"/>
    </w:tblPr>
    <w:tblGrid>
      <w:gridCol w:w="2235"/>
      <w:gridCol w:w="2235"/>
      <w:gridCol w:w="2235"/>
      <w:tblGridChange w:id="0">
        <w:tblGrid>
          <w:gridCol w:w="2235"/>
          <w:gridCol w:w="2235"/>
          <w:gridCol w:w="223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line="240" w:lineRule="auto"/>
            <w:ind w:left="-115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798404" cy="537700"/>
                <wp:effectExtent b="0" l="0" r="0" t="0"/>
                <wp:docPr id="7467327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 w:val="1"/>
    <w:rsid w:val="00CC233A"/>
    <w:pPr>
      <w:spacing w:after="100" w:afterAutospacing="1" w:before="100" w:beforeAutospacing="1" w:line="240" w:lineRule="auto"/>
      <w:jc w:val="left"/>
      <w:outlineLvl w:val="0"/>
    </w:pPr>
    <w:rPr>
      <w:b w:val="1"/>
      <w:bCs w:val="1"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CC233A"/>
    <w:pPr>
      <w:keepNext w:val="1"/>
      <w:keepLines w:val="1"/>
      <w:spacing w:before="200"/>
      <w:outlineLvl w:val="1"/>
    </w:pPr>
    <w:rPr>
      <w:rFonts w:ascii="Calibri Light" w:hAnsi="Calibri Light"/>
      <w:b w:val="1"/>
      <w:bCs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CC233A"/>
    <w:pPr>
      <w:keepNext w:val="1"/>
      <w:keepLines w:val="1"/>
      <w:spacing w:before="200"/>
      <w:outlineLvl w:val="2"/>
    </w:pPr>
    <w:rPr>
      <w:rFonts w:ascii="Calibri Light" w:hAnsi="Calibri Light"/>
      <w:b w:val="1"/>
      <w:bCs w:val="1"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3"/>
    </w:pPr>
    <w:rPr>
      <w:rFonts w:ascii="Calibri Light" w:hAnsi="Calibri Light"/>
      <w:i w:val="1"/>
      <w:iCs w:val="1"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CC233A"/>
    <w:pPr>
      <w:suppressAutoHyphens w:val="1"/>
      <w:spacing w:line="240" w:lineRule="auto"/>
      <w:jc w:val="center"/>
    </w:pPr>
    <w:rPr>
      <w:rFonts w:ascii="Times New Roman" w:hAnsi="Times New Roman"/>
      <w:b w:val="1"/>
      <w:bCs w:val="1"/>
      <w:lang w:eastAsia="ar-SA"/>
    </w:rPr>
  </w:style>
  <w:style w:type="paragraph" w:styleId="SemEspaamento">
    <w:name w:val="No Spacing"/>
    <w:link w:val="SemEspaamentoChar"/>
    <w:uiPriority w:val="1"/>
    <w:qFormat w:val="1"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eastAsia="Times New Roman"/>
      <w:b w:val="1"/>
      <w:bCs w:val="1"/>
      <w:color w:val="000000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cs="Times New Roman" w:eastAsia="Calibri" w:hAnsi="Calibri"/>
    </w:rPr>
  </w:style>
  <w:style w:type="paragraph" w:styleId="Cabealho">
    <w:name w:val="header"/>
    <w:basedOn w:val="Normal"/>
    <w:link w:val="Cabealho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6585F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66585F"/>
    <w:rPr>
      <w:rFonts w:ascii="Arial" w:eastAsia="Times New Roman" w:hAnsi="Arial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585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66585F"/>
    <w:rPr>
      <w:rFonts w:ascii="Tahoma" w:cs="Tahoma" w:eastAsia="Times New Roman" w:hAnsi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eastAsia="Times New Roman" w:hAnsi="Arial"/>
      <w:b w:val="1"/>
      <w:bCs w:val="1"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eastAsia="Times New Roman" w:hAnsi="Calibri Light"/>
      <w:b w:val="1"/>
      <w:bCs w:val="1"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eastAsia="Times New Roman" w:hAnsi="Calibri Light"/>
      <w:b w:val="1"/>
      <w:bCs w:val="1"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 w:val="1"/>
    <w:rsid w:val="00CC233A"/>
    <w:rPr>
      <w:rFonts w:ascii="Calibri Light" w:eastAsia="Times New Roman" w:hAnsi="Calibri Light"/>
      <w:i w:val="1"/>
      <w:iCs w:val="1"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 w:val="1"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 w:val="1"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character" w:styleId="nfase">
    <w:name w:val="Emphasis"/>
    <w:uiPriority w:val="20"/>
    <w:qFormat w:val="1"/>
    <w:rsid w:val="00CC233A"/>
    <w:rPr>
      <w:i w:val="1"/>
      <w:iCs w:val="1"/>
    </w:rPr>
  </w:style>
  <w:style w:type="character" w:styleId="Forte">
    <w:name w:val="Strong"/>
    <w:aliases w:val="Desenvolvimento"/>
    <w:uiPriority w:val="22"/>
    <w:qFormat w:val="1"/>
    <w:rsid w:val="00CC233A"/>
    <w:rPr>
      <w:b w:val="1"/>
      <w:bCs w:val="1"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 w:val="1"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 w:val="1"/>
    <w:rsid w:val="00CC233A"/>
    <w:pPr>
      <w:spacing w:after="160" w:line="259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 w:val="1"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 w:val="1"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 w:val="1"/>
    <w:rsid w:val="00CC233A"/>
    <w:rPr>
      <w:i w:val="1"/>
      <w:iCs w:val="1"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.0" w:type="dxa"/>
      <w:tblBorders>
        <w:top w:color="9bbb59" w:space="0" w:sz="8" w:val="single"/>
        <w:bottom w:color="9bbb59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paragraph" w:styleId="Legenda">
    <w:name w:val="caption"/>
    <w:basedOn w:val="Normal"/>
    <w:next w:val="Normal"/>
    <w:uiPriority w:val="35"/>
    <w:unhideWhenUsed w:val="1"/>
    <w:qFormat w:val="1"/>
    <w:rsid w:val="00CC233A"/>
    <w:pPr>
      <w:spacing w:after="200" w:line="240" w:lineRule="auto"/>
      <w:jc w:val="left"/>
    </w:pPr>
    <w:rPr>
      <w:rFonts w:ascii="Calibri" w:eastAsia="Calibri" w:hAnsi="Calibri"/>
      <w:b w:val="1"/>
      <w:bCs w:val="1"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 w:val="1"/>
      <w:bCs w:val="1"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cs="Times New Roman" w:eastAsia="Calibri" w:hAnsi="BookmanITC Lt BT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 w:val="1"/>
      <w:suppressAutoHyphens w:val="1"/>
      <w:spacing w:after="120" w:before="240"/>
      <w:jc w:val="center"/>
    </w:pPr>
    <w:rPr>
      <w:rFonts w:eastAsia="Lucida Sans Unicode"/>
      <w:b w:val="1"/>
      <w:bCs w:val="1"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styleId="Tabelacomgrade1" w:customStyle="1">
    <w:name w:val="Tabela com grade1"/>
    <w:basedOn w:val="Tabelanormal"/>
    <w:rsid w:val="00CC233A"/>
    <w:rPr>
      <w:rFonts w:ascii="Times New Roman" w:eastAsia="Times New Roman" w:hAnsi="Times New Roma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 w:val="1"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 w:val="1"/>
      <w:bCs w:val="1"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.0" w:type="dxa"/>
      <w:tblBorders>
        <w:top w:color="5b9bd5" w:space="0" w:sz="8" w:val="single"/>
        <w:bottom w:color="5b9bd5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Yu Mincho" w:cs="Times New Roman" w:eastAsia="Times New Roman" w:hAnsi="Yu Mincho"/>
      </w:rPr>
      <w:tblPr/>
      <w:tcPr>
        <w:tcBorders>
          <w:top w:space="0" w:sz="0" w:val="nil"/>
          <w:bottom w:color="5b9bd5" w:space="0" w:sz="8" w:val="single"/>
        </w:tcBorders>
      </w:tcPr>
    </w:tblStylePr>
    <w:tblStylePr w:type="lastRow">
      <w:rPr>
        <w:b w:val="1"/>
        <w:bCs w:val="1"/>
        <w:color w:val="44546a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band1Vert">
      <w:tblPr/>
      <w:tcPr>
        <w:shd w:color="auto" w:fill="d6e6f4" w:val="clear"/>
      </w:tcPr>
    </w:tblStylePr>
    <w:tblStylePr w:type="band1Horz">
      <w:tblPr/>
      <w:tcPr>
        <w:shd w:color="auto" w:fill="d6e6f4" w:val="clear"/>
      </w:tcPr>
    </w:tblStylePr>
  </w:style>
  <w:style w:type="paragraph" w:styleId="HOLOS-subtitulos" w:customStyle="1">
    <w:name w:val="HOLOS - subtitulos"/>
    <w:basedOn w:val="SemEspaamento"/>
    <w:qFormat w:val="1"/>
    <w:rsid w:val="00CC233A"/>
    <w:rPr>
      <w:rFonts w:cs="Calibri"/>
      <w:b w:val="1"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 w:val="1"/>
      <w:spacing w:line="200" w:lineRule="atLeast"/>
    </w:pPr>
    <w:rPr>
      <w:rFonts w:ascii="Times New Roman" w:cs="DejaVu Sans" w:eastAsia="DejaVu Sans" w:hAnsi="Times New Roman"/>
      <w:lang w:bidi="pt-BR"/>
    </w:rPr>
  </w:style>
  <w:style w:type="paragraph" w:styleId="materia" w:customStyle="1">
    <w:name w:val="materia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 w:val="1"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CC233A"/>
    <w:pPr>
      <w:suppressAutoHyphens w:val="1"/>
      <w:spacing w:after="120" w:line="100" w:lineRule="atLeast"/>
      <w:ind w:left="283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 w:val="1"/>
      <w:spacing w:line="100" w:lineRule="atLeast"/>
      <w:jc w:val="left"/>
    </w:pPr>
    <w:rPr>
      <w:rFonts w:ascii="Rotis SemiSans Std" w:cs="Tahoma" w:hAnsi="Rotis SemiSans Std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ascii="Symbol" w:hAnsi="Symbol" w:hint="default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 w:val="1"/>
    <w:rsid w:val="00CC233A"/>
    <w:pPr>
      <w:tabs>
        <w:tab w:val="decimal" w:pos="360"/>
      </w:tabs>
      <w:suppressAutoHyphens w:val="1"/>
      <w:spacing w:after="200" w:line="276" w:lineRule="auto"/>
      <w:jc w:val="left"/>
    </w:pPr>
    <w:rPr>
      <w:rFonts w:ascii="Calibri" w:cs="Rotis SemiSans Std" w:hAnsi="Calibri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 w:val="1"/>
      <w:spacing w:after="120" w:line="480" w:lineRule="auto"/>
      <w:jc w:val="left"/>
    </w:pPr>
    <w:rPr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CC233A"/>
    <w:pPr>
      <w:suppressAutoHyphens w:val="1"/>
      <w:spacing w:after="120" w:line="480" w:lineRule="auto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 w:val="1"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pPr>
      <w:spacing w:after="60" w:line="240" w:lineRule="auto"/>
      <w:jc w:val="center"/>
    </w:pPr>
    <w:rPr>
      <w:rFonts w:ascii="Calibri" w:cs="Calibri" w:eastAsia="Calibri" w:hAnsi="Calibri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styleId="DissBiblio" w:customStyle="1">
    <w:name w:val="Diss Biblio"/>
    <w:basedOn w:val="Normal"/>
    <w:autoRedefine w:val="1"/>
    <w:rsid w:val="00CC233A"/>
    <w:pPr>
      <w:tabs>
        <w:tab w:val="left" w:pos="0"/>
      </w:tabs>
      <w:spacing w:line="240" w:lineRule="auto"/>
    </w:pPr>
    <w:rPr>
      <w:rFonts w:ascii="Times New Roman" w:hAnsi="Times New Roman"/>
      <w:bCs w:val="1"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 w:val="1"/>
      <w:snapToGrid w:val="0"/>
      <w:szCs w:val="20"/>
    </w:rPr>
  </w:style>
  <w:style w:type="character" w:styleId="Refdenotaderodap">
    <w:name w:val="footnote reference"/>
    <w:uiPriority w:val="99"/>
    <w:semiHidden w:val="1"/>
    <w:unhideWhenUsed w:val="1"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 w:val="1"/>
    <w:rsid w:val="00CC233A"/>
    <w:pPr>
      <w:tabs>
        <w:tab w:val="num" w:pos="720"/>
      </w:tabs>
      <w:spacing w:line="276" w:lineRule="auto"/>
      <w:ind w:firstLine="567"/>
      <w:contextualSpacing w:val="1"/>
    </w:pPr>
    <w:rPr>
      <w:color w:val="000000"/>
    </w:rPr>
  </w:style>
  <w:style w:type="character" w:styleId="article-title1" w:customStyle="1">
    <w:name w:val="article-title1"/>
    <w:rsid w:val="00CC233A"/>
    <w:rPr>
      <w:b w:val="1"/>
      <w:bCs w:val="1"/>
    </w:rPr>
  </w:style>
  <w:style w:type="paragraph" w:styleId="textocenter" w:customStyle="1">
    <w:name w:val="texto_center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.0" w:type="dxa"/>
      <w:tblBorders>
        <w:top w:color="000000" w:space="0" w:sz="8" w:val="single"/>
        <w:bottom w:color="000000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after="280" w:before="280" w:line="240" w:lineRule="auto"/>
      <w:jc w:val="left"/>
    </w:pPr>
    <w:rPr>
      <w:rFonts w:eastAsia="Times New Roman"/>
      <w:lang w:bidi="hi-IN" w:eastAsia="zh-CN"/>
    </w:rPr>
  </w:style>
  <w:style w:type="numbering" w:styleId="WW8Num5" w:customStyle="1">
    <w:name w:val="WW8Num5"/>
    <w:basedOn w:val="Semlista"/>
    <w:rsid w:val="00CC233A"/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 w:val="1"/>
    <w:rsid w:val="00C23906"/>
    <w:rPr>
      <w:szCs w:val="22"/>
      <w:lang w:eastAsia="en-US"/>
    </w:rPr>
  </w:style>
  <w:style w:type="character" w:styleId="Bruno1Char" w:customStyle="1">
    <w:name w:val="Bruno1 Char"/>
    <w:link w:val="Bruno1"/>
    <w:rsid w:val="00C23906"/>
    <w:rPr>
      <w:rFonts w:ascii="Arial" w:cs="Arial" w:eastAsia="Times New Roman" w:hAnsi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 w:val="1"/>
      <w:bCs w:val="1"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.0" w:type="dxa"/>
      <w:tblBorders>
        <w:top w:color="000000" w:space="0" w:sz="8" w:val="single"/>
        <w:bottom w:color="000000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 w:val="1"/>
      <w:spacing w:line="100" w:lineRule="atLeast"/>
    </w:pPr>
    <w:rPr>
      <w:color w:val="000000"/>
      <w:kern w:val="1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styleId="PargrafodaLista2" w:customStyle="1">
    <w:name w:val="Parágrafo da Lista2"/>
    <w:basedOn w:val="Normal"/>
    <w:uiPriority w:val="34"/>
    <w:qFormat w:val="1"/>
    <w:rsid w:val="00743952"/>
    <w:pPr>
      <w:spacing w:after="200" w:line="276" w:lineRule="auto"/>
      <w:ind w:left="720"/>
      <w:contextualSpacing w:val="1"/>
      <w:jc w:val="left"/>
    </w:pPr>
    <w:rPr>
      <w:rFonts w:ascii="Times New Roman" w:eastAsia="Calibri" w:hAnsi="Times New Roman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 w:val="1"/>
      <w:iCs w:val="1"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 w:val="1"/>
    <w:uiPriority w:val="99"/>
    <w:semiHidden w:val="1"/>
    <w:rsid w:val="007B1BB0"/>
    <w:rPr>
      <w:rFonts w:eastAsia="Times New Roman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uPEo0auxpMESEYUQ5Gkr7rUz8g==">AMUW2mWgWU1H9LsLLYHt0oxIgJlz+58iGeWTueVDJ+dicEyMA1IOP+wyE0Kvioa9i6f+fIWkzmmfa+nUe95dE1TfC0oURPt/RvWTu54d7ltSxvuBQEUHQnYZL9EdmXSdJn6FtKaCIVcv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2022-10-13T23:01:00Z</dcterms:created>
  <dc:creator>Gisa</dc:creator>
</cp:coreProperties>
</file>