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CARGA IMEDIATA EM IMPLANTES DENTÁRIOS: IMPACTO NO BEM-ESTAR DO PACIENTE E RESULTADOS FUNCIONAIS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Clínica Odontológica, Odontologia Restauradora e Reabilitadora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de Conhecimento: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Ciências da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Encontro Científico: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XII Encontro de Iniciação à Pesquisa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 </w:t>
      </w:r>
      <w:r w:rsidDel="00000000" w:rsidR="00000000" w:rsidRPr="00000000">
        <w:rPr>
          <w:rtl w:val="0"/>
        </w:rPr>
        <w:t xml:space="preserve">O trauma dentário ocorre com maior frequência na região anterior da maxila. Essa área é considerada uma das mais desafiadoras tecnicamente para a reabilitação com implantes, devido às elevadas exigências estéticas que ela apresenta. A carga imediata em implantes dentários, especialmente na região estética (zona anterior da maxila), tem se tornado uma técnica cada vez mais utilizada na reabilitação oral. Sua popularidade se deve à possibilidade de restaurar tanto a função mastigatória quanto a estética de forma rápida e eficaz.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 </w:t>
      </w:r>
      <w:r w:rsidDel="00000000" w:rsidR="00000000" w:rsidRPr="00000000">
        <w:rPr>
          <w:rtl w:val="0"/>
        </w:rPr>
        <w:t xml:space="preserve">Avaliar os impactos da carga imediata em implantes dentários na zona estética, com foco nos benefícios para o bem-estar do paciente e na obtenção de resultados funcionais satisfatórios.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</w:t>
      </w:r>
      <w:r w:rsidDel="00000000" w:rsidR="00000000" w:rsidRPr="00000000">
        <w:rPr>
          <w:rtl w:val="0"/>
        </w:rPr>
        <w:t xml:space="preserve"> Uma revisão de literatura foi realizada nas bases de dados Pubmed, BVS e Lilacs, utilizando os descritores "Dental Implants", "Immediate Dental Implant Loading" e "Maxilla", resultando em um total de 559 artigos identificados. Foram excluídos artigos com mais de 10 anos de publicação e revisões de literatura, enquanto os critérios de inclusão abrangeram ensaios clínicos, relatos de casos e revisões sistemáticas. Foram, então, selecionados cinco artigos para compor o estudo.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A perda de dentes na região anterior da maxila pode impactar diretamente a autoestima e o bem-estar do paciente, e a capacidade de proporcionar uma solução imediata melhora significativamente a experiência do tratamento. A busca por menos intervenções cirúrgicas e redução no tempo de tratamento de implantes resultou no desenvolvimento de protocolos revisados para colocação e carga. Entre esses avanços, a carga imediata se destaca como um procedimento de uso frequente na prática clínica. Além dos aspectos técnicos e clínicos, o sucesso do tratamento também depende da satisfação do paciente em termos funcionais, estéticos e psicológicos. A carga imediata tem mostrado alta previsibilidade a longo prazo e atende a essas necessidades, proporcionando uma reabilitação completa e bem-estar ao paciente. No entanto, um importante fator para o sucesso é a estabilidade primária do implante, além de uma de fatores técnicos e biológicos, que devem ser cuidadosamente avaliados para garantir o sucesso da osseointegração e a preservação dos tecidos moles e duros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A carga imediata em implantes dentários na zona estética proporciona uma restauração rápida da função e da estética, resultando em alta satisfação do paciente, especialmente durante a fase inicial de cicatrização. O sucesso dessa técnica depende de um planejamento cuidadoso, da estabilidade primária do implante e da experiência do profissional. Embora ofereça diversos benefícios, como a melhora significativa no bem-estar do paciente, a seleção adequada dos casos e o monitoramento contínuo são essenciais para evitar complicações e garantir o sucesso a longo prazo.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Implantes dentários; Carga imediata em Implante dentário; Maxila.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CHEN, Jie et al. Immediate versus early or conventional loading dental implants with fixed prostheses: A systematic review and meta-analysis of randomized controlled clinical trials.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The Journal of prosthetic dentistry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, v. 122, n. 6, p. 516-536, 2019.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DE BRUYN, Hugo et al. Immediate loading in partially and completely edentulous jaws: a review of the literature with clinical guidelines.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Periodontology 2000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, v. 66, n. 1, p. 153-187,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DEL FABBRO, Massimo et al. A systematic review of survival rates of osseointegrated implants in fully and partially edentulous patients following immediate loading.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Journal of Clinical Medicine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, v. 8, n. 12, p. 2142, 2019.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SHENG, Lieping et al. Replacement of severely traumatized teeth with immediate implants and immediate loading: literature review and case reports.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Dental Traumatology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, v. 31, n. 6, p. 493-503, 2015.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TEALDO, Tiziano et al. Immediate versus delayed loading of dental implants in edentulous patients' maxillae: a 6-year prospective study.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The international journal of prosthodontics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, v. 27, n. 3, p. 207-214, 2014.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701" w:left="1701" w:right="1134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914082</wp:posOffset>
          </wp:positionH>
          <wp:positionV relativeFrom="paragraph">
            <wp:posOffset>0</wp:posOffset>
          </wp:positionV>
          <wp:extent cx="1771650" cy="650528"/>
          <wp:effectExtent b="0" l="0" r="0" t="0"/>
          <wp:wrapSquare wrapText="bothSides" distB="0" distT="0" distL="114300" distR="114300"/>
          <wp:docPr descr="Unifametro | Formar para transformar" id="16" name="image3.png"/>
          <a:graphic>
            <a:graphicData uri="http://schemas.openxmlformats.org/drawingml/2006/picture">
              <pic:pic>
                <pic:nvPicPr>
                  <pic:cNvPr descr="Unifametro | Formar para transformar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65052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5760085" cy="201930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1905</wp:posOffset>
          </wp:positionV>
          <wp:extent cx="1976598" cy="720000"/>
          <wp:effectExtent b="0" l="0" r="0" t="0"/>
          <wp:wrapSquare wrapText="bothSides" distB="0" distT="0" distL="114300" distR="114300"/>
          <wp:docPr id="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544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CONEXÃO UNIFAMETRO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544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XX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544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ISSN: 2357-8645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b="0" l="0" r="0" t="0"/>
          <wp:wrapNone/>
          <wp:docPr id="1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b="0" l="0" r="0" t="0"/>
          <wp:wrapNone/>
          <wp:docPr id="2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-26549" r="0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CONEXÃO UNIFAMETRO 2019: DIVERSIDADES TECNOLÓGICAS E SEUS IMPACTOS SUSTENTÁVEIS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XV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ISSN: 2357-8645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F28FC"/>
    <w:pPr>
      <w:widowControl w:val="0"/>
      <w:suppressAutoHyphens w:val="1"/>
      <w:spacing w:after="0" w:line="240" w:lineRule="auto"/>
    </w:pPr>
    <w:rPr>
      <w:rFonts w:ascii="Liberation Serif" w:cs="Mangal" w:eastAsia="Lucida Sans Unicode" w:hAnsi="Liberation Serif"/>
      <w:kern w:val="1"/>
      <w:sz w:val="24"/>
      <w:szCs w:val="24"/>
      <w:lang w:bidi="hi-IN"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rsid w:val="005F28FC"/>
    <w:rPr>
      <w:rFonts w:ascii="Liberation Serif" w:cs="Mangal" w:eastAsia="Lucida Sans Unicode" w:hAnsi="Liberation Serif"/>
      <w:kern w:val="1"/>
      <w:sz w:val="24"/>
      <w:szCs w:val="24"/>
      <w:lang w:bidi="hi-IN" w:eastAsia="zh-CN"/>
    </w:rPr>
  </w:style>
  <w:style w:type="character" w:styleId="Hyperlink">
    <w:name w:val="Hyperlink"/>
    <w:uiPriority w:val="99"/>
    <w:unhideWhenUsed w:val="1"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F28FC"/>
    <w:pPr>
      <w:tabs>
        <w:tab w:val="center" w:pos="4252"/>
        <w:tab w:val="right" w:pos="8504"/>
      </w:tabs>
    </w:pPr>
    <w:rPr>
      <w:szCs w:val="21"/>
    </w:rPr>
  </w:style>
  <w:style w:type="character" w:styleId="CabealhoChar" w:customStyle="1">
    <w:name w:val="Cabeçalho Char"/>
    <w:basedOn w:val="Fontepargpadro"/>
    <w:link w:val="Cabealho"/>
    <w:uiPriority w:val="99"/>
    <w:rsid w:val="005F28FC"/>
    <w:rPr>
      <w:rFonts w:ascii="Liberation Serif" w:cs="Mangal" w:eastAsia="Lucida Sans Unicode" w:hAnsi="Liberation Serif"/>
      <w:kern w:val="1"/>
      <w:sz w:val="24"/>
      <w:szCs w:val="21"/>
      <w:lang w:bidi="hi-IN" w:eastAsia="zh-CN"/>
    </w:rPr>
  </w:style>
  <w:style w:type="paragraph" w:styleId="Rodap">
    <w:name w:val="footer"/>
    <w:basedOn w:val="Normal"/>
    <w:link w:val="RodapChar"/>
    <w:uiPriority w:val="99"/>
    <w:unhideWhenUsed w:val="1"/>
    <w:rsid w:val="005F28FC"/>
    <w:pPr>
      <w:tabs>
        <w:tab w:val="center" w:pos="4252"/>
        <w:tab w:val="right" w:pos="8504"/>
      </w:tabs>
    </w:pPr>
    <w:rPr>
      <w:szCs w:val="21"/>
    </w:rPr>
  </w:style>
  <w:style w:type="character" w:styleId="RodapChar" w:customStyle="1">
    <w:name w:val="Rodapé Char"/>
    <w:basedOn w:val="Fontepargpadro"/>
    <w:link w:val="Rodap"/>
    <w:uiPriority w:val="99"/>
    <w:rsid w:val="005F28FC"/>
    <w:rPr>
      <w:rFonts w:ascii="Liberation Serif" w:cs="Mangal" w:eastAsia="Lucida Sans Unicode" w:hAnsi="Liberation Serif"/>
      <w:kern w:val="1"/>
      <w:sz w:val="24"/>
      <w:szCs w:val="21"/>
      <w:lang w:bidi="hi-IN" w:eastAsia="zh-CN"/>
    </w:rPr>
  </w:style>
  <w:style w:type="paragraph" w:styleId="NormalWeb">
    <w:name w:val="Normal (Web)"/>
    <w:basedOn w:val="Normal"/>
    <w:uiPriority w:val="99"/>
    <w:unhideWhenUsed w:val="1"/>
    <w:rsid w:val="005F28FC"/>
    <w:pPr>
      <w:widowControl w:val="1"/>
      <w:suppressAutoHyphens w:val="0"/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bidi="ar-SA" w:eastAsia="pt-BR"/>
    </w:rPr>
  </w:style>
  <w:style w:type="character" w:styleId="TextodoEspaoReservado">
    <w:name w:val="Placeholder Text"/>
    <w:basedOn w:val="Fontepargpadro"/>
    <w:uiPriority w:val="99"/>
    <w:semiHidden w:val="1"/>
    <w:rsid w:val="002C73D2"/>
    <w:rPr>
      <w:color w:val="808080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0553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oHa14/Za8LInUDCZJhcP8yv6TQ==">CgMxLjA4AHIhMXNuRmdlcXRGZFdoN3UydWJLYUVZaGRobVM4SEs5Z0dL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2024-09-10T11:03:00Z</dcterms:created>
  <dc:creator>Ana Ciléia Henriques</dc:creator>
</cp:coreProperties>
</file>